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模拟校园网络服务说明</w:t>
      </w:r>
    </w:p>
    <w:p>
      <w:r>
        <w:t>版本日期 2026年9月1日</w:t>
      </w:r>
    </w:p>
    <w:p>
      <w:r>
        <w:t>教学模拟材料。本文仅用于课程练习，不代表任何学校的真实网络配置、制度或服务承诺。</w:t>
      </w:r>
    </w:p>
    <w:p>
      <w:pPr>
        <w:pStyle w:val="Heading2"/>
      </w:pPr>
      <w:r>
        <w:t>S1 无线接入</w:t>
      </w:r>
    </w:p>
    <w:p>
      <w:r>
        <w:t>教学楼与学生宿舍提供教学用无线网络 Campus-Lab。学习者在实验场景中使用分配的模拟账号完成认证。真实账号不用于本材料演练。</w:t>
      </w:r>
    </w:p>
    <w:p>
      <w:pPr>
        <w:pStyle w:val="Heading2"/>
      </w:pPr>
      <w:r>
        <w:t>S2 有线与无线</w:t>
      </w:r>
    </w:p>
    <w:p>
      <w:r>
        <w:t>教学楼与学生宿舍的有线接入、无线接入分别记录故障现象。报告问题时应说明使用哪种接入方式，以及是全部网站不可访问还是仅某个网站不可访问。</w:t>
      </w:r>
    </w:p>
    <w:p>
      <w:pPr>
        <w:pStyle w:val="Heading2"/>
      </w:pPr>
      <w:r>
        <w:t>S3 故障处理原则</w:t>
      </w:r>
    </w:p>
    <w:p>
      <w:r>
        <w:t>先记录发生时间、地点、现象和影响范围，再判断是否与已发布的维护通知有关。单个现象不足以直接认定故障原因；资料不足时补充询问。不要把推测写成已确认的结论。</w:t>
      </w:r>
    </w:p>
    <w:p>
      <w:pPr>
        <w:pStyle w:val="Heading2"/>
      </w:pPr>
      <w:r>
        <w:t>S4 信息保护</w:t>
      </w:r>
    </w:p>
    <w:p>
      <w:r>
        <w:t>报修无需提供账号密码、动态验证码或令牌。接到索要此类信息的建议时，不照做；应按正式报修指引补充问题描述。</w:t>
      </w:r>
    </w:p>
    <w:sectPr w:rsidR="00FC693F" w:rsidRPr="0006063C" w:rsidSect="00034616">
      <w:pgSz w:w="11906" w:h="16838"/>
      <w:pgMar w:top="1276" w:right="1474" w:bottom="1276" w:left="1474" w:header="720" w:footer="62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after="100" w:line="310" w:lineRule="exact"/>
    </w:pPr>
    <w:rPr>
      <w:rFonts w:ascii="Times New Roman" w:hAnsi="Times New Roman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380" w:lineRule="exact"/>
      <w:outlineLvl w:val="0"/>
      <w:snapToGrid w:val="0"/>
    </w:pPr>
    <w:rPr>
      <w:rFonts w:ascii="Arial" w:hAnsi="Arial" w:eastAsia="黑体"/>
      <w:b w:val="0"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30" w:lineRule="exact"/>
      <w:outlineLvl w:val="1"/>
      <w:snapToGrid w:val="0"/>
    </w:pPr>
    <w:rPr>
      <w:rFonts w:ascii="Arial" w:hAnsi="Arial" w:eastAsia="黑体"/>
      <w:b w:val="0"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310" w:lineRule="exact"/>
      <w:outlineLvl w:val="2"/>
      <w:snapToGrid w:val="0"/>
    </w:pPr>
    <w:rPr>
      <w:rFonts w:ascii="Arial" w:hAnsi="Arial" w:eastAsia="黑体"/>
      <w:b w:val="0"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440" w:lineRule="exact"/>
      <w:contextualSpacing/>
      <w:snapToGrid w:val="0"/>
    </w:pPr>
    <w:rPr>
      <w:rFonts w:ascii="Arial" w:hAnsi="Arial" w:eastAsia="黑体"/>
      <w:b w:val="0"/>
      <w:i w:val="0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after="120" w:line="320" w:lineRule="exact"/>
    </w:pPr>
    <w:rPr>
      <w:rFonts w:ascii="Arial" w:hAnsi="Arial" w:eastAsia="宋体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模拟校园网络服务说明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