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F60BF">
      <w:pPr>
        <w:widowControl w:val="0"/>
        <w:kinsoku/>
        <w:autoSpaceDE/>
        <w:autoSpaceDN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napToGrid/>
          <w:spacing w:val="20"/>
          <w:kern w:val="2"/>
          <w:sz w:val="44"/>
          <w:szCs w:val="44"/>
          <w:lang w:eastAsia="zh-CN"/>
        </w:rPr>
      </w:pPr>
      <w:bookmarkStart w:id="0" w:name="bookmark3"/>
      <w:bookmarkEnd w:id="0"/>
      <w:bookmarkStart w:id="1" w:name="bookmark2"/>
      <w:bookmarkEnd w:id="1"/>
      <w:r>
        <w:rPr>
          <w:rFonts w:hint="eastAsia" w:ascii="方正小标宋简体" w:hAnsi="方正小标宋简体" w:eastAsia="方正小标宋简体" w:cs="方正小标宋简体"/>
          <w:snapToGrid/>
          <w:spacing w:val="20"/>
          <w:kern w:val="2"/>
          <w:sz w:val="44"/>
          <w:szCs w:val="44"/>
          <w:lang w:eastAsia="zh-CN"/>
        </w:rPr>
        <w:t>2026睿抗机器人开发者大赛</w:t>
      </w:r>
    </w:p>
    <w:p w14:paraId="6B1B5DA9">
      <w:pPr>
        <w:widowControl w:val="0"/>
        <w:kinsoku/>
        <w:autoSpaceDE/>
        <w:autoSpaceDN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napToGrid/>
          <w:spacing w:val="20"/>
          <w:kern w:val="2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napToGrid/>
          <w:spacing w:val="20"/>
          <w:kern w:val="2"/>
          <w:sz w:val="44"/>
          <w:szCs w:val="44"/>
          <w:lang w:eastAsia="zh-CN"/>
        </w:rPr>
        <w:t>CAIR强体赛道足式机器人</w:t>
      </w:r>
      <w:r>
        <w:rPr>
          <w:rFonts w:hint="eastAsia" w:ascii="方正小标宋简体" w:hAnsi="方正小标宋简体" w:eastAsia="方正小标宋简体" w:cs="方正小标宋简体"/>
          <w:snapToGrid/>
          <w:spacing w:val="20"/>
          <w:kern w:val="2"/>
          <w:sz w:val="44"/>
          <w:szCs w:val="44"/>
          <w:lang w:val="en-US" w:eastAsia="zh-CN"/>
        </w:rPr>
        <w:t>赛项</w:t>
      </w:r>
    </w:p>
    <w:p w14:paraId="399855EA">
      <w:pPr>
        <w:widowControl w:val="0"/>
        <w:kinsoku/>
        <w:autoSpaceDE/>
        <w:autoSpaceDN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napToGrid/>
          <w:spacing w:val="20"/>
          <w:kern w:val="2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napToGrid/>
          <w:spacing w:val="20"/>
          <w:kern w:val="2"/>
          <w:sz w:val="44"/>
          <w:szCs w:val="44"/>
          <w:lang w:eastAsia="zh-CN"/>
        </w:rPr>
        <w:t>多模态巡检赛</w:t>
      </w:r>
      <w:r>
        <w:rPr>
          <w:rFonts w:hint="eastAsia" w:ascii="方正小标宋简体" w:hAnsi="方正小标宋简体" w:eastAsia="方正小标宋简体" w:cs="方正小标宋简体"/>
          <w:snapToGrid/>
          <w:spacing w:val="20"/>
          <w:kern w:val="2"/>
          <w:sz w:val="44"/>
          <w:szCs w:val="44"/>
          <w:lang w:val="en-US" w:eastAsia="zh-CN"/>
        </w:rPr>
        <w:t>题规则</w:t>
      </w:r>
      <w:r>
        <w:rPr>
          <w:rFonts w:hint="eastAsia" w:ascii="方正小标宋简体" w:hAnsi="方正小标宋简体" w:eastAsia="方正小标宋简体" w:cs="方正小标宋简体"/>
          <w:snapToGrid/>
          <w:spacing w:val="20"/>
          <w:kern w:val="2"/>
          <w:sz w:val="44"/>
          <w:szCs w:val="44"/>
          <w:lang w:eastAsia="zh-CN"/>
        </w:rPr>
        <w:t>文件</w:t>
      </w:r>
    </w:p>
    <w:p w14:paraId="202A8E3D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210D5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left="420" w:leftChars="200"/>
        <w:jc w:val="left"/>
        <w:textAlignment w:val="auto"/>
        <w:rPr>
          <w:rFonts w:hint="default" w:ascii="黑体" w:hAnsi="黑体" w:eastAsia="黑体" w:cs="黑体"/>
          <w:b/>
          <w:bCs/>
          <w:spacing w:val="2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20"/>
          <w:sz w:val="32"/>
          <w:szCs w:val="32"/>
          <w:lang w:val="en-US" w:eastAsia="zh-CN"/>
        </w:rPr>
        <w:t>一、项目概览</w:t>
      </w:r>
    </w:p>
    <w:p w14:paraId="130988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left="0" w:leftChars="0" w:firstLine="0" w:firstLineChars="0"/>
        <w:jc w:val="left"/>
        <w:textAlignment w:val="auto"/>
        <w:rPr>
          <w:rFonts w:hint="default" w:ascii="楷体" w:hAnsi="楷体" w:eastAsia="楷体" w:cs="Arial"/>
          <w:snapToGrid w:val="0"/>
          <w:color w:val="000000"/>
          <w:spacing w:val="20"/>
          <w:kern w:val="0"/>
          <w:sz w:val="32"/>
          <w:szCs w:val="32"/>
          <w:lang w:eastAsia="zh-CN"/>
        </w:rPr>
      </w:pPr>
      <w:r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eastAsia="zh-CN"/>
        </w:rPr>
        <w:t xml:space="preserve">   </w:t>
      </w:r>
      <w:r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1.</w:t>
      </w:r>
      <w:r>
        <w:rPr>
          <w:rFonts w:hint="eastAsia" w:ascii="楷体" w:hAnsi="楷体" w:eastAsia="楷体" w:cs="Arial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赛</w:t>
      </w:r>
      <w:r>
        <w:rPr>
          <w:rFonts w:hint="default" w:ascii="楷体" w:hAnsi="楷体" w:eastAsia="楷体" w:cs="Arial"/>
          <w:snapToGrid w:val="0"/>
          <w:color w:val="000000"/>
          <w:spacing w:val="20"/>
          <w:kern w:val="0"/>
          <w:sz w:val="32"/>
          <w:szCs w:val="32"/>
          <w:lang w:eastAsia="zh-CN"/>
        </w:rPr>
        <w:t>题名称</w:t>
      </w:r>
    </w:p>
    <w:p w14:paraId="5EBF5678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多模态巡检</w:t>
      </w:r>
    </w:p>
    <w:p w14:paraId="5D2EA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left="0" w:leftChars="0" w:firstLine="0" w:firstLineChars="0"/>
        <w:jc w:val="left"/>
        <w:textAlignment w:val="auto"/>
        <w:rPr>
          <w:rFonts w:hint="eastAsia" w:ascii="楷体" w:hAnsi="楷体" w:eastAsia="楷体" w:cs="Arial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eastAsia="zh-CN"/>
        </w:rPr>
        <w:t xml:space="preserve">   </w:t>
      </w: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2.</w:t>
      </w:r>
      <w:r>
        <w:rPr>
          <w:rFonts w:hint="default" w:ascii="楷体" w:hAnsi="楷体" w:eastAsia="楷体" w:cs="Arial"/>
          <w:snapToGrid w:val="0"/>
          <w:color w:val="000000"/>
          <w:spacing w:val="20"/>
          <w:kern w:val="0"/>
          <w:sz w:val="32"/>
          <w:szCs w:val="32"/>
          <w:lang w:eastAsia="zh-CN"/>
        </w:rPr>
        <w:t>赛题</w:t>
      </w:r>
      <w:r>
        <w:rPr>
          <w:rFonts w:hint="eastAsia" w:ascii="楷体" w:hAnsi="楷体" w:eastAsia="楷体" w:cs="Arial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简介</w:t>
      </w:r>
    </w:p>
    <w:p w14:paraId="050F02B3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足机器人以其独特的移动能力和灵活性，正在逐渐成为工业、电力、石油等多个领域的新一代智能巡检解决方案。相比于传统的人工巡检，四足机器人具有复杂环境适应性强、全天候作业、数据采集精确、降低安全风险、提高工作效率、降低成本等优势。</w:t>
      </w:r>
    </w:p>
    <w:p w14:paraId="613835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94" w:lineRule="exact"/>
        <w:ind w:firstLine="361" w:firstLineChars="100"/>
        <w:jc w:val="left"/>
        <w:textAlignment w:val="auto"/>
        <w:rPr>
          <w:rFonts w:hint="default" w:ascii="黑体" w:hAnsi="黑体" w:eastAsia="黑体" w:cs="黑体"/>
          <w:b/>
          <w:bCs/>
          <w:spacing w:val="2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20"/>
          <w:sz w:val="32"/>
          <w:szCs w:val="32"/>
          <w:lang w:val="en-US" w:eastAsia="zh-CN"/>
        </w:rPr>
        <w:t>二、竞赛交流群</w:t>
      </w:r>
    </w:p>
    <w:p w14:paraId="2245F52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Times New Roman" w:hAnsi="Times New Roman" w:eastAsia="方正仿宋_GB2312" w:cs="Times New Roman"/>
          <w:color w:val="auto"/>
          <w:spacing w:val="2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QQ交流群号：579206366</w:t>
      </w:r>
      <w:r>
        <w:rPr>
          <w:rFonts w:hint="eastAsia" w:ascii="Times New Roman" w:hAnsi="Times New Roman" w:eastAsia="方正仿宋_GB2312" w:cs="Times New Roman"/>
          <w:color w:val="auto"/>
          <w:spacing w:val="20"/>
          <w:sz w:val="32"/>
          <w:szCs w:val="32"/>
          <w:lang w:val="en-US" w:eastAsia="zh-CN"/>
        </w:rPr>
        <w:t>（验证信息格式：学校+姓名）</w:t>
      </w:r>
    </w:p>
    <w:p w14:paraId="19B43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94" w:lineRule="exact"/>
        <w:ind w:firstLine="361" w:firstLineChars="100"/>
        <w:jc w:val="left"/>
        <w:textAlignment w:val="auto"/>
        <w:rPr>
          <w:rFonts w:hint="default" w:ascii="黑体" w:hAnsi="黑体" w:eastAsia="黑体" w:cs="黑体"/>
          <w:b/>
          <w:bCs/>
          <w:spacing w:val="2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20"/>
          <w:sz w:val="32"/>
          <w:szCs w:val="32"/>
          <w:lang w:val="en-US" w:eastAsia="zh-CN"/>
        </w:rPr>
        <w:t>三、赛</w:t>
      </w:r>
      <w:r>
        <w:rPr>
          <w:rFonts w:hint="default" w:ascii="黑体" w:hAnsi="黑体" w:eastAsia="黑体" w:cs="黑体"/>
          <w:b/>
          <w:bCs/>
          <w:spacing w:val="20"/>
          <w:sz w:val="32"/>
          <w:szCs w:val="32"/>
          <w:lang w:eastAsia="zh-CN"/>
        </w:rPr>
        <w:t>题</w:t>
      </w:r>
      <w:r>
        <w:rPr>
          <w:rFonts w:hint="eastAsia" w:ascii="黑体" w:hAnsi="黑体" w:eastAsia="黑体" w:cs="黑体"/>
          <w:b/>
          <w:bCs/>
          <w:spacing w:val="20"/>
          <w:sz w:val="32"/>
          <w:szCs w:val="32"/>
          <w:lang w:val="en-US" w:eastAsia="zh-CN"/>
        </w:rPr>
        <w:t>目标</w:t>
      </w:r>
    </w:p>
    <w:p w14:paraId="58B70F61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本赛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题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多模态巡检</w:t>
      </w:r>
      <w:bookmarkStart w:id="2" w:name="_GoBack"/>
      <w:bookmarkEnd w:id="2"/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，通过比赛来考评四足机器人的智能感知系统及综合运动性能。四足机器人需要通过搭载的各种传感器（如视觉、激光雷达等），感知周围环境，并根据预设的巡检路线，自主完成巡检任务。</w:t>
      </w:r>
    </w:p>
    <w:p w14:paraId="0CE7D124">
      <w:pPr>
        <w:numPr>
          <w:ilvl w:val="0"/>
          <w:numId w:val="0"/>
        </w:numPr>
        <w:ind w:leftChars="200"/>
        <w:rPr>
          <w:rFonts w:hint="eastAsia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  <w:t>四、参赛要求</w:t>
      </w:r>
    </w:p>
    <w:p w14:paraId="6ED98672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1.团队要求</w:t>
      </w:r>
    </w:p>
    <w:p w14:paraId="37EBA9E8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报名人数为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1-</w:t>
      </w: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3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人，每队指导老师人数不超过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2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人。队长为团队的联系人。</w:t>
      </w:r>
    </w:p>
    <w:p w14:paraId="06EF6264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报名须以本人身份证信息完成注册，如若存在违规操作，该参赛者的省赛及全国总决赛参赛资格、获奖资格将被立即取消；确认报名后，不得随意更换赛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题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6F49D5F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2.设备规范</w:t>
      </w:r>
    </w:p>
    <w:p w14:paraId="3CA5A7ED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四足机器人（必须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2C127226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宇树科技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Go2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系列、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Go1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系列均可参赛。</w:t>
      </w:r>
    </w:p>
    <w:p w14:paraId="6853F86C">
      <w:pPr>
        <w:widowControl w:val="0"/>
        <w:numPr>
          <w:ilvl w:val="0"/>
          <w:numId w:val="1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摄像头&amp;雷达&amp;传感器（非必须）</w:t>
      </w:r>
    </w:p>
    <w:p w14:paraId="1A00AB53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除四足机器人本体自带的摄像头以外，可以自行加装最多两个外部摄像头，型号、厂商不限；加装位置不限，摄像头需要通过四足机器人控制。</w:t>
      </w:r>
    </w:p>
    <w:p w14:paraId="6F07CF05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除四足机器人本体自带的雷达以外，可以自行加装最多一个雷达，型号、厂商不限；加装位置不限，雷达需要通过四足机器人控制。</w:t>
      </w:r>
    </w:p>
    <w:p w14:paraId="1494FCF5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可以自行加装红外、测距等传感器，数量、型号不限；加装位置不限，传感器需要通过四足机器人控制。</w:t>
      </w:r>
    </w:p>
    <w:p w14:paraId="04393A8F">
      <w:pPr>
        <w:widowControl w:val="0"/>
        <w:numPr>
          <w:ilvl w:val="0"/>
          <w:numId w:val="1"/>
        </w:numPr>
        <w:spacing w:line="594" w:lineRule="exact"/>
        <w:ind w:left="0" w:leftChars="0"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计算平台（非必须）</w:t>
      </w:r>
    </w:p>
    <w:p w14:paraId="59EB1891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可以在四足机器人上搭载最多一个外部计算平台，算力性能不高于</w:t>
      </w:r>
      <w:r>
        <w:rPr>
          <w:rFonts w:hint="default" w:ascii="Times New Roman" w:hAnsi="Times New Roman" w:eastAsia="方正仿宋_GB2312" w:cs="Times New Roman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Nvidia Jetson Orin NX 16GB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赛前需向技术支持方报备。</w:t>
      </w:r>
    </w:p>
    <w:p w14:paraId="231B29D0">
      <w:pPr>
        <w:widowControl w:val="0"/>
        <w:numPr>
          <w:ilvl w:val="0"/>
          <w:numId w:val="1"/>
        </w:numPr>
        <w:spacing w:line="594" w:lineRule="exact"/>
        <w:ind w:left="0" w:leftChars="0"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机械抓取装置（非必须）</w:t>
      </w:r>
    </w:p>
    <w:p w14:paraId="02659748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可以在四足机器人背部搭载一个机械抓取装置用来抓取和卸载物资。结构、尺寸不限，末端必须具备爪型结构。可外接电池独立供电。不能配备算力模块，给四足机器人增加额外的算力。机械抓取装置需要通过四足机器人控制。</w:t>
      </w:r>
    </w:p>
    <w:p w14:paraId="314F0F3A">
      <w:pPr>
        <w:widowControl w:val="0"/>
        <w:numPr>
          <w:ilvl w:val="0"/>
          <w:numId w:val="1"/>
        </w:numPr>
        <w:spacing w:line="594" w:lineRule="exact"/>
        <w:ind w:left="0" w:leftChars="0"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载物平台（非必须）</w:t>
      </w:r>
    </w:p>
    <w:p w14:paraId="1F5D85D6">
      <w:pPr>
        <w:spacing w:before="169" w:line="343" w:lineRule="auto"/>
        <w:ind w:left="58" w:right="156" w:firstLine="643"/>
        <w:rPr>
          <w:rFonts w:hint="default" w:ascii="仿宋" w:hAnsi="仿宋" w:eastAsia="仿宋" w:cs="仿宋"/>
          <w:spacing w:val="3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可以在四足机器人上搭载一个载物平台，用于装载、运输和卸载物资。尺寸、材料不限。</w:t>
      </w:r>
    </w:p>
    <w:p w14:paraId="2E5B1235">
      <w:pPr>
        <w:numPr>
          <w:ilvl w:val="0"/>
          <w:numId w:val="0"/>
        </w:numPr>
        <w:ind w:leftChars="200"/>
        <w:rPr>
          <w:rFonts w:hint="default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  <w:t>五、</w:t>
      </w:r>
      <w:r>
        <w:rPr>
          <w:rFonts w:hint="default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  <w:t>竞赛场地及道具</w:t>
      </w:r>
    </w:p>
    <w:p w14:paraId="0F13360E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1.</w:t>
      </w: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场地规格</w:t>
      </w:r>
    </w:p>
    <w:p w14:paraId="6FF5E841">
      <w:pPr>
        <w:numPr>
          <w:ilvl w:val="0"/>
          <w:numId w:val="0"/>
        </w:numPr>
        <w:tabs>
          <w:tab w:val="left" w:pos="673"/>
        </w:tabs>
        <w:ind w:left="0" w:leftChars="0" w:firstLine="0" w:firstLineChars="0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楷体" w:cs="Times New Roman"/>
          <w:snapToGrid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比赛场地尺寸约为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5000×4000mm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，包含了启停区、障碍、避障区、台阶、抓取平台、中转平台、检测平台、一号&amp;二号放置平台等区域平台。黑色导引线宽度约为</w:t>
      </w: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100mm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814E6CD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2.道具清单</w:t>
      </w:r>
    </w:p>
    <w:p w14:paraId="1A12B562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选手需自行制作四种比赛物资，每种一个。物资不限制颜色和材质，单个物资需通体使用同一种材质。物资形状需完全符合对应要求，棱角分明。物资表面需平滑且完整，不得有凸起、凹陷或缺失。物资上可贴有标签，标签尺寸≤物资任一表面，标签内容不限，数字、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ArucoTag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均可。</w:t>
      </w:r>
    </w:p>
    <w:tbl>
      <w:tblPr>
        <w:tblStyle w:val="16"/>
        <w:tblW w:w="8310" w:type="dxa"/>
        <w:tblInd w:w="1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2"/>
        <w:gridCol w:w="2073"/>
        <w:gridCol w:w="2073"/>
        <w:gridCol w:w="2082"/>
      </w:tblGrid>
      <w:tr w14:paraId="3891EB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2082" w:type="dxa"/>
            <w:vAlign w:val="top"/>
          </w:tcPr>
          <w:p w14:paraId="5458FF60">
            <w:pPr>
              <w:pStyle w:val="15"/>
              <w:spacing w:before="271" w:line="221" w:lineRule="auto"/>
              <w:ind w:left="587"/>
              <w:rPr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Times New Roman"/>
                <w:spacing w:val="20"/>
                <w:kern w:val="2"/>
                <w:sz w:val="32"/>
                <w:szCs w:val="32"/>
                <w:lang w:val="en-US" w:eastAsia="zh-CN" w:bidi="ar-SA"/>
              </w:rPr>
              <w:t>1</w:t>
            </w:r>
            <w:r>
              <w:rPr>
                <w:spacing w:val="-10"/>
                <w:sz w:val="30"/>
                <w:szCs w:val="30"/>
              </w:rPr>
              <w:t>号物资</w:t>
            </w:r>
          </w:p>
        </w:tc>
        <w:tc>
          <w:tcPr>
            <w:tcW w:w="2073" w:type="dxa"/>
            <w:vAlign w:val="top"/>
          </w:tcPr>
          <w:p w14:paraId="33D401E8">
            <w:pPr>
              <w:pStyle w:val="15"/>
              <w:spacing w:before="271" w:line="221" w:lineRule="auto"/>
              <w:ind w:left="539"/>
              <w:rPr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Times New Roman"/>
                <w:spacing w:val="20"/>
                <w:kern w:val="2"/>
                <w:sz w:val="32"/>
                <w:szCs w:val="32"/>
                <w:lang w:val="en-US" w:eastAsia="zh-CN" w:bidi="ar-SA"/>
              </w:rPr>
              <w:t>2</w:t>
            </w:r>
            <w:r>
              <w:rPr>
                <w:spacing w:val="-2"/>
                <w:sz w:val="30"/>
                <w:szCs w:val="30"/>
              </w:rPr>
              <w:t>号物资</w:t>
            </w:r>
          </w:p>
        </w:tc>
        <w:tc>
          <w:tcPr>
            <w:tcW w:w="2073" w:type="dxa"/>
            <w:vAlign w:val="top"/>
          </w:tcPr>
          <w:p w14:paraId="4F3B6A64">
            <w:pPr>
              <w:pStyle w:val="15"/>
              <w:spacing w:before="271" w:line="221" w:lineRule="auto"/>
              <w:ind w:left="544"/>
              <w:rPr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Times New Roman"/>
                <w:spacing w:val="20"/>
                <w:kern w:val="2"/>
                <w:sz w:val="32"/>
                <w:szCs w:val="32"/>
                <w:lang w:val="en-US" w:eastAsia="zh-CN" w:bidi="ar-SA"/>
              </w:rPr>
              <w:t>3</w:t>
            </w:r>
            <w:r>
              <w:rPr>
                <w:spacing w:val="-2"/>
                <w:sz w:val="30"/>
                <w:szCs w:val="30"/>
              </w:rPr>
              <w:t>号物资</w:t>
            </w:r>
          </w:p>
        </w:tc>
        <w:tc>
          <w:tcPr>
            <w:tcW w:w="2082" w:type="dxa"/>
            <w:vAlign w:val="top"/>
          </w:tcPr>
          <w:p w14:paraId="6CACDC6C">
            <w:pPr>
              <w:pStyle w:val="15"/>
              <w:spacing w:before="271" w:line="221" w:lineRule="auto"/>
              <w:ind w:left="533"/>
              <w:rPr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Times New Roman"/>
                <w:spacing w:val="20"/>
                <w:kern w:val="2"/>
                <w:sz w:val="32"/>
                <w:szCs w:val="32"/>
                <w:lang w:val="en-US" w:eastAsia="zh-CN" w:bidi="ar-SA"/>
              </w:rPr>
              <w:t>4</w:t>
            </w:r>
            <w:r>
              <w:rPr>
                <w:spacing w:val="3"/>
                <w:sz w:val="30"/>
                <w:szCs w:val="30"/>
              </w:rPr>
              <w:t>号物资</w:t>
            </w:r>
          </w:p>
        </w:tc>
      </w:tr>
      <w:tr w14:paraId="733C47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5" w:hRule="atLeast"/>
        </w:trPr>
        <w:tc>
          <w:tcPr>
            <w:tcW w:w="2082" w:type="dxa"/>
            <w:vAlign w:val="top"/>
          </w:tcPr>
          <w:p w14:paraId="5ECC19E0">
            <w:pPr>
              <w:spacing w:before="142" w:line="1680" w:lineRule="exact"/>
              <w:ind w:firstLine="262"/>
            </w:pPr>
            <w:r>
              <w:rPr>
                <w:position w:val="-33"/>
              </w:rPr>
              <w:drawing>
                <wp:inline distT="0" distB="0" distL="0" distR="0">
                  <wp:extent cx="1069340" cy="106680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  <w:vAlign w:val="top"/>
          </w:tcPr>
          <w:p w14:paraId="1A64D1C9">
            <w:pPr>
              <w:spacing w:before="101" w:line="1772" w:lineRule="exact"/>
              <w:ind w:firstLine="362"/>
            </w:pPr>
            <w:r>
              <w:rPr>
                <w:position w:val="-35"/>
              </w:rPr>
              <w:drawing>
                <wp:inline distT="0" distB="0" distL="0" distR="0">
                  <wp:extent cx="924560" cy="112458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67" cy="1124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  <w:vAlign w:val="top"/>
          </w:tcPr>
          <w:p w14:paraId="69B1EA90">
            <w:pPr>
              <w:spacing w:before="106" w:line="1759" w:lineRule="exact"/>
              <w:ind w:firstLine="292"/>
            </w:pPr>
            <w:r>
              <w:rPr>
                <w:position w:val="-35"/>
              </w:rPr>
              <w:drawing>
                <wp:inline distT="0" distB="0" distL="0" distR="0">
                  <wp:extent cx="1029970" cy="111696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3" cy="111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2" w:type="dxa"/>
            <w:vAlign w:val="top"/>
          </w:tcPr>
          <w:p w14:paraId="08FC34FE">
            <w:pPr>
              <w:spacing w:before="104" w:line="1766" w:lineRule="exact"/>
              <w:ind w:firstLine="356"/>
            </w:pPr>
            <w:r>
              <w:rPr>
                <w:position w:val="-35"/>
              </w:rPr>
              <w:drawing>
                <wp:inline distT="0" distB="0" distL="0" distR="0">
                  <wp:extent cx="942975" cy="112141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355" cy="1121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DADF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atLeast"/>
        </w:trPr>
        <w:tc>
          <w:tcPr>
            <w:tcW w:w="2082" w:type="dxa"/>
            <w:vAlign w:val="top"/>
          </w:tcPr>
          <w:p w14:paraId="55364F03">
            <w:pPr>
              <w:pStyle w:val="15"/>
              <w:spacing w:before="87" w:line="260" w:lineRule="auto"/>
              <w:ind w:left="420" w:right="385" w:firstLine="85"/>
            </w:pPr>
            <w:r>
              <w:rPr>
                <w:spacing w:val="-7"/>
              </w:rPr>
              <w:t>球或半球</w:t>
            </w:r>
            <w:r>
              <w:rPr>
                <w:spacing w:val="2"/>
              </w:rPr>
              <w:t>直径≥3</w:t>
            </w:r>
            <w:r>
              <w:t>CM</w:t>
            </w:r>
          </w:p>
        </w:tc>
        <w:tc>
          <w:tcPr>
            <w:tcW w:w="2073" w:type="dxa"/>
            <w:vAlign w:val="top"/>
          </w:tcPr>
          <w:p w14:paraId="4DD9235C">
            <w:pPr>
              <w:pStyle w:val="15"/>
              <w:spacing w:before="100" w:line="223" w:lineRule="auto"/>
              <w:ind w:left="646"/>
            </w:pPr>
            <w:r>
              <w:rPr>
                <w:spacing w:val="-8"/>
              </w:rPr>
              <w:t>长方体</w:t>
            </w:r>
          </w:p>
          <w:p w14:paraId="40167038">
            <w:pPr>
              <w:pStyle w:val="15"/>
              <w:spacing w:before="74" w:line="224" w:lineRule="auto"/>
              <w:ind w:left="141"/>
            </w:pPr>
            <w:r>
              <w:rPr>
                <w:spacing w:val="3"/>
              </w:rPr>
              <w:t>每个边长≥3</w:t>
            </w:r>
            <w:r>
              <w:t>CM</w:t>
            </w:r>
          </w:p>
        </w:tc>
        <w:tc>
          <w:tcPr>
            <w:tcW w:w="2073" w:type="dxa"/>
            <w:vAlign w:val="top"/>
          </w:tcPr>
          <w:p w14:paraId="601DA3EC">
            <w:pPr>
              <w:pStyle w:val="15"/>
              <w:spacing w:before="100" w:line="223" w:lineRule="auto"/>
              <w:ind w:left="514"/>
            </w:pPr>
            <w:r>
              <w:rPr>
                <w:spacing w:val="-8"/>
              </w:rPr>
              <w:t>正三棱锥</w:t>
            </w:r>
          </w:p>
          <w:p w14:paraId="129B41DE">
            <w:pPr>
              <w:pStyle w:val="15"/>
              <w:spacing w:before="74" w:line="224" w:lineRule="auto"/>
              <w:ind w:left="144"/>
            </w:pPr>
            <w:r>
              <w:rPr>
                <w:spacing w:val="3"/>
              </w:rPr>
              <w:t>每个边长≥3</w:t>
            </w:r>
            <w:r>
              <w:t>CM</w:t>
            </w:r>
          </w:p>
        </w:tc>
        <w:tc>
          <w:tcPr>
            <w:tcW w:w="2082" w:type="dxa"/>
            <w:vAlign w:val="top"/>
          </w:tcPr>
          <w:p w14:paraId="38CCA644">
            <w:pPr>
              <w:pStyle w:val="15"/>
              <w:spacing w:before="100" w:line="223" w:lineRule="auto"/>
              <w:ind w:left="508"/>
            </w:pPr>
            <w:r>
              <w:rPr>
                <w:spacing w:val="-6"/>
              </w:rPr>
              <w:t>直圆柱体</w:t>
            </w:r>
          </w:p>
          <w:p w14:paraId="14F635B2">
            <w:pPr>
              <w:pStyle w:val="15"/>
              <w:spacing w:before="72" w:line="223" w:lineRule="auto"/>
              <w:ind w:left="147"/>
            </w:pPr>
            <w:r>
              <w:rPr>
                <w:spacing w:val="-1"/>
              </w:rPr>
              <w:t>底面直径&amp;柱高</w:t>
            </w:r>
          </w:p>
          <w:p w14:paraId="7F7C1D16">
            <w:pPr>
              <w:pStyle w:val="15"/>
              <w:spacing w:before="57" w:line="241" w:lineRule="auto"/>
              <w:ind w:left="766"/>
            </w:pPr>
            <w:r>
              <w:rPr>
                <w:spacing w:val="-14"/>
              </w:rPr>
              <w:t>≥3CM</w:t>
            </w:r>
          </w:p>
        </w:tc>
      </w:tr>
    </w:tbl>
    <w:p w14:paraId="51830A0D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</w:p>
    <w:p w14:paraId="1E672636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</w:p>
    <w:p w14:paraId="746B8FC6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</w:p>
    <w:p w14:paraId="417FBB00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</w:p>
    <w:p w14:paraId="54BF20F1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</w:p>
    <w:p w14:paraId="06816AD3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</w:p>
    <w:p w14:paraId="42774378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</w:p>
    <w:p w14:paraId="3228131B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3.布局图示</w:t>
      </w:r>
    </w:p>
    <w:p w14:paraId="6018EA71">
      <w:pPr>
        <w:widowControl w:val="0"/>
        <w:numPr>
          <w:ilvl w:val="0"/>
          <w:numId w:val="0"/>
        </w:numPr>
        <w:spacing w:line="240" w:lineRule="auto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79950" cy="4354195"/>
            <wp:effectExtent l="0" t="0" r="6350" b="1905"/>
            <wp:docPr id="13" name="图片 13" descr="WPS图片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WPS图片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A1C8">
      <w:pPr>
        <w:widowControl w:val="0"/>
        <w:numPr>
          <w:ilvl w:val="0"/>
          <w:numId w:val="0"/>
        </w:numPr>
        <w:spacing w:line="240" w:lineRule="auto"/>
        <w:ind w:firstLine="420" w:firstLineChars="200"/>
        <w:jc w:val="both"/>
        <w:rPr>
          <w:position w:val="-107"/>
        </w:rPr>
      </w:pPr>
      <w:r>
        <w:rPr>
          <w:position w:val="-107"/>
        </w:rPr>
        <w:drawing>
          <wp:inline distT="0" distB="0" distL="0" distR="0">
            <wp:extent cx="5064760" cy="3416300"/>
            <wp:effectExtent l="0" t="0" r="254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341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5EB5">
      <w:pPr>
        <w:widowControl w:val="0"/>
        <w:numPr>
          <w:ilvl w:val="0"/>
          <w:numId w:val="0"/>
        </w:numPr>
        <w:spacing w:line="240" w:lineRule="auto"/>
        <w:ind w:firstLine="420" w:firstLineChars="200"/>
        <w:jc w:val="both"/>
        <w:rPr>
          <w:rFonts w:hint="default"/>
          <w:position w:val="-107"/>
          <w:lang w:val="en-US" w:eastAsia="zh-CN"/>
        </w:rPr>
      </w:pPr>
      <w:r>
        <w:rPr>
          <w:position w:val="-107"/>
        </w:rPr>
        <w:drawing>
          <wp:inline distT="0" distB="0" distL="0" distR="0">
            <wp:extent cx="5013325" cy="3415665"/>
            <wp:effectExtent l="0" t="0" r="3175" b="635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3959" cy="34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8456">
      <w:pPr>
        <w:numPr>
          <w:ilvl w:val="0"/>
          <w:numId w:val="0"/>
        </w:numPr>
        <w:ind w:leftChars="200"/>
        <w:rPr>
          <w:rFonts w:hint="default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  <w:t>六、竞赛任务</w:t>
      </w:r>
    </w:p>
    <w:p w14:paraId="166A8EDD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1.任务概述</w:t>
      </w:r>
    </w:p>
    <w:p w14:paraId="690ADCCD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四足机器人从启停区沿着黑色导引线出发，利用智能感知系统，获取周围的环境信息，识别场地中的障碍、台阶、各类物资平台、避障区等元素，完成检查及运送任务，最终回到启停区。</w:t>
      </w:r>
    </w:p>
    <w:p w14:paraId="714F073E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b/>
          <w:bCs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每支队伍上场时间为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分钟，时限内有两次机会，取最好成绩记录得分，作为比赛最终成绩。两次机会要求使用同一套竞赛设备。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</w:t>
      </w:r>
      <w:r>
        <w:rPr>
          <w:rFonts w:hint="default" w:ascii="方正仿宋_GB2312" w:hAnsi="方正仿宋_GB2312" w:eastAsia="方正仿宋_GB2312" w:cs="方正仿宋_GB2312"/>
          <w:b/>
          <w:bCs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分钟上场时间包含调试和两次完成比赛任务所需的时间 。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</w:t>
      </w:r>
      <w:r>
        <w:rPr>
          <w:rFonts w:hint="default" w:ascii="方正仿宋_GB2312" w:hAnsi="方正仿宋_GB2312" w:eastAsia="方正仿宋_GB2312" w:cs="方正仿宋_GB2312"/>
          <w:b/>
          <w:bCs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分钟倒计时结束 ，即比赛结束。</w:t>
      </w:r>
    </w:p>
    <w:p w14:paraId="3827D4B0">
      <w:pPr>
        <w:widowControl w:val="0"/>
        <w:numPr>
          <w:ilvl w:val="0"/>
          <w:numId w:val="2"/>
        </w:numPr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任务详细</w:t>
      </w:r>
    </w:p>
    <w:p w14:paraId="5276A468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裁判发出开始信号并启动计时后，四足机器人从启停区出发，跳过起点障碍物，到达避障区入口；进入避障区，完成避障任务后，到达台阶正前方；上下三级台阶后，继续行走至抓取平台。</w:t>
      </w:r>
    </w:p>
    <w:p w14:paraId="4FAFF615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将抓取平台的</w:t>
      </w:r>
      <w:r>
        <w:rPr>
          <w:rFonts w:hint="default" w:ascii="方正仿宋_GB2312" w:hAnsi="方正仿宋_GB2312" w:eastAsia="方正仿宋_GB2312" w:cs="方正仿宋_GB2312"/>
          <w:b/>
          <w:bCs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起始物资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抓取到四足机器人上，并识别抓取平台正面的识别标志。之后继续行走至中转平台，将</w:t>
      </w:r>
      <w:r>
        <w:rPr>
          <w:rFonts w:hint="default" w:ascii="方正仿宋_GB2312" w:hAnsi="方正仿宋_GB2312" w:eastAsia="方正仿宋_GB2312" w:cs="方正仿宋_GB2312"/>
          <w:b/>
          <w:bCs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起始物资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卸载到中转平台，并在中转平台抓取</w:t>
      </w:r>
      <w:r>
        <w:rPr>
          <w:rFonts w:hint="default" w:ascii="方正仿宋_GB2312" w:hAnsi="方正仿宋_GB2312" w:eastAsia="方正仿宋_GB2312" w:cs="方正仿宋_GB2312"/>
          <w:b/>
          <w:bCs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场地物资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。之后继续行走至检测点，在检测点停留并检测警示标志，四足机器人根据警示标志做出对应动作。完成动作后，继续行走至放置平台，根据抓取平台识别标志的提示，把</w:t>
      </w:r>
      <w:r>
        <w:rPr>
          <w:rFonts w:hint="default" w:ascii="方正仿宋_GB2312" w:hAnsi="方正仿宋_GB2312" w:eastAsia="方正仿宋_GB2312" w:cs="方正仿宋_GB2312"/>
          <w:b/>
          <w:bCs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场地物资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卸载到一号或二号放置平台。</w:t>
      </w:r>
    </w:p>
    <w:p w14:paraId="41F1AFD7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卸载完成后，继续行走至终点障碍物前，跳过终点障碍物；最终稳定停靠在启停区内，完成比赛。</w:t>
      </w:r>
    </w:p>
    <w:p w14:paraId="30B24766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完成比赛任务的过程中，遥控器放在启停区附近，四足机器人脱线运行，不能通过有线或无线的方式连接电脑。</w:t>
      </w:r>
    </w:p>
    <w:p w14:paraId="172D1280">
      <w:pPr>
        <w:numPr>
          <w:ilvl w:val="0"/>
          <w:numId w:val="0"/>
        </w:numPr>
        <w:ind w:leftChars="200"/>
        <w:rPr>
          <w:rFonts w:hint="default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  <w:t>七、成绩评定</w:t>
      </w:r>
    </w:p>
    <w:p w14:paraId="1460311B">
      <w:pPr>
        <w:widowControl w:val="0"/>
        <w:numPr>
          <w:ilvl w:val="0"/>
          <w:numId w:val="0"/>
        </w:numPr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1.评分细则</w:t>
      </w:r>
    </w:p>
    <w:p w14:paraId="0A51BE81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（1）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报告材料</w:t>
      </w:r>
    </w:p>
    <w:p w14:paraId="492035A7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选手需要在赛前一周内提交报告材料。报告材料中应该至少包含以下内容：作品概述、比赛程序、问题分析、技术方案与结果感想。由裁判组综合评审，满分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30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</w:t>
      </w:r>
    </w:p>
    <w:p w14:paraId="5E0C55F1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（2）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起点障碍</w:t>
      </w:r>
    </w:p>
    <w:p w14:paraId="09A33E07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四足机器人跳过起点障碍物，全程未碰触障碍物，得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</w:t>
      </w:r>
    </w:p>
    <w:p w14:paraId="595B5AFD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（3）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障碍区域</w:t>
      </w:r>
    </w:p>
    <w:p w14:paraId="1A806B76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四足机器人从避障区入口进入，出口离开，全程未碰触任意挡板，得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20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</w:t>
      </w:r>
    </w:p>
    <w:p w14:paraId="4610623B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（4）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越障区域</w:t>
      </w:r>
    </w:p>
    <w:p w14:paraId="3D3197D5">
      <w:pPr>
        <w:spacing w:before="141" w:line="347" w:lineRule="auto"/>
        <w:ind w:left="89" w:right="4034" w:firstLine="724"/>
        <w:rPr>
          <w:rFonts w:ascii="仿宋" w:hAnsi="仿宋" w:eastAsia="仿宋" w:cs="仿宋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3458210</wp:posOffset>
            </wp:positionH>
            <wp:positionV relativeFrom="paragraph">
              <wp:posOffset>471170</wp:posOffset>
            </wp:positionV>
            <wp:extent cx="2427605" cy="2121535"/>
            <wp:effectExtent l="0" t="0" r="10795" b="12065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四足机器人从台阶正面上下，全程未从台阶上掉落。</w:t>
      </w:r>
    </w:p>
    <w:p w14:paraId="73B6081C">
      <w:pPr>
        <w:spacing w:before="141" w:line="347" w:lineRule="auto"/>
        <w:ind w:left="89" w:right="4034" w:firstLine="724"/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-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每个足端都曾接触过第二或最高级台阶的顶面，得</w:t>
      </w: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20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</w:t>
      </w:r>
    </w:p>
    <w:p w14:paraId="7F26F96E">
      <w:pPr>
        <w:spacing w:before="141" w:line="347" w:lineRule="auto"/>
        <w:ind w:left="89" w:right="4034" w:firstLine="724"/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-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每个足端都曾接触过最高级台阶的顶面，得</w:t>
      </w: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30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</w:t>
      </w:r>
    </w:p>
    <w:p w14:paraId="3A6156CA">
      <w:pPr>
        <w:spacing w:before="97" w:line="221" w:lineRule="auto"/>
        <w:ind w:left="803"/>
      </w:pP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以上两种标准，同时满足的情况下取最高得分。</w:t>
      </w:r>
    </w:p>
    <w:p w14:paraId="6CA4FC98">
      <w:pPr>
        <w:spacing w:before="98" w:line="343" w:lineRule="auto"/>
        <w:ind w:left="46" w:right="3631" w:firstLine="718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3803015</wp:posOffset>
            </wp:positionH>
            <wp:positionV relativeFrom="paragraph">
              <wp:posOffset>287020</wp:posOffset>
            </wp:positionV>
            <wp:extent cx="1612265" cy="1359535"/>
            <wp:effectExtent l="0" t="0" r="635" b="12065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35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为了便于完成任务，选手可自行在第二级台阶的正面区域（正面区域如右侧图所示）粘贴大小为</w:t>
      </w: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10cm×10cm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ArucoTag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（尺寸包含外围白边）。</w:t>
      </w:r>
    </w:p>
    <w:p w14:paraId="4E8AF398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（5）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抓取平台</w:t>
      </w:r>
    </w:p>
    <w:p w14:paraId="1E2E1881">
      <w:pPr>
        <w:spacing w:before="36" w:line="221" w:lineRule="auto"/>
        <w:ind w:left="697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起始物资离开抓取平台顶面，得</w:t>
      </w: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</w:t>
      </w:r>
    </w:p>
    <w:p w14:paraId="3DF86D7B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（6）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中转平台</w:t>
      </w:r>
    </w:p>
    <w:p w14:paraId="555A73EB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-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起始物资卸载到中转平台顶面，得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20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分。（起始物资需稳定停留在中转平台顶面，可部分悬空）</w:t>
      </w:r>
    </w:p>
    <w:p w14:paraId="6C3BC571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-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场地物资离开中转平台顶面，得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</w:t>
      </w:r>
    </w:p>
    <w:p w14:paraId="58629817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（7）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检测平台</w:t>
      </w:r>
    </w:p>
    <w:p w14:paraId="1E84AF85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四足机器人的垂直投影面完全覆盖检测点，并根据检测平台的警示标识做出对应动作，得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20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</w:t>
      </w:r>
    </w:p>
    <w:tbl>
      <w:tblPr>
        <w:tblStyle w:val="16"/>
        <w:tblW w:w="852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"/>
        <w:gridCol w:w="2480"/>
        <w:gridCol w:w="2491"/>
        <w:gridCol w:w="2503"/>
      </w:tblGrid>
      <w:tr w14:paraId="6A7807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1046" w:type="dxa"/>
            <w:vMerge w:val="restart"/>
            <w:tcBorders>
              <w:bottom w:val="nil"/>
            </w:tcBorders>
            <w:vAlign w:val="top"/>
          </w:tcPr>
          <w:p w14:paraId="0187F937">
            <w:pPr>
              <w:spacing w:line="263" w:lineRule="auto"/>
              <w:rPr>
                <w:rFonts w:ascii="Arial"/>
                <w:sz w:val="21"/>
              </w:rPr>
            </w:pPr>
          </w:p>
          <w:p w14:paraId="071D4E80">
            <w:pPr>
              <w:spacing w:line="263" w:lineRule="auto"/>
              <w:rPr>
                <w:rFonts w:ascii="Arial"/>
                <w:sz w:val="21"/>
              </w:rPr>
            </w:pPr>
          </w:p>
          <w:p w14:paraId="02F7DAB8">
            <w:pPr>
              <w:spacing w:line="263" w:lineRule="auto"/>
              <w:rPr>
                <w:rFonts w:ascii="Arial"/>
                <w:sz w:val="21"/>
              </w:rPr>
            </w:pPr>
          </w:p>
          <w:p w14:paraId="551800FE">
            <w:pPr>
              <w:spacing w:line="264" w:lineRule="auto"/>
              <w:rPr>
                <w:rFonts w:ascii="Arial"/>
                <w:sz w:val="21"/>
              </w:rPr>
            </w:pPr>
          </w:p>
          <w:p w14:paraId="18C7BA75">
            <w:pPr>
              <w:pStyle w:val="15"/>
              <w:spacing w:before="97" w:line="347" w:lineRule="auto"/>
              <w:ind w:left="237" w:right="219"/>
              <w:rPr>
                <w:sz w:val="30"/>
                <w:szCs w:val="30"/>
              </w:rPr>
            </w:pPr>
            <w:r>
              <w:rPr>
                <w:spacing w:val="-9"/>
                <w:sz w:val="30"/>
                <w:szCs w:val="30"/>
              </w:rPr>
              <w:t>警示标识</w:t>
            </w:r>
          </w:p>
        </w:tc>
        <w:tc>
          <w:tcPr>
            <w:tcW w:w="2480" w:type="dxa"/>
            <w:vAlign w:val="top"/>
          </w:tcPr>
          <w:p w14:paraId="655FDEE7">
            <w:pPr>
              <w:pStyle w:val="15"/>
              <w:spacing w:before="231" w:line="226" w:lineRule="auto"/>
              <w:ind w:left="702"/>
              <w:rPr>
                <w:sz w:val="30"/>
                <w:szCs w:val="30"/>
              </w:rPr>
            </w:pPr>
            <w:r>
              <w:rPr>
                <w:spacing w:val="-12"/>
                <w:sz w:val="30"/>
                <w:szCs w:val="30"/>
              </w:rPr>
              <w:t>当心触电</w:t>
            </w:r>
          </w:p>
        </w:tc>
        <w:tc>
          <w:tcPr>
            <w:tcW w:w="2491" w:type="dxa"/>
            <w:vAlign w:val="top"/>
          </w:tcPr>
          <w:p w14:paraId="60F9BCA4">
            <w:pPr>
              <w:pStyle w:val="15"/>
              <w:spacing w:before="224" w:line="221" w:lineRule="auto"/>
              <w:ind w:left="394"/>
              <w:rPr>
                <w:sz w:val="30"/>
                <w:szCs w:val="30"/>
              </w:rPr>
            </w:pPr>
            <w:r>
              <w:rPr>
                <w:spacing w:val="-3"/>
                <w:sz w:val="30"/>
                <w:szCs w:val="30"/>
              </w:rPr>
              <w:t>当心强氧化物</w:t>
            </w:r>
          </w:p>
        </w:tc>
        <w:tc>
          <w:tcPr>
            <w:tcW w:w="2503" w:type="dxa"/>
            <w:vAlign w:val="top"/>
          </w:tcPr>
          <w:p w14:paraId="04F7223D">
            <w:pPr>
              <w:pStyle w:val="15"/>
              <w:spacing w:before="224" w:line="221" w:lineRule="auto"/>
              <w:ind w:left="714"/>
              <w:rPr>
                <w:sz w:val="30"/>
                <w:szCs w:val="30"/>
              </w:rPr>
            </w:pPr>
            <w:r>
              <w:rPr>
                <w:spacing w:val="-12"/>
                <w:sz w:val="30"/>
                <w:szCs w:val="30"/>
              </w:rPr>
              <w:t>当心辐射</w:t>
            </w:r>
          </w:p>
        </w:tc>
      </w:tr>
      <w:tr w14:paraId="7F393F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8" w:hRule="atLeast"/>
        </w:trPr>
        <w:tc>
          <w:tcPr>
            <w:tcW w:w="1046" w:type="dxa"/>
            <w:vMerge w:val="continue"/>
            <w:tcBorders>
              <w:top w:val="nil"/>
            </w:tcBorders>
            <w:vAlign w:val="top"/>
          </w:tcPr>
          <w:p w14:paraId="5EB51953">
            <w:pPr>
              <w:rPr>
                <w:rFonts w:ascii="Arial"/>
                <w:sz w:val="21"/>
              </w:rPr>
            </w:pPr>
          </w:p>
        </w:tc>
        <w:tc>
          <w:tcPr>
            <w:tcW w:w="2480" w:type="dxa"/>
            <w:vAlign w:val="top"/>
          </w:tcPr>
          <w:p w14:paraId="4317783F">
            <w:pPr>
              <w:spacing w:line="2002" w:lineRule="exact"/>
              <w:ind w:firstLine="99"/>
            </w:pPr>
            <w:r>
              <w:rPr>
                <w:position w:val="-40"/>
              </w:rPr>
              <w:drawing>
                <wp:inline distT="0" distB="0" distL="0" distR="0">
                  <wp:extent cx="1439545" cy="1271270"/>
                  <wp:effectExtent l="0" t="0" r="8255" b="1143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79" cy="1271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dxa"/>
            <w:vAlign w:val="top"/>
          </w:tcPr>
          <w:p w14:paraId="5DB14373">
            <w:pPr>
              <w:spacing w:line="2262" w:lineRule="exact"/>
              <w:ind w:firstLine="105"/>
            </w:pPr>
            <w:r>
              <w:rPr>
                <w:position w:val="-45"/>
              </w:rPr>
              <w:drawing>
                <wp:inline distT="0" distB="0" distL="0" distR="0">
                  <wp:extent cx="1439545" cy="1436370"/>
                  <wp:effectExtent l="0" t="0" r="8255" b="1143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79" cy="1436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3" w:type="dxa"/>
            <w:vAlign w:val="top"/>
          </w:tcPr>
          <w:p w14:paraId="34067055">
            <w:pPr>
              <w:spacing w:line="2262" w:lineRule="exact"/>
              <w:ind w:firstLine="108"/>
            </w:pPr>
            <w:r>
              <w:rPr>
                <w:position w:val="-45"/>
              </w:rPr>
              <w:drawing>
                <wp:inline distT="0" distB="0" distL="0" distR="0">
                  <wp:extent cx="1439545" cy="1436370"/>
                  <wp:effectExtent l="0" t="0" r="8255" b="1143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79" cy="1436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82B8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2" w:hRule="atLeast"/>
        </w:trPr>
        <w:tc>
          <w:tcPr>
            <w:tcW w:w="1046" w:type="dxa"/>
            <w:vAlign w:val="top"/>
          </w:tcPr>
          <w:p w14:paraId="6AB96C16">
            <w:pPr>
              <w:pStyle w:val="15"/>
              <w:spacing w:before="228" w:line="224" w:lineRule="auto"/>
              <w:ind w:left="245"/>
              <w:rPr>
                <w:sz w:val="30"/>
                <w:szCs w:val="30"/>
              </w:rPr>
            </w:pPr>
            <w:r>
              <w:rPr>
                <w:spacing w:val="-12"/>
                <w:sz w:val="30"/>
                <w:szCs w:val="30"/>
              </w:rPr>
              <w:t>对应</w:t>
            </w:r>
          </w:p>
          <w:p w14:paraId="354FB104">
            <w:pPr>
              <w:pStyle w:val="15"/>
              <w:spacing w:before="191" w:line="220" w:lineRule="auto"/>
              <w:ind w:left="246"/>
              <w:rPr>
                <w:sz w:val="30"/>
                <w:szCs w:val="30"/>
              </w:rPr>
            </w:pPr>
            <w:r>
              <w:rPr>
                <w:spacing w:val="-12"/>
                <w:sz w:val="30"/>
                <w:szCs w:val="30"/>
              </w:rPr>
              <w:t>动作</w:t>
            </w:r>
          </w:p>
        </w:tc>
        <w:tc>
          <w:tcPr>
            <w:tcW w:w="2480" w:type="dxa"/>
            <w:vAlign w:val="top"/>
          </w:tcPr>
          <w:p w14:paraId="1958D45C">
            <w:pPr>
              <w:spacing w:line="415" w:lineRule="auto"/>
              <w:rPr>
                <w:rFonts w:ascii="Arial"/>
                <w:sz w:val="21"/>
              </w:rPr>
            </w:pPr>
          </w:p>
          <w:p w14:paraId="508032C8">
            <w:pPr>
              <w:pStyle w:val="15"/>
              <w:spacing w:before="97" w:line="222" w:lineRule="auto"/>
              <w:ind w:left="808"/>
              <w:rPr>
                <w:sz w:val="30"/>
                <w:szCs w:val="30"/>
              </w:rPr>
            </w:pPr>
            <w:r>
              <w:rPr>
                <w:spacing w:val="-5"/>
                <w:sz w:val="30"/>
                <w:szCs w:val="30"/>
              </w:rPr>
              <w:t>伸懒腰</w:t>
            </w:r>
          </w:p>
        </w:tc>
        <w:tc>
          <w:tcPr>
            <w:tcW w:w="2491" w:type="dxa"/>
            <w:vAlign w:val="top"/>
          </w:tcPr>
          <w:p w14:paraId="79964F77">
            <w:pPr>
              <w:spacing w:line="414" w:lineRule="auto"/>
              <w:rPr>
                <w:rFonts w:ascii="Arial"/>
                <w:sz w:val="21"/>
              </w:rPr>
            </w:pPr>
          </w:p>
          <w:p w14:paraId="5C1B5EED">
            <w:pPr>
              <w:pStyle w:val="15"/>
              <w:spacing w:before="98" w:line="223" w:lineRule="auto"/>
              <w:ind w:left="812"/>
              <w:rPr>
                <w:sz w:val="30"/>
                <w:szCs w:val="30"/>
              </w:rPr>
            </w:pPr>
            <w:r>
              <w:rPr>
                <w:spacing w:val="-4"/>
                <w:sz w:val="30"/>
                <w:szCs w:val="30"/>
              </w:rPr>
              <w:t>打招呼</w:t>
            </w:r>
          </w:p>
        </w:tc>
        <w:tc>
          <w:tcPr>
            <w:tcW w:w="2503" w:type="dxa"/>
            <w:vAlign w:val="top"/>
          </w:tcPr>
          <w:p w14:paraId="554A42F1">
            <w:pPr>
              <w:spacing w:line="411" w:lineRule="auto"/>
              <w:rPr>
                <w:rFonts w:ascii="Arial"/>
                <w:sz w:val="21"/>
              </w:rPr>
            </w:pPr>
          </w:p>
          <w:p w14:paraId="6DB2EB68">
            <w:pPr>
              <w:pStyle w:val="15"/>
              <w:spacing w:before="98" w:line="222" w:lineRule="auto"/>
              <w:ind w:left="391"/>
              <w:rPr>
                <w:sz w:val="30"/>
                <w:szCs w:val="30"/>
              </w:rPr>
            </w:pPr>
            <w:r>
              <w:rPr>
                <w:spacing w:val="-2"/>
                <w:sz w:val="30"/>
                <w:szCs w:val="30"/>
              </w:rPr>
              <w:t>闪烁前灯三次</w:t>
            </w:r>
          </w:p>
        </w:tc>
      </w:tr>
    </w:tbl>
    <w:p w14:paraId="1BBF6EF0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（8）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放置平台</w:t>
      </w:r>
    </w:p>
    <w:p w14:paraId="4AD83AA0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将场地物资放置到抓取平台检测标志对应的放置平台顶面，得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30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分。（场地物资需稳定停留在放置平台顶面，可部分悬空）</w:t>
      </w:r>
    </w:p>
    <w:tbl>
      <w:tblPr>
        <w:tblStyle w:val="16"/>
        <w:tblW w:w="8855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3234"/>
        <w:gridCol w:w="3241"/>
      </w:tblGrid>
      <w:tr w14:paraId="093BF9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restart"/>
            <w:tcBorders>
              <w:bottom w:val="nil"/>
            </w:tcBorders>
            <w:vAlign w:val="top"/>
          </w:tcPr>
          <w:p w14:paraId="42EDC329">
            <w:pPr>
              <w:keepNext/>
              <w:snapToGrid w:val="0"/>
              <w:spacing w:line="257" w:lineRule="auto"/>
              <w:rPr>
                <w:rFonts w:ascii="Arial"/>
                <w:sz w:val="21"/>
              </w:rPr>
            </w:pPr>
          </w:p>
          <w:p w14:paraId="3917EBAE">
            <w:pPr>
              <w:keepNext/>
              <w:snapToGrid w:val="0"/>
              <w:spacing w:line="257" w:lineRule="auto"/>
              <w:rPr>
                <w:rFonts w:ascii="Arial"/>
                <w:sz w:val="21"/>
              </w:rPr>
            </w:pPr>
          </w:p>
          <w:p w14:paraId="0F09E465">
            <w:pPr>
              <w:keepNext/>
              <w:snapToGrid w:val="0"/>
              <w:spacing w:line="257" w:lineRule="auto"/>
              <w:rPr>
                <w:rFonts w:ascii="Arial"/>
                <w:sz w:val="21"/>
              </w:rPr>
            </w:pPr>
          </w:p>
          <w:p w14:paraId="21796181">
            <w:pPr>
              <w:keepNext/>
              <w:snapToGrid w:val="0"/>
              <w:spacing w:line="257" w:lineRule="auto"/>
              <w:rPr>
                <w:rFonts w:ascii="Arial"/>
                <w:sz w:val="21"/>
              </w:rPr>
            </w:pPr>
          </w:p>
          <w:p w14:paraId="29517997">
            <w:pPr>
              <w:keepNext/>
              <w:snapToGrid w:val="0"/>
              <w:spacing w:line="257" w:lineRule="auto"/>
              <w:rPr>
                <w:rFonts w:ascii="Arial"/>
                <w:sz w:val="21"/>
              </w:rPr>
            </w:pPr>
          </w:p>
          <w:p w14:paraId="11F7D1A2">
            <w:pPr>
              <w:keepNext/>
              <w:snapToGrid w:val="0"/>
              <w:spacing w:line="257" w:lineRule="auto"/>
              <w:rPr>
                <w:rFonts w:ascii="Arial"/>
                <w:sz w:val="21"/>
              </w:rPr>
            </w:pPr>
          </w:p>
          <w:p w14:paraId="08FB93E4">
            <w:pPr>
              <w:pStyle w:val="15"/>
              <w:keepNext/>
              <w:snapToGrid w:val="0"/>
              <w:spacing w:before="98" w:line="222" w:lineRule="auto"/>
              <w:ind w:left="608"/>
              <w:rPr>
                <w:sz w:val="30"/>
                <w:szCs w:val="30"/>
              </w:rPr>
            </w:pPr>
            <w:r>
              <w:rPr>
                <w:spacing w:val="2"/>
                <w:sz w:val="30"/>
                <w:szCs w:val="30"/>
              </w:rPr>
              <w:t>识别标志</w:t>
            </w:r>
          </w:p>
        </w:tc>
        <w:tc>
          <w:tcPr>
            <w:tcW w:w="0" w:type="auto"/>
            <w:vAlign w:val="top"/>
          </w:tcPr>
          <w:p w14:paraId="3F536A94">
            <w:pPr>
              <w:pStyle w:val="15"/>
              <w:keepNext/>
              <w:snapToGrid w:val="0"/>
              <w:spacing w:before="228" w:line="222" w:lineRule="auto"/>
              <w:ind w:left="1027"/>
              <w:rPr>
                <w:sz w:val="30"/>
                <w:szCs w:val="30"/>
              </w:rPr>
            </w:pPr>
            <w:r>
              <w:rPr>
                <w:rFonts w:hint="default" w:ascii="Times New Roman" w:hAnsi="Times New Roman" w:eastAsia="方正仿宋_GB2312" w:cs="Times New Roman"/>
                <w:spacing w:val="20"/>
                <w:kern w:val="2"/>
                <w:sz w:val="32"/>
                <w:szCs w:val="32"/>
                <w:lang w:val="en-US" w:eastAsia="zh-CN" w:bidi="ar-SA"/>
              </w:rPr>
              <w:t>1</w:t>
            </w:r>
            <w:r>
              <w:rPr>
                <w:spacing w:val="-4"/>
                <w:sz w:val="30"/>
                <w:szCs w:val="30"/>
              </w:rPr>
              <w:t>号标识</w:t>
            </w:r>
          </w:p>
        </w:tc>
        <w:tc>
          <w:tcPr>
            <w:tcW w:w="3241" w:type="dxa"/>
            <w:vAlign w:val="top"/>
          </w:tcPr>
          <w:p w14:paraId="42CE034E">
            <w:pPr>
              <w:pStyle w:val="15"/>
              <w:keepNext/>
              <w:snapToGrid w:val="0"/>
              <w:spacing w:before="228" w:line="222" w:lineRule="auto"/>
              <w:ind w:left="994"/>
              <w:rPr>
                <w:sz w:val="30"/>
                <w:szCs w:val="30"/>
              </w:rPr>
            </w:pPr>
            <w:r>
              <w:rPr>
                <w:rFonts w:hint="default" w:ascii="Times New Roman" w:hAnsi="Times New Roman" w:eastAsia="方正仿宋_GB2312" w:cs="Times New Roman"/>
                <w:spacing w:val="20"/>
                <w:kern w:val="2"/>
                <w:sz w:val="32"/>
                <w:szCs w:val="32"/>
                <w:lang w:val="en-US" w:eastAsia="zh-CN" w:bidi="ar-SA"/>
              </w:rPr>
              <w:t>2</w:t>
            </w:r>
            <w:r>
              <w:rPr>
                <w:spacing w:val="4"/>
                <w:sz w:val="30"/>
                <w:szCs w:val="30"/>
              </w:rPr>
              <w:t>号标识</w:t>
            </w:r>
          </w:p>
        </w:tc>
      </w:tr>
      <w:tr w14:paraId="7B2DDF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continue"/>
            <w:tcBorders>
              <w:top w:val="nil"/>
            </w:tcBorders>
            <w:vAlign w:val="top"/>
          </w:tcPr>
          <w:p w14:paraId="615A93DC">
            <w:pPr>
              <w:keepNext/>
              <w:snapToGrid w:val="0"/>
              <w:rPr>
                <w:rFonts w:ascii="Arial"/>
                <w:sz w:val="21"/>
              </w:rPr>
            </w:pPr>
          </w:p>
        </w:tc>
        <w:tc>
          <w:tcPr>
            <w:tcW w:w="0" w:type="auto"/>
            <w:vAlign w:val="top"/>
          </w:tcPr>
          <w:p w14:paraId="078C2411">
            <w:pPr>
              <w:keepNext/>
              <w:snapToGrid w:val="0"/>
              <w:spacing w:line="2822" w:lineRule="exact"/>
              <w:ind w:firstLine="101"/>
            </w:pPr>
            <w:r>
              <w:rPr>
                <w:position w:val="-56"/>
              </w:rPr>
              <w:drawing>
                <wp:inline distT="0" distB="0" distL="0" distR="0">
                  <wp:extent cx="1795145" cy="1791970"/>
                  <wp:effectExtent l="0" t="0" r="8255" b="1143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272" cy="1792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1" w:type="dxa"/>
            <w:vAlign w:val="top"/>
          </w:tcPr>
          <w:p w14:paraId="57988BAE">
            <w:pPr>
              <w:keepNext/>
              <w:snapToGrid w:val="0"/>
              <w:spacing w:before="7" w:line="2805" w:lineRule="exact"/>
              <w:ind w:firstLine="107"/>
            </w:pPr>
            <w:r>
              <w:rPr>
                <w:position w:val="-56"/>
              </w:rPr>
              <w:drawing>
                <wp:inline distT="0" distB="0" distL="0" distR="0">
                  <wp:extent cx="1799590" cy="1781175"/>
                  <wp:effectExtent l="0" t="0" r="3810" b="9525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844" cy="178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44DC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380" w:type="dxa"/>
            <w:vAlign w:val="top"/>
          </w:tcPr>
          <w:p w14:paraId="626F83B8">
            <w:pPr>
              <w:pStyle w:val="15"/>
              <w:keepNext/>
              <w:snapToGrid w:val="0"/>
              <w:spacing w:before="224" w:line="221" w:lineRule="auto"/>
              <w:ind w:left="293"/>
              <w:rPr>
                <w:sz w:val="30"/>
                <w:szCs w:val="30"/>
              </w:rPr>
            </w:pPr>
            <w:r>
              <w:rPr>
                <w:spacing w:val="6"/>
                <w:sz w:val="30"/>
                <w:szCs w:val="30"/>
              </w:rPr>
              <w:t>对应放置平台</w:t>
            </w:r>
          </w:p>
        </w:tc>
        <w:tc>
          <w:tcPr>
            <w:tcW w:w="3234" w:type="dxa"/>
            <w:vAlign w:val="top"/>
          </w:tcPr>
          <w:p w14:paraId="161CF0AB">
            <w:pPr>
              <w:pStyle w:val="15"/>
              <w:keepNext/>
              <w:snapToGrid w:val="0"/>
              <w:spacing w:before="231" w:line="221" w:lineRule="auto"/>
              <w:ind w:left="618"/>
              <w:rPr>
                <w:sz w:val="30"/>
                <w:szCs w:val="30"/>
              </w:rPr>
            </w:pPr>
            <w:r>
              <w:rPr>
                <w:spacing w:val="5"/>
                <w:sz w:val="30"/>
                <w:szCs w:val="30"/>
              </w:rPr>
              <w:t>一号放置平台</w:t>
            </w:r>
          </w:p>
        </w:tc>
        <w:tc>
          <w:tcPr>
            <w:tcW w:w="3241" w:type="dxa"/>
            <w:vAlign w:val="top"/>
          </w:tcPr>
          <w:p w14:paraId="71D8960C">
            <w:pPr>
              <w:pStyle w:val="15"/>
              <w:keepNext/>
              <w:snapToGrid w:val="0"/>
              <w:spacing w:before="231" w:line="221" w:lineRule="auto"/>
              <w:ind w:left="633"/>
              <w:rPr>
                <w:sz w:val="30"/>
                <w:szCs w:val="30"/>
              </w:rPr>
            </w:pPr>
            <w:r>
              <w:rPr>
                <w:spacing w:val="4"/>
                <w:sz w:val="30"/>
                <w:szCs w:val="30"/>
              </w:rPr>
              <w:t>二号放置平台</w:t>
            </w:r>
          </w:p>
        </w:tc>
      </w:tr>
    </w:tbl>
    <w:p w14:paraId="5D49E7F8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（9）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终点障碍</w:t>
      </w:r>
    </w:p>
    <w:p w14:paraId="0A55C8C4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四足机器人跳过终点障碍物，全程未碰触障碍物，得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</w:t>
      </w:r>
    </w:p>
    <w:p w14:paraId="0E20567B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（10）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终点停靠</w:t>
      </w:r>
    </w:p>
    <w:p w14:paraId="2FBBB5F4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四足机器人停止移动，稳定停靠在启停区内（四个足端完全位于启停区的蓝色区域内），得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</w:t>
      </w:r>
    </w:p>
    <w:p w14:paraId="163C51B4">
      <w:pPr>
        <w:widowControl w:val="0"/>
        <w:numPr>
          <w:ilvl w:val="0"/>
          <w:numId w:val="3"/>
        </w:numPr>
        <w:ind w:left="0" w:leftChars="0"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违规扣分</w:t>
      </w:r>
    </w:p>
    <w:p w14:paraId="773952D8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人工干预限时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秒，扣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30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分。</w:t>
      </w:r>
    </w:p>
    <w:p w14:paraId="121379C8">
      <w:pPr>
        <w:widowControl w:val="0"/>
        <w:numPr>
          <w:ilvl w:val="0"/>
          <w:numId w:val="3"/>
        </w:numPr>
        <w:ind w:left="0" w:leftChars="0" w:firstLine="720" w:firstLineChars="200"/>
        <w:jc w:val="both"/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eastAsia="zh-CN"/>
        </w:rPr>
      </w:pPr>
      <w:r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eastAsia="zh-CN"/>
        </w:rPr>
        <w:t>特殊情况处理</w:t>
      </w:r>
    </w:p>
    <w:p w14:paraId="353DF14F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（1）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人工干预</w:t>
      </w:r>
    </w:p>
    <w:p w14:paraId="7ED927B8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四足机器人无法正常行动时，选手需先向裁判提出人工干预申请，在裁判许可后，进行人工干预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EDA69A7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比赛有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次人工干预机会，每次人工干预时间不得超过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秒钟，在干预的过程中计时不停止。</w:t>
      </w:r>
    </w:p>
    <w:p w14:paraId="0DFCB21B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人工干预时只允许沿垂直于赛道的方向移动或转动四足机器人，不允许改变四足机器人与终点间所剩赛道的有效距离，不允许点击四足机器人上的按钮，不允许重启四足机器人，不允许触碰电脑 ，可以使用遥控器控制四足机器人。</w:t>
      </w:r>
    </w:p>
    <w:p w14:paraId="1060D8FA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（2）</w:t>
      </w:r>
      <w:r>
        <w:rPr>
          <w:rFonts w:hint="eastAsia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违规处理</w:t>
      </w:r>
    </w:p>
    <w:p w14:paraId="21DF90DA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当参赛队伍在赛局中出现违规行为时，将视其行为进行处罚。</w:t>
      </w:r>
    </w:p>
    <w:p w14:paraId="33B08AF1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警告：视情况给予警告。当队伍在一局比赛中被累计三次警告后，处以罚停。</w:t>
      </w:r>
    </w:p>
    <w:p w14:paraId="4094B0C4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扣分：视情况扣除本局比赛的得分，扣分以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分为止。</w:t>
      </w:r>
    </w:p>
    <w:p w14:paraId="0EEEE874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罚停：四足机器人停止运动，赛局直接结束，按照规则计分。</w:t>
      </w:r>
    </w:p>
    <w:p w14:paraId="1FFBCACD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失去资格：四足机器人停止运动，赛局直接结束，本局得分以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分计。</w:t>
      </w:r>
    </w:p>
    <w:p w14:paraId="17F5A9D7">
      <w:pPr>
        <w:numPr>
          <w:ilvl w:val="0"/>
          <w:numId w:val="0"/>
        </w:numPr>
        <w:ind w:leftChars="200"/>
        <w:rPr>
          <w:rFonts w:hint="default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  <w:t>八、竞赛流程</w:t>
      </w:r>
    </w:p>
    <w:p w14:paraId="7018A8AC">
      <w:pPr>
        <w:widowControl w:val="0"/>
        <w:numPr>
          <w:ilvl w:val="0"/>
          <w:numId w:val="0"/>
        </w:numPr>
        <w:ind w:leftChars="200" w:firstLine="360" w:firstLineChars="1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1.检录规则</w:t>
      </w:r>
    </w:p>
    <w:p w14:paraId="074991A9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赛队上场后，首先拿出设备和四个物资进行检录。检录完成后进行三次抽签。</w:t>
      </w:r>
    </w:p>
    <w:p w14:paraId="5CD87315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第一次抽签：从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4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个物资中抽取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2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个。抽中的第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个物资作为</w:t>
      </w:r>
      <w:r>
        <w:rPr>
          <w:rFonts w:hint="default" w:ascii="方正仿宋_GB2312" w:hAnsi="方正仿宋_GB2312" w:eastAsia="方正仿宋_GB2312" w:cs="方正仿宋_GB2312"/>
          <w:b/>
          <w:bCs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起始物资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；抽中的第二个物资作为</w:t>
      </w:r>
      <w:r>
        <w:rPr>
          <w:rFonts w:hint="default" w:ascii="方正仿宋_GB2312" w:hAnsi="方正仿宋_GB2312" w:eastAsia="方正仿宋_GB2312" w:cs="方正仿宋_GB2312"/>
          <w:b/>
          <w:bCs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场地物资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1784FB0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第二次抽签：从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2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个识别标志内抽取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个，用于抓取平台。</w:t>
      </w:r>
    </w:p>
    <w:p w14:paraId="23363A93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第三次抽签：从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3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个警示标志内抽取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个，用于检测平台。</w:t>
      </w:r>
    </w:p>
    <w:p w14:paraId="45E29637">
      <w:pPr>
        <w:widowControl w:val="0"/>
        <w:numPr>
          <w:ilvl w:val="0"/>
          <w:numId w:val="0"/>
        </w:numPr>
        <w:ind w:leftChars="200" w:firstLine="360" w:firstLineChars="100"/>
        <w:jc w:val="both"/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2.赛场规则</w:t>
      </w:r>
    </w:p>
    <w:p w14:paraId="24AFFAA4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检录&amp;抽签完成后，开始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10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分钟倒计时。</w:t>
      </w:r>
    </w:p>
    <w:p w14:paraId="5A767863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倒计时内，赛队可以自由进行调试。调试完成后，选手向裁判申请开始比赛，经裁判同意后再开始。</w:t>
      </w:r>
    </w:p>
    <w:p w14:paraId="24A6E36B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倒计时结束或使用完两次比赛机会后，比赛即结束。比赛结束后，裁判根据比赛情况完成评分，并和参赛选手核对结果。选手确认无误后，需在评分表上签字确认。</w:t>
      </w:r>
    </w:p>
    <w:p w14:paraId="0C98E7BB">
      <w:pPr>
        <w:numPr>
          <w:ilvl w:val="0"/>
          <w:numId w:val="0"/>
        </w:numPr>
        <w:ind w:leftChars="200"/>
        <w:rPr>
          <w:rFonts w:hint="default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  <w:t>九、赛项安全</w:t>
      </w:r>
    </w:p>
    <w:p w14:paraId="6CB6FF2E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eastAsia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赛队需要自行保护好参赛设备。且充分考虑赛前可能会出现的突发情况，并且提前设计应对的方案。</w:t>
      </w:r>
    </w:p>
    <w:p w14:paraId="72EB24E6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比赛现场设置安全员</w:t>
      </w:r>
      <w:r>
        <w:rPr>
          <w:rFonts w:hint="default" w:ascii="Times New Roman" w:hAnsi="Times New Roman" w:eastAsia="方正仿宋_GB2312" w:cs="Times New Roman"/>
          <w:spacing w:val="20"/>
          <w:sz w:val="32"/>
          <w:szCs w:val="32"/>
          <w:lang w:val="en-US" w:eastAsia="zh-CN"/>
        </w:rPr>
        <w:t>1</w:t>
      </w: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人，在比赛期间对比赛场地进行封闭并负责现场异常状况的处理。当出现失控等情况时，由裁判宣布暂停比赛，由安全员待四足机器人静止、断电后入场，清理现场并确认比赛场地安全后恢复比赛。当出现人身意外伤害情况时，由裁判宣布暂停比赛，由安全员联系组委会、相关组织进行紧急处理。当出现其它突发情况时，由安全员协调裁判、组委会共同处理。</w:t>
      </w:r>
    </w:p>
    <w:p w14:paraId="253F3565">
      <w:pPr>
        <w:numPr>
          <w:ilvl w:val="0"/>
          <w:numId w:val="0"/>
        </w:numPr>
        <w:ind w:leftChars="200"/>
        <w:rPr>
          <w:rFonts w:hint="default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spacing w:val="20"/>
          <w:kern w:val="2"/>
          <w:sz w:val="32"/>
          <w:szCs w:val="32"/>
          <w:lang w:val="en-US" w:eastAsia="zh-CN" w:bidi="ar"/>
        </w:rPr>
        <w:t>十、其他说明</w:t>
      </w:r>
    </w:p>
    <w:p w14:paraId="3C3D9418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实际制作的场地及相关设备与本规则公布的相比，难免有一定误差：长度不同，交叉角度不同，赛道直线有所弯曲，场地表面及粘贴引导线有拼接缝隙、不平整，颜色有所偏差，场地有所磨损等，参赛队伍需要自行考虑对应设计方案。</w:t>
      </w:r>
    </w:p>
    <w:p w14:paraId="7D26114F">
      <w:pPr>
        <w:numPr>
          <w:ilvl w:val="0"/>
          <w:numId w:val="0"/>
        </w:numPr>
        <w:spacing w:line="594" w:lineRule="exact"/>
        <w:ind w:firstLine="720" w:firstLineChars="200"/>
        <w:rPr>
          <w:rFonts w:hint="eastAsia" w:ascii="方正楷体_GB2312" w:hAnsi="方正楷体_GB2312" w:eastAsia="方正楷体_GB2312" w:cs="方正楷体_GB2312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1.</w:t>
      </w:r>
      <w:r>
        <w:rPr>
          <w:rFonts w:hint="eastAsia" w:ascii="方正楷体_GB2312" w:hAnsi="方正楷体_GB2312" w:eastAsia="方正楷体_GB2312" w:cs="方正楷体_GB2312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规则最终解释权归组委会所有；</w:t>
      </w:r>
    </w:p>
    <w:p w14:paraId="0BFC5435">
      <w:pPr>
        <w:numPr>
          <w:ilvl w:val="0"/>
          <w:numId w:val="0"/>
        </w:numPr>
        <w:spacing w:line="594" w:lineRule="exact"/>
        <w:ind w:firstLine="720" w:firstLineChars="200"/>
        <w:rPr>
          <w:rFonts w:hint="eastAsia" w:ascii="方正楷体_GB2312" w:hAnsi="方正楷体_GB2312" w:eastAsia="方正楷体_GB2312" w:cs="方正楷体_GB2312"/>
          <w:snapToGrid w:val="0"/>
          <w:color w:val="000000"/>
          <w:spacing w:val="2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2.</w:t>
      </w:r>
      <w:r>
        <w:rPr>
          <w:rFonts w:hint="eastAsia" w:ascii="方正楷体_GB2312" w:hAnsi="方正楷体_GB2312" w:eastAsia="方正楷体_GB2312" w:cs="方正楷体_GB2312"/>
          <w:snapToGrid w:val="0"/>
          <w:color w:val="000000"/>
          <w:spacing w:val="20"/>
          <w:kern w:val="0"/>
          <w:sz w:val="32"/>
          <w:szCs w:val="32"/>
          <w:lang w:val="en-US" w:eastAsia="zh-CN"/>
        </w:rPr>
        <w:t>技术细节更新以赛前睿抗官网/公众号发布的为准。</w:t>
      </w:r>
    </w:p>
    <w:p w14:paraId="742B28A4">
      <w:pPr>
        <w:widowControl w:val="0"/>
        <w:numPr>
          <w:ilvl w:val="0"/>
          <w:numId w:val="0"/>
        </w:numPr>
        <w:spacing w:line="594" w:lineRule="exact"/>
        <w:ind w:firstLine="720" w:firstLineChars="200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57603AB">
      <w:pPr>
        <w:widowControl w:val="0"/>
        <w:numPr>
          <w:ilvl w:val="0"/>
          <w:numId w:val="0"/>
        </w:numPr>
        <w:spacing w:line="594" w:lineRule="exact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EC434C2">
      <w:pPr>
        <w:widowControl w:val="0"/>
        <w:numPr>
          <w:ilvl w:val="0"/>
          <w:numId w:val="0"/>
        </w:numPr>
        <w:spacing w:line="594" w:lineRule="exact"/>
        <w:jc w:val="both"/>
        <w:rPr>
          <w:rFonts w:hint="default" w:ascii="方正仿宋_GB2312" w:hAnsi="方正仿宋_GB2312" w:eastAsia="方正仿宋_GB2312" w:cs="方正仿宋_GB2312"/>
          <w:color w:val="000000" w:themeColor="text1"/>
          <w:spacing w:val="20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984" w:left="1587" w:header="851" w:footer="1191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2A6C853-9228-4436-9495-D0211C3A43E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C84FB93B-EC3E-457F-8FF8-3F09A8C643D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LT Pro">
    <w:panose1 w:val="020B0504020202020204"/>
    <w:charset w:val="00"/>
    <w:family w:val="auto"/>
    <w:pitch w:val="default"/>
    <w:sig w:usb0="A00002AF" w:usb1="5000204A" w:usb2="00000000" w:usb3="00000000" w:csb0="20000097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202CD10-80E2-42B6-9DC7-3670F72DAC47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32AA14EB-8379-4018-A5C0-22CBE395173C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091195DB-F8A3-4BB4-A5C7-DBAE347A189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6" w:fontKey="{2E22F362-DBF7-4C43-8585-D3F4A8822986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7" w:fontKey="{34EA05CC-6BB5-4209-BFF8-02DD82D44407}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WPSEMBED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10901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AF0274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AF0274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28B5D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22662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22662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2244D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D095A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D095A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3E9985"/>
    <w:multiLevelType w:val="singleLevel"/>
    <w:tmpl w:val="D33E998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834B7A9"/>
    <w:multiLevelType w:val="singleLevel"/>
    <w:tmpl w:val="D834B7A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AC92D4F"/>
    <w:multiLevelType w:val="singleLevel"/>
    <w:tmpl w:val="3AC92D4F"/>
    <w:lvl w:ilvl="0" w:tentative="0">
      <w:start w:val="2"/>
      <w:numFmt w:val="decimal"/>
      <w:suff w:val="nothing"/>
      <w:lvlText w:val="（%1）"/>
      <w:lvlJc w:val="left"/>
      <w:rPr>
        <w:rFonts w:hint="default" w:ascii="Times New Roman" w:hAnsi="Times New Roman" w:cs="Times New Roman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C90D19"/>
    <w:rsid w:val="012313A8"/>
    <w:rsid w:val="155657A6"/>
    <w:rsid w:val="16FE2D1E"/>
    <w:rsid w:val="1BF1D8F6"/>
    <w:rsid w:val="1FBB9A0A"/>
    <w:rsid w:val="1FD51247"/>
    <w:rsid w:val="1FFF023A"/>
    <w:rsid w:val="22FE5974"/>
    <w:rsid w:val="2B9D60B4"/>
    <w:rsid w:val="2BC90D19"/>
    <w:rsid w:val="2F1F1928"/>
    <w:rsid w:val="2FBF6F31"/>
    <w:rsid w:val="32FF0979"/>
    <w:rsid w:val="36BEA34D"/>
    <w:rsid w:val="3A9A1673"/>
    <w:rsid w:val="3BFFB83B"/>
    <w:rsid w:val="3FF7D9F8"/>
    <w:rsid w:val="44423327"/>
    <w:rsid w:val="4C4D3EA7"/>
    <w:rsid w:val="53407A06"/>
    <w:rsid w:val="5777D819"/>
    <w:rsid w:val="5BAFB204"/>
    <w:rsid w:val="5BBF6D51"/>
    <w:rsid w:val="5E9C9449"/>
    <w:rsid w:val="67C7669E"/>
    <w:rsid w:val="67EC81B6"/>
    <w:rsid w:val="69314F43"/>
    <w:rsid w:val="6BF6C46A"/>
    <w:rsid w:val="6F6F13D2"/>
    <w:rsid w:val="713E1740"/>
    <w:rsid w:val="71FBD704"/>
    <w:rsid w:val="74FF5A1C"/>
    <w:rsid w:val="755E693C"/>
    <w:rsid w:val="77562041"/>
    <w:rsid w:val="778B9B13"/>
    <w:rsid w:val="77BF7F77"/>
    <w:rsid w:val="77BFA15B"/>
    <w:rsid w:val="77DAED91"/>
    <w:rsid w:val="77EDE656"/>
    <w:rsid w:val="77FE8C78"/>
    <w:rsid w:val="784D67ED"/>
    <w:rsid w:val="7B7CAAAC"/>
    <w:rsid w:val="7C7F211E"/>
    <w:rsid w:val="7C7F6A4B"/>
    <w:rsid w:val="7D93A854"/>
    <w:rsid w:val="7D97C074"/>
    <w:rsid w:val="7DAF1BBD"/>
    <w:rsid w:val="7DBE99A1"/>
    <w:rsid w:val="7DF46858"/>
    <w:rsid w:val="7DFF84E3"/>
    <w:rsid w:val="7EFF0122"/>
    <w:rsid w:val="7F556A46"/>
    <w:rsid w:val="7F5F1806"/>
    <w:rsid w:val="7F6BEB14"/>
    <w:rsid w:val="7F8BE864"/>
    <w:rsid w:val="7FD32B34"/>
    <w:rsid w:val="7FF6744D"/>
    <w:rsid w:val="7FFD5E5D"/>
    <w:rsid w:val="7FFDCFEB"/>
    <w:rsid w:val="7FFF260A"/>
    <w:rsid w:val="89F6C2B2"/>
    <w:rsid w:val="9D6F9BE4"/>
    <w:rsid w:val="AEFAEDBF"/>
    <w:rsid w:val="B6AE3D36"/>
    <w:rsid w:val="B6B2947D"/>
    <w:rsid w:val="B77AF8A7"/>
    <w:rsid w:val="BBFCB978"/>
    <w:rsid w:val="BCDF56D0"/>
    <w:rsid w:val="BDF92CBF"/>
    <w:rsid w:val="BE87962A"/>
    <w:rsid w:val="BEFD0CA3"/>
    <w:rsid w:val="BFBF3DB3"/>
    <w:rsid w:val="C6F17CC1"/>
    <w:rsid w:val="CFDFCF70"/>
    <w:rsid w:val="CFF9C165"/>
    <w:rsid w:val="D4873755"/>
    <w:rsid w:val="D8AE308A"/>
    <w:rsid w:val="DBBF1676"/>
    <w:rsid w:val="DBFE3696"/>
    <w:rsid w:val="DF6FB798"/>
    <w:rsid w:val="DFFF181E"/>
    <w:rsid w:val="EA759E01"/>
    <w:rsid w:val="EB31C8A5"/>
    <w:rsid w:val="ED9FAB8D"/>
    <w:rsid w:val="EF7765C9"/>
    <w:rsid w:val="EFD77D8B"/>
    <w:rsid w:val="F24CFD2E"/>
    <w:rsid w:val="F2FFEC69"/>
    <w:rsid w:val="F36F7BB0"/>
    <w:rsid w:val="F45BECCA"/>
    <w:rsid w:val="F7B0DC11"/>
    <w:rsid w:val="F7E6EA39"/>
    <w:rsid w:val="FABD2EBE"/>
    <w:rsid w:val="FAF98822"/>
    <w:rsid w:val="FB1FC510"/>
    <w:rsid w:val="FBA5A95E"/>
    <w:rsid w:val="FBD40B5A"/>
    <w:rsid w:val="FBDD75D4"/>
    <w:rsid w:val="FDFA7E83"/>
    <w:rsid w:val="FDFB6E9B"/>
    <w:rsid w:val="FDFF20BB"/>
    <w:rsid w:val="FEE9E80C"/>
    <w:rsid w:val="FF4B5BA2"/>
    <w:rsid w:val="FFB551FD"/>
    <w:rsid w:val="FFDE3767"/>
    <w:rsid w:val="FFDEA288"/>
    <w:rsid w:val="FFDF769E"/>
    <w:rsid w:val="FFE7287B"/>
    <w:rsid w:val="FFFBB9FE"/>
    <w:rsid w:val="FFFD1568"/>
    <w:rsid w:val="FFFF14D2"/>
    <w:rsid w:val="FFFFF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00" w:after="60" w:line="460" w:lineRule="exact"/>
      <w:ind w:firstLine="0" w:firstLineChars="0"/>
      <w:jc w:val="left"/>
      <w:outlineLvl w:val="1"/>
    </w:pPr>
    <w:rPr>
      <w:rFonts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LT Pro" w:hAnsi="Helvetica LT Pro" w:eastAsia="Helvetica LT Pro" w:cs="Helvetica LT Pro"/>
      <w:kern w:val="0"/>
      <w:sz w:val="24"/>
      <w:szCs w:val="24"/>
      <w:lang w:val="en-US" w:eastAsia="zh-CN" w:bidi="ar"/>
    </w:rPr>
  </w:style>
  <w:style w:type="paragraph" w:customStyle="1" w:styleId="15">
    <w:name w:val="Table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f7f1bde1-5edc-49b4-bab4-fe0f056d368b</errorID>
      <errorWord>赛项多模态巡检</errorWord>
      <group>L1_Grammar</group>
      <groupName>语法问题</groupName>
      <ability>L2_Order</ability>
      <abilityName>语序不当</abilityName>
      <candidateList>
        <item>多模态巡检赛项</item>
      </candidateList>
      <explain>句子可能没有遵循时空、逻辑顺序，或者介词、关联词等位置不当。</explain>
      <paraID>399855EA</paraID>
      <start>13</start>
      <end>20</end>
      <status>unmodified</status>
      <modifiedWord/>
      <trackRevisions>false</trackRevisions>
    </reviewItem>
    <reviewItem>
      <errorID>300d17a3-49ff-4c2a-9349-d873f0fb17a4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37EBA9E8</paraID>
      <start>6</start>
      <end>7</end>
      <status>unmodified</status>
      <modifiedWord/>
      <trackRevisions>false</trackRevisions>
    </reviewItem>
    <reviewItem>
      <errorID>ec88f2fc-268b-4d12-9bdb-f8494b80f476</errorID>
      <errorWord>必须</errorWord>
      <group>L1_Word</group>
      <groupName>字词问题</groupName>
      <ability>L2_Typo</ability>
      <abilityName>字词错误</abilityName>
      <candidateList>
        <item>必需</item>
      </candidateList>
      <explain>〈动〉一定要有；不可少：日用～品｜煤铁等是发展工业所～的原料。</explain>
      <paraID>3CA5A7ED</paraID>
      <start>9</start>
      <end>11</end>
      <status>unmodified</status>
      <modifiedWord/>
      <trackRevisions>false</trackRevisions>
    </reviewItem>
    <reviewItem>
      <errorID>97607b66-d413-4a66-8b96-5b67fec87136</errorID>
      <errorWord>必须</errorWord>
      <group>L1_Word</group>
      <groupName>字词问题</groupName>
      <ability>L2_Typo</ability>
      <abilityName>字词错误</abilityName>
      <candidateList>
        <item>必需</item>
      </candidateList>
      <explain>存在发音相同字词的误用。</explain>
      <paraID>6853F86C</paraID>
      <start>12</start>
      <end>14</end>
      <status>unmodified</status>
      <modifiedWord/>
      <trackRevisions>false</trackRevisions>
    </reviewItem>
    <reviewItem>
      <errorID>671a702a-9dff-46a3-8281-0f1aa8a3eb60</errorID>
      <errorWord>必须</errorWord>
      <group>L1_Word</group>
      <groupName>字词问题</groupName>
      <ability>L2_Typo</ability>
      <abilityName>字词错误</abilityName>
      <candidateList>
        <item>必需</item>
      </candidateList>
      <explain>存在发音相同字词的误用。</explain>
      <paraID> 4393A8F</paraID>
      <start>6</start>
      <end>8</end>
      <status>unmodified</status>
      <modifiedWord/>
      <trackRevisions>false</trackRevisions>
    </reviewItem>
    <reviewItem>
      <errorID>dc32d0e8-fe1c-492c-bc9b-3ab404d981d8</errorID>
      <errorWord>必须</errorWord>
      <group>L1_Word</group>
      <groupName>字词问题</groupName>
      <ability>L2_Typo</ability>
      <abilityName>字词错误</abilityName>
      <candidateList>
        <item>必需</item>
      </candidateList>
      <explain>存在发音相同字词的误用。</explain>
      <paraID>231B29D0</paraID>
      <start>8</start>
      <end>10</end>
      <status>unmodified</status>
      <modifiedWord/>
      <trackRevisions>false</trackRevisions>
    </reviewItem>
    <reviewItem>
      <errorID>6b496150-f670-406e-9282-6444f71bcea0</errorID>
      <errorWord>型</errorWord>
      <group>L1_Word</group>
      <groupName>字词问题</groupName>
      <ability>L2_Typo</ability>
      <abilityName>字词错误</abilityName>
      <candidateList>
        <item>形</item>
      </candidateList>
      <explain>存在发音相同字词的误用。</explain>
      <paraID> 2659748</paraID>
      <start>45</start>
      <end>46</end>
      <status>unmodified</status>
      <modifiedWord/>
      <trackRevisions>false</trackRevisions>
    </reviewItem>
    <reviewItem>
      <errorID>18c02ff0-a257-4f15-999f-24439652ed10</errorID>
      <errorWord>必须</errorWord>
      <group>L1_Word</group>
      <groupName>字词问题</groupName>
      <ability>L2_Typo</ability>
      <abilityName>字词错误</abilityName>
      <candidateList>
        <item>必需</item>
      </candidateList>
      <explain>存在发音相同字词的误用。</explain>
      <paraID>314F0F3A</paraID>
      <start>6</start>
      <end>8</end>
      <status>unmodified</status>
      <modifiedWord/>
      <trackRevisions>false</trackRevisions>
    </reviewItem>
    <reviewItem>
      <errorID>51323d9c-5f22-48de-a627-beae29a27e67</errorID>
      <errorWord>其它突发</errorWord>
      <group>L1_Word</group>
      <groupName>字词问题</groupName>
      <ability>L2_Alias</ability>
      <abilityName>也作/曾用词</abilityName>
      <candidateList>
        <item>其他突发</item>
      </candidateList>
      <explain>词汇[其它突发]为不规范表述或旧称，其规范书面表述为[其他突发]。</explain>
      <paraID>72EB24E6</paraID>
      <start>144</start>
      <end>148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cec28d-9e7a-4a67-be3b-8c64c594051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2763</Words>
  <Characters>2872</Characters>
  <Lines>1</Lines>
  <Paragraphs>1</Paragraphs>
  <TotalTime>46</TotalTime>
  <ScaleCrop>false</ScaleCrop>
  <LinksUpToDate>false</LinksUpToDate>
  <CharactersWithSpaces>2887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2025-03-13T09:02:00Z</dcterms:created>
  <dc:creator>随</dc:creator>
  <cp:lastModifiedBy>Siberian</cp:lastModifiedBy>
  <dcterms:modified xsi:type="dcterms:W3CDTF">2026-04-02T06:57:22Z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9AE6D648A9074E2A86EA2ED1BB68F70B_13</vt:lpwstr>
  </property>
  <property fmtid="{D5CDD505-2E9C-101B-9397-08002B2CF9AE}" pid="4" name="KSOTemplateDocerSaveRecord">
    <vt:lpwstr>eyJoZGlkIjoiM2RkYWM1OTQzNDk5NmJjMTM2ZjkyYzdmN2U1YWM0Y2QiLCJ1c2VySWQiOiIxMDYyMzA5OTUxIn0=</vt:lpwstr>
  </property>
</Properties>
</file>