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29" w:rsidRPr="00155051" w:rsidRDefault="00A56EFF" w:rsidP="00155051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828BB7" wp14:editId="0836AED8">
            <wp:simplePos x="0" y="0"/>
            <wp:positionH relativeFrom="page">
              <wp:posOffset>76200</wp:posOffset>
            </wp:positionH>
            <wp:positionV relativeFrom="paragraph">
              <wp:posOffset>-781050</wp:posOffset>
            </wp:positionV>
            <wp:extent cx="804672" cy="78726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114"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bookmarkStart w:id="0" w:name="_GoBack"/>
      <w:r>
        <w:t>RF3.</w:t>
      </w:r>
      <w:r w:rsidR="00C87EC5">
        <w:t xml:space="preserve"> El administrador de la entidad tendrá total disposición de eliminar las cuentas a los ingenieros.</w:t>
      </w:r>
    </w:p>
    <w:bookmarkEnd w:id="0"/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lastRenderedPageBreak/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443C9D" w:rsidP="00155051">
      <w:r>
        <w:t>RF23</w:t>
      </w:r>
      <w:r w:rsidR="00C2023E">
        <w:t>. El administra</w:t>
      </w:r>
      <w:r w:rsidR="00805669">
        <w:t>dor de la entidad podrá modificar</w:t>
      </w:r>
      <w:r w:rsidR="00C2023E">
        <w:t xml:space="preserve">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lastRenderedPageBreak/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805669"/>
    <w:rsid w:val="00A25929"/>
    <w:rsid w:val="00A56EFF"/>
    <w:rsid w:val="00C2023E"/>
    <w:rsid w:val="00C87EC5"/>
    <w:rsid w:val="00D60082"/>
    <w:rsid w:val="00EE5C98"/>
    <w:rsid w:val="00F44EC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86A5ECA-4AC6-4255-A670-799BA8C8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17</cp:revision>
  <dcterms:created xsi:type="dcterms:W3CDTF">2020-05-05T18:06:00Z</dcterms:created>
  <dcterms:modified xsi:type="dcterms:W3CDTF">2020-05-19T02:17:00Z</dcterms:modified>
</cp:coreProperties>
</file>