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color w:val="1e2b3c"/>
          <w:sz w:val="40"/>
          <w:szCs w:val="40"/>
        </w:rPr>
        <w:t xml:space="preserve">PROJECT DOCUMENTATION — VERSION 2 PLANNING</w:t>
      </w:r>
    </w:p>
    <w:p>
      <w:pPr>
        <w:spacing w:after="150"/>
        <w:jc w:val="center"/>
      </w:pPr>
      <w:r>
        <w:rPr>
          <w:sz w:val="30"/>
          <w:szCs w:val="30"/>
        </w:rPr>
        <w:t xml:space="preserve">Motor Spares Inventory &amp; Sales Management System</w:t>
      </w:r>
    </w:p>
    <w:p>
      <w:pPr>
        <w:spacing w:after="1200"/>
        <w:jc w:val="center"/>
      </w:pPr>
      <w:r>
        <w:rPr>
          <w:i/>
          <w:iCs/>
          <w:color w:val="555555"/>
          <w:sz w:val="22"/>
          <w:szCs w:val="22"/>
        </w:rPr>
        <w:t xml:space="preserve">Scope, requirements, and phased plan for the v2 enhancement cycle</w:t>
      </w:r>
    </w:p>
    <w:p>
      <w:pPr>
        <w:spacing w:after="100"/>
        <w:jc w:val="center"/>
      </w:pPr>
      <w:r>
        <w:rPr>
          <w:sz w:val="22"/>
          <w:szCs w:val="22"/>
        </w:rPr>
        <w:t xml:space="preserve">Prepared by: Mthabisi E. Vundla</w:t>
      </w:r>
    </w:p>
    <w:p>
      <w:pPr>
        <w:spacing w:after="100"/>
        <w:jc w:val="center"/>
      </w:pPr>
      <w:r>
        <w:rPr>
          <w:sz w:val="22"/>
          <w:szCs w:val="22"/>
        </w:rPr>
        <w:t xml:space="preserve">Document Version: 2.0 (Draft)</w:t>
      </w:r>
    </w:p>
    <w:p>
      <w:pPr>
        <w:spacing w:after="100"/>
        <w:jc w:val="center"/>
      </w:pPr>
      <w:r>
        <w:rPr>
          <w:sz w:val="22"/>
          <w:szCs w:val="22"/>
        </w:rPr>
        <w:t xml:space="preserve">Date: August 2026</w:t>
      </w:r>
    </w:p>
    <w:p>
      <w:pPr>
        <w:jc w:val="center"/>
      </w:pPr>
      <w:r>
        <w:rPr>
          <w:sz w:val="22"/>
          <w:szCs w:val="22"/>
        </w:rPr>
        <w:t xml:space="preserve">Status: Draft for Development — builds on v1.1 (complete)</w:t>
      </w:r>
    </w:p>
    <w:p>
      <w:pPr>
        <w:sectPr>
          <w:pgSz w:w="12240" w:h="15840" w:orient="portrait"/>
          <w:pgMar w:top="1440" w:right="1440" w:bottom="1440" w:left="1440" w:header="708" w:footer="708" w:gutter="0"/>
          <w:pgNumType/>
          <w:docGrid w:linePitch="360"/>
        </w:sectPr>
      </w:pPr>
    </w:p>
    <w:p>
      <w:pPr>
        <w:pStyle w:val="Heading1"/>
        <w:spacing w:after="150" w:before="300"/>
      </w:pPr>
      <w:r>
        <w:t xml:space="preserve">Document Control</w:t>
      </w:r>
    </w:p>
    <w:p>
      <w:pPr>
        <w:pStyle w:val="Heading2"/>
        <w:spacing w:after="120" w:before="240"/>
      </w:pPr>
      <w:r>
        <w:t xml:space="preserve">Revision History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5200"/>
      </w:tblGrid>
      <w:tr>
        <w:trPr>
          <w:tblHeader/>
        </w:trPr>
        <w:tc>
          <w:tcPr>
            <w:tcW w:type="dxa" w:w="1400"/>
            <w:shd w:fill="1e2b3c" w:val="clear"/>
            <w:tcMar>
              <w:top w:type="dxa" w:w="80"/>
              <w:left w:type="dxa" w:w="100"/>
              <w:bottom w:type="dxa" w:w="80"/>
              <w:right w:type="dxa" w:w="100"/>
            </w:tcMar>
          </w:tcPr>
          <w:p>
            <w:r>
              <w:rPr>
                <w:b/>
                <w:bCs/>
                <w:color w:val="FFFFFF"/>
                <w:sz w:val="20"/>
                <w:szCs w:val="20"/>
              </w:rPr>
              <w:t xml:space="preserve">Version</w:t>
            </w:r>
          </w:p>
        </w:tc>
        <w:tc>
          <w:tcPr>
            <w:tcW w:type="dxa" w:w="1800"/>
            <w:shd w:fill="1e2b3c" w:val="clear"/>
            <w:tcMar>
              <w:top w:type="dxa" w:w="80"/>
              <w:left w:type="dxa" w:w="100"/>
              <w:bottom w:type="dxa" w:w="80"/>
              <w:right w:type="dxa" w:w="100"/>
            </w:tcMar>
          </w:tcPr>
          <w:p>
            <w:r>
              <w:rPr>
                <w:b/>
                <w:bCs/>
                <w:color w:val="FFFFFF"/>
                <w:sz w:val="20"/>
                <w:szCs w:val="20"/>
              </w:rPr>
              <w:t xml:space="preserve">Date</w:t>
            </w:r>
          </w:p>
        </w:tc>
        <w:tc>
          <w:tcPr>
            <w:tcW w:type="dxa" w:w="2000"/>
            <w:shd w:fill="1e2b3c" w:val="clear"/>
            <w:tcMar>
              <w:top w:type="dxa" w:w="80"/>
              <w:left w:type="dxa" w:w="100"/>
              <w:bottom w:type="dxa" w:w="80"/>
              <w:right w:type="dxa" w:w="100"/>
            </w:tcMar>
          </w:tcPr>
          <w:p>
            <w:r>
              <w:rPr>
                <w:b/>
                <w:bCs/>
                <w:color w:val="FFFFFF"/>
                <w:sz w:val="20"/>
                <w:szCs w:val="20"/>
              </w:rPr>
              <w:t xml:space="preserve">Author</w:t>
            </w:r>
          </w:p>
        </w:tc>
        <w:tc>
          <w:tcPr>
            <w:tcW w:type="dxa" w:w="5200"/>
            <w:shd w:fill="1e2b3c" w:val="clear"/>
            <w:tcMar>
              <w:top w:type="dxa" w:w="80"/>
              <w:left w:type="dxa" w:w="100"/>
              <w:bottom w:type="dxa" w:w="80"/>
              <w:right w:type="dxa" w:w="100"/>
            </w:tcMar>
          </w:tcPr>
          <w:p>
            <w:r>
              <w:rPr>
                <w:b/>
                <w:bCs/>
                <w:color w:val="FFFFFF"/>
                <w:sz w:val="20"/>
                <w:szCs w:val="20"/>
              </w:rPr>
              <w:t xml:space="preserve">Description</w:t>
            </w:r>
          </w:p>
        </w:tc>
      </w:tr>
      <w:tr>
        <w:tc>
          <w:tcPr>
            <w:tcW w:type="dxa" w:w="1400"/>
            <w:tcMar>
              <w:top w:type="dxa" w:w="80"/>
              <w:left w:type="dxa" w:w="100"/>
              <w:bottom w:type="dxa" w:w="80"/>
              <w:right w:type="dxa" w:w="100"/>
            </w:tcMar>
          </w:tcPr>
          <w:p>
            <w:r>
              <w:rPr>
                <w:b w:val="false"/>
                <w:bCs w:val="false"/>
                <w:i w:val="false"/>
                <w:iCs w:val="false"/>
                <w:sz w:val="20"/>
                <w:szCs w:val="20"/>
              </w:rPr>
              <w:t xml:space="preserve">2.0</w:t>
            </w:r>
          </w:p>
        </w:tc>
        <w:tc>
          <w:tcPr>
            <w:tcW w:type="dxa" w:w="1800"/>
            <w:tcMar>
              <w:top w:type="dxa" w:w="80"/>
              <w:left w:type="dxa" w:w="100"/>
              <w:bottom w:type="dxa" w:w="80"/>
              <w:right w:type="dxa" w:w="100"/>
            </w:tcMar>
          </w:tcPr>
          <w:p>
            <w:r>
              <w:rPr>
                <w:b w:val="false"/>
                <w:bCs w:val="false"/>
                <w:i w:val="false"/>
                <w:iCs w:val="false"/>
                <w:sz w:val="20"/>
                <w:szCs w:val="20"/>
              </w:rPr>
              <w:t xml:space="preserve">August 2026</w:t>
            </w:r>
          </w:p>
        </w:tc>
        <w:tc>
          <w:tcPr>
            <w:tcW w:type="dxa" w:w="2000"/>
            <w:tcMar>
              <w:top w:type="dxa" w:w="80"/>
              <w:left w:type="dxa" w:w="100"/>
              <w:bottom w:type="dxa" w:w="80"/>
              <w:right w:type="dxa" w:w="100"/>
            </w:tcMar>
          </w:tcPr>
          <w:p>
            <w:r>
              <w:rPr>
                <w:b w:val="false"/>
                <w:bCs w:val="false"/>
                <w:i w:val="false"/>
                <w:iCs w:val="false"/>
                <w:sz w:val="20"/>
                <w:szCs w:val="20"/>
              </w:rPr>
              <w:t xml:space="preserve">M. E. Vundla</w:t>
            </w:r>
          </w:p>
        </w:tc>
        <w:tc>
          <w:tcPr>
            <w:tcW w:type="dxa" w:w="5200"/>
            <w:tcMar>
              <w:top w:type="dxa" w:w="80"/>
              <w:left w:type="dxa" w:w="100"/>
              <w:bottom w:type="dxa" w:w="80"/>
              <w:right w:type="dxa" w:w="100"/>
            </w:tcMar>
          </w:tcPr>
          <w:p>
            <w:r>
              <w:rPr>
                <w:b w:val="false"/>
                <w:bCs w:val="false"/>
                <w:i w:val="false"/>
                <w:iCs w:val="false"/>
                <w:sz w:val="20"/>
                <w:szCs w:val="20"/>
              </w:rPr>
              <w:t xml:space="preserve">Initial v2 planning documentation: scope, requirements, open design decisions, and phased implementation plan.</w:t>
            </w:r>
          </w:p>
        </w:tc>
      </w:tr>
    </w:tbl>
    <w:p>
      <w:pPr>
        <w:spacing w:after="120"/>
      </w:pPr>
      <w:r>
        <w:t xml:space="preserve"/>
      </w:r>
    </w:p>
    <w:p>
      <w:pPr>
        <w:pStyle w:val="Heading2"/>
        <w:spacing w:after="120" w:before="240"/>
      </w:pPr>
      <w:r>
        <w:t xml:space="preserve">Purpose of This Document</w:t>
      </w:r>
    </w:p>
    <w:p>
      <w:pPr>
        <w:spacing w:after="120"/>
      </w:pPr>
      <w:r>
        <w:t xml:space="preserve">This document captures the v1 → v2 transition for the Motor Spares Inventory &amp; Sales Management System. v1 is confirmed complete against its own documented scope (Project Documentation v1.1). This document defines what v2 adds, flags decisions that need to be made before implementation, and lays out a phased build order.</w:t>
      </w:r>
    </w:p>
    <w:p>
      <w:pPr>
        <w:pStyle w:val="Heading1"/>
        <w:spacing w:after="150" w:before="300"/>
      </w:pPr>
      <w:r>
        <w:t xml:space="preserve">1. Status of v1</w:t>
      </w:r>
    </w:p>
    <w:p>
      <w:pPr>
        <w:spacing w:after="120"/>
      </w:pPr>
      <w:r>
        <w:t xml:space="preserve">v1 is complete. The original build-gap list (11 items tracked during hardening) is fully resolved:</w:t>
      </w:r>
    </w:p>
    <w:p>
      <w:pPr>
        <w:pStyle w:val="ListParagraph"/>
        <w:numPr>
          <w:ilvl w:val="0"/>
          <w:numId w:val="1"/>
        </w:numPr>
        <w:spacing w:after="60"/>
      </w:pPr>
      <w:r>
        <w:t xml:space="preserve">Dashboard, deactivated-parts filtering, stock adjustment (FR-15), void/cancel sale (FR-16), local backup (FR-13), centralized validation, and account lockout after 5 failed logins were all built and verified.</w:t>
      </w:r>
    </w:p>
    <w:p>
      <w:pPr>
        <w:pStyle w:val="ListParagraph"/>
        <w:numPr>
          <w:ilvl w:val="0"/>
          <w:numId w:val="1"/>
        </w:numPr>
        <w:spacing w:after="60"/>
      </w:pPr>
      <w:r>
        <w:t xml:space="preserve">Automated tests exist across 8 files (~32 test functions) and pass on the current build.</w:t>
      </w:r>
    </w:p>
    <w:p>
      <w:pPr>
        <w:pStyle w:val="ListParagraph"/>
        <w:numPr>
          <w:ilvl w:val="0"/>
          <w:numId w:val="1"/>
        </w:numPr>
        <w:spacing w:after="60"/>
      </w:pPr>
      <w:r>
        <w:t xml:space="preserve">Numbering conventions (CUS-NNNNN, REC-YYYYMMDD-NNNN, PO-YYYYMMDD-NNNN) are fully implemented and tested.</w:t>
      </w:r>
    </w:p>
    <w:p>
      <w:pPr>
        <w:pStyle w:val="ListParagraph"/>
        <w:numPr>
          <w:ilvl w:val="0"/>
          <w:numId w:val="1"/>
        </w:numPr>
        <w:spacing w:after="60"/>
      </w:pPr>
      <w:r>
        <w:t xml:space="preserve">The two remaining items — hardcoded receipt branding, and Purchase Order totals not being computed from line items — were re-checked against the v1 documentation and found to be intentional v1-scope decisions, not defects: v1.1 Section 13.2 explicitly deferred a configuration file to a later version, and the v1 data dictionary never defined a PurchaseOrderItem table. Both are picked back up below as v2 scope.</w:t>
      </w:r>
    </w:p>
    <w:p>
      <w:pPr>
        <w:pStyle w:val="Heading1"/>
        <w:spacing w:after="150" w:before="300"/>
      </w:pPr>
      <w:r>
        <w:t xml:space="preserve">2. V2 Scope</w:t>
      </w:r>
    </w:p>
    <w:p>
      <w:pPr>
        <w:spacing w:after="120"/>
      </w:pPr>
      <w:r>
        <w:t xml:space="preserve">In scope for v2, based on the current planning discussion:</w:t>
      </w:r>
    </w:p>
    <w:p>
      <w:pPr>
        <w:pStyle w:val="ListParagraph"/>
        <w:numPr>
          <w:ilvl w:val="0"/>
          <w:numId w:val="1"/>
        </w:numPr>
        <w:spacing w:after="60"/>
      </w:pPr>
      <w:r>
        <w:t xml:space="preserve">Configurable shop branding (name, logo, address, phone, receipt footer) — replaces hardcoded receipt values.</w:t>
      </w:r>
    </w:p>
    <w:p>
      <w:pPr>
        <w:pStyle w:val="ListParagraph"/>
        <w:numPr>
          <w:ilvl w:val="0"/>
          <w:numId w:val="1"/>
        </w:numPr>
        <w:spacing w:after="60"/>
      </w:pPr>
      <w:r>
        <w:t xml:space="preserve">Image-based inventory import (import stock data from photographs, not just Excel).</w:t>
      </w:r>
    </w:p>
    <w:p>
      <w:pPr>
        <w:pStyle w:val="ListParagraph"/>
        <w:numPr>
          <w:ilvl w:val="0"/>
          <w:numId w:val="1"/>
        </w:numPr>
        <w:spacing w:after="60"/>
      </w:pPr>
      <w:r>
        <w:t xml:space="preserve">Exportable reorder document — a printable/shareable list of parts that need restocking.</w:t>
      </w:r>
    </w:p>
    <w:p>
      <w:pPr>
        <w:pStyle w:val="ListParagraph"/>
        <w:numPr>
          <w:ilvl w:val="0"/>
          <w:numId w:val="1"/>
        </w:numPr>
        <w:spacing w:after="60"/>
      </w:pPr>
      <w:r>
        <w:t xml:space="preserve">Manual reorder “wishlist” for items that are unavailable or not yet catalogued, with priority levels.</w:t>
      </w:r>
    </w:p>
    <w:p>
      <w:pPr>
        <w:pStyle w:val="ListParagraph"/>
        <w:numPr>
          <w:ilvl w:val="0"/>
          <w:numId w:val="1"/>
        </w:numPr>
        <w:spacing w:after="60"/>
      </w:pPr>
      <w:r>
        <w:t xml:space="preserve">Sales trend visualization on the Reports tab (graph of rising/declining sales).</w:t>
      </w:r>
    </w:p>
    <w:p>
      <w:pPr>
        <w:pStyle w:val="ListParagraph"/>
        <w:numPr>
          <w:ilvl w:val="0"/>
          <w:numId w:val="1"/>
        </w:numPr>
        <w:spacing w:after="60"/>
      </w:pPr>
      <w:r>
        <w:t xml:space="preserve">Minor: distinct visual treatment for zero-stock parts in Inventory (down-ranked to low priority — see FR-23).</w:t>
      </w:r>
    </w:p>
    <w:p>
      <w:pPr>
        <w:pStyle w:val="ListParagraph"/>
        <w:numPr>
          <w:ilvl w:val="0"/>
          <w:numId w:val="1"/>
        </w:numPr>
        <w:spacing w:after="60"/>
      </w:pPr>
      <w:r>
        <w:t xml:space="preserve">Minor: uppercase normalization for part_number and category, enforced at save time (see FR-24).</w:t>
      </w:r>
    </w:p>
    <w:p>
      <w:pPr>
        <w:spacing w:after="120"/>
      </w:pPr>
      <w:r>
        <w:rPr>
          <w:i/>
          <w:iCs/>
        </w:rPr>
        <w:t xml:space="preserve">Explicitly deferred, pending a separate decision (not part of this planning pass):</w:t>
      </w:r>
    </w:p>
    <w:p>
      <w:pPr>
        <w:pStyle w:val="ListParagraph"/>
        <w:numPr>
          <w:ilvl w:val="0"/>
          <w:numId w:val="1"/>
        </w:numPr>
        <w:spacing w:after="60"/>
      </w:pPr>
      <w:r>
        <w:rPr>
          <w:i/>
          <w:iCs/>
        </w:rPr>
        <w:t xml:space="preserve">Itemized Purchase Orders (PurchaseOrderItem table) — flagged during the v1 audit, not requested for this v2 pass. Recommend folding it in if branding/config work already touches the Suppliers module, otherwise park it for v2.1.</w:t>
      </w:r>
    </w:p>
    <w:p>
      <w:pPr>
        <w:pStyle w:val="ListParagraph"/>
        <w:numPr>
          <w:ilvl w:val="0"/>
          <w:numId w:val="1"/>
        </w:numPr>
        <w:spacing w:after="60"/>
      </w:pPr>
      <w:r>
        <w:rPr>
          <w:i/>
          <w:iCs/>
        </w:rPr>
        <w:t xml:space="preserve">Discounts, returns/refunds, cash reconciliation, barcode scanner, SMS/WhatsApp, cloud sync, multi-branch — all still on the long-list from v1 Section 13.2, not requested for this pass.</w:t>
      </w:r>
    </w:p>
    <w:p>
      <w:pPr>
        <w:pStyle w:val="Heading1"/>
        <w:spacing w:after="150" w:before="300"/>
      </w:pPr>
      <w:r>
        <w:t xml:space="preserve">3. Functional Requirements — v2</w:t>
      </w:r>
    </w:p>
    <w:p>
      <w:pPr>
        <w:spacing w:after="120"/>
      </w:pPr>
      <w:r>
        <w:t xml:space="preserve">Numbering continues from v1 (which ended at FR-17).</w:t>
      </w:r>
    </w:p>
    <w:p>
      <w:pPr>
        <w:pStyle w:val="Heading2"/>
        <w:spacing w:after="120" w:before="240"/>
      </w:pPr>
      <w:r>
        <w:t xml:space="preserve">FR-18 — Configurable Shop Branding</w:t>
      </w:r>
    </w:p>
    <w:p>
      <w:pPr>
        <w:spacing w:after="120"/>
      </w:pPr>
      <w:r>
        <w:t xml:space="preserve">The system shall allow an Admin to set shop name, logo image, address, phone number, and receipt footer message through a Settings screen, and shall use these values wherever they currently appear as hardcoded text (primarily the receipt header/footer).</w:t>
      </w:r>
    </w:p>
    <w:p>
      <w:pPr>
        <w:pStyle w:val="Heading3"/>
        <w:spacing w:after="90" w:before="180"/>
      </w:pPr>
      <w:r>
        <w:t xml:space="preserve">Design notes</w:t>
      </w:r>
    </w:p>
    <w:p>
      <w:pPr>
        <w:pStyle w:val="ListParagraph"/>
        <w:numPr>
          <w:ilvl w:val="0"/>
          <w:numId w:val="1"/>
        </w:numPr>
        <w:spacing w:after="60"/>
      </w:pPr>
      <w:r>
        <w:t xml:space="preserve">New Settings table (or a simple key-value config table) plus a Settings screen, added to the dashboard sidebar (Admin-only, alongside User Management).</w:t>
      </w:r>
    </w:p>
    <w:p>
      <w:pPr>
        <w:pStyle w:val="ListParagraph"/>
        <w:numPr>
          <w:ilvl w:val="0"/>
          <w:numId w:val="1"/>
        </w:numPr>
        <w:spacing w:after="60"/>
      </w:pPr>
      <w:r>
        <w:t xml:space="preserve">Logo stored as a file path under assets/, referenced by the config row — avoids storing binary image data in SQLite.</w:t>
      </w:r>
    </w:p>
    <w:p>
      <w:pPr>
        <w:pStyle w:val="ListParagraph"/>
        <w:numPr>
          <w:ilvl w:val="0"/>
          <w:numId w:val="1"/>
        </w:numPr>
        <w:spacing w:after="60"/>
      </w:pPr>
      <w:r>
        <w:t xml:space="preserve">receipt_generator.py reads shop_name / address / phone / footer / logo_path from the config instead of the literal strings currently on lines ~21–28.</w:t>
      </w:r>
    </w:p>
    <w:p>
      <w:pPr>
        <w:pStyle w:val="ListParagraph"/>
        <w:numPr>
          <w:ilvl w:val="0"/>
          <w:numId w:val="1"/>
        </w:numPr>
        <w:spacing w:after="60"/>
      </w:pPr>
      <w:r>
        <w:t xml:space="preserve">This is the same mechanism the login window / dashboard header could optionally use for branding consistency, if wanted later.</w:t>
      </w:r>
    </w:p>
    <w:p>
      <w:pPr>
        <w:pStyle w:val="Heading2"/>
        <w:spacing w:after="120" w:before="240"/>
      </w:pPr>
      <w:r>
        <w:t xml:space="preserve">FR-19 — Import Inventory from Photographs</w:t>
      </w:r>
    </w:p>
    <w:p>
      <w:pPr>
        <w:spacing w:after="120"/>
      </w:pPr>
      <w:r>
        <w:t xml:space="preserve">The system shall support importing part data from photographs, in addition to the existing Excel import path.</w:t>
      </w:r>
    </w:p>
    <w:p>
      <w:pPr>
        <w:pStyle w:val="Heading3"/>
        <w:spacing w:after="90" w:before="180"/>
      </w:pPr>
      <w:r>
        <w:t xml:space="preserve">This needs a scope decision before it can be estimated — see Section 4.</w:t>
      </w:r>
    </w:p>
    <w:p>
      <w:pPr>
        <w:pStyle w:val="ListParagraph"/>
        <w:numPr>
          <w:ilvl w:val="0"/>
          <w:numId w:val="1"/>
        </w:numPr>
        <w:spacing w:after="60"/>
      </w:pPr>
      <w:r>
        <w:t xml:space="preserve">Two very different features share this description: (a) OCR of a photographed document — a supplier price list, invoice, or handwritten stock sheet — turned into rows of part data, reusing the review/correct-before-commit pattern already built for Excel import; or (b) visual part recognition — photograph an actual physical part and have the system identify or suggest a matching catalogue entry. (a) is a realistic solo-dev v2 feature; (b) is a computer-vision / ML undertaking well beyond this project's current scope and offline-first design.</w:t>
      </w:r>
    </w:p>
    <w:p>
      <w:pPr>
        <w:pStyle w:val="ListParagraph"/>
        <w:numPr>
          <w:ilvl w:val="0"/>
          <w:numId w:val="1"/>
        </w:numPr>
        <w:spacing w:after="60"/>
      </w:pPr>
      <w:r>
        <w:t xml:space="preserve">Recommendation: build (a). It slots directly into the existing utils/excel_importer.py + ui/excel_import_dialog.py pattern — add an image path that runs OCR (pytesseract, fully offline, no cloud dependency — consistent with NFR-02) to extract table-like text, then feeds the same review dialog used for Excel rows so the cashier/owner corrects OCR mistakes before anything is committed to inventory.</w:t>
      </w:r>
    </w:p>
    <w:p>
      <w:pPr>
        <w:pStyle w:val="Heading2"/>
        <w:spacing w:after="120" w:before="240"/>
      </w:pPr>
      <w:r>
        <w:t xml:space="preserve">FR-20 — Export Reorder List</w:t>
      </w:r>
    </w:p>
    <w:p>
      <w:pPr>
        <w:spacing w:after="120"/>
      </w:pPr>
      <w:r>
        <w:t xml:space="preserve">The system shall allow the Owner/Admin to export the current low-stock / reorder list as a document (PDF, matching the receipt's existing reportlab-based generation) suitable for taking to a supplier.</w:t>
      </w:r>
    </w:p>
    <w:p>
      <w:pPr>
        <w:pStyle w:val="Heading3"/>
        <w:spacing w:after="90" w:before="180"/>
      </w:pPr>
      <w:r>
        <w:t xml:space="preserve">Design notes</w:t>
      </w:r>
    </w:p>
    <w:p>
      <w:pPr>
        <w:pStyle w:val="ListParagraph"/>
        <w:numPr>
          <w:ilvl w:val="0"/>
          <w:numId w:val="1"/>
        </w:numPr>
        <w:spacing w:after="60"/>
      </w:pPr>
      <w:r>
        <w:t xml:space="preserve">Data already exists — managers/reports_manager.py:get_low_stock_parts() already returns exactly the rows needed.</w:t>
      </w:r>
    </w:p>
    <w:p>
      <w:pPr>
        <w:pStyle w:val="ListParagraph"/>
        <w:numPr>
          <w:ilvl w:val="0"/>
          <w:numId w:val="1"/>
        </w:numPr>
        <w:spacing w:after="60"/>
      </w:pPr>
      <w:r>
        <w:t xml:space="preserve">Add an “Export Reorder List” button next to the existing Low Stock Alert tab in Reports, generating a PDF via reportlab (already a dependency) with part number, name, brand, on-hand qty, reorder level, and shortage.</w:t>
      </w:r>
    </w:p>
    <w:p>
      <w:pPr>
        <w:pStyle w:val="ListParagraph"/>
        <w:numPr>
          <w:ilvl w:val="0"/>
          <w:numId w:val="1"/>
        </w:numPr>
        <w:spacing w:after="60"/>
      </w:pPr>
      <w:r>
        <w:t xml:space="preserve">If FR-21 (wishlist) ships alongside this, the export should include wishlist items too, grouped by priority.</w:t>
      </w:r>
    </w:p>
    <w:p>
      <w:pPr>
        <w:pStyle w:val="Heading2"/>
        <w:spacing w:after="120" w:before="240"/>
      </w:pPr>
      <w:r>
        <w:t xml:space="preserve">FR-21 — Reorder Wishlist for Unavailable / Uncatalogued Items</w:t>
      </w:r>
    </w:p>
    <w:p>
      <w:pPr>
        <w:spacing w:after="120"/>
      </w:pPr>
      <w:r>
        <w:t xml:space="preserve">The system shall allow the Owner/Admin to add an item to the reorder list that is not currently in inventory (out of stock indefinitely, or never catalogued), with a priority level, so it appears alongside automatic low-stock flags when planning a supplier visit.</w:t>
      </w:r>
    </w:p>
    <w:p>
      <w:pPr>
        <w:pStyle w:val="Heading3"/>
        <w:spacing w:after="90" w:before="180"/>
      </w:pPr>
      <w:r>
        <w:t xml:space="preserve">Design notes</w:t>
      </w:r>
    </w:p>
    <w:p>
      <w:pPr>
        <w:pStyle w:val="ListParagraph"/>
        <w:numPr>
          <w:ilvl w:val="0"/>
          <w:numId w:val="1"/>
        </w:numPr>
        <w:spacing w:after="60"/>
      </w:pPr>
      <w:r>
        <w:t xml:space="preserve">New ReorderWishlist table: wishlist_id, description (free text — item may not have a part_number yet), preferred_supplier_id (nullable FK), priority ('High'|'Medium'|'Low'), notes, date_added, added_by (FK User).</w:t>
      </w:r>
    </w:p>
    <w:p>
      <w:pPr>
        <w:pStyle w:val="ListParagraph"/>
        <w:numPr>
          <w:ilvl w:val="0"/>
          <w:numId w:val="1"/>
        </w:numPr>
        <w:spacing w:after="60"/>
      </w:pPr>
      <w:r>
        <w:t xml:space="preserve">Reports &gt; Low Stock Alert tab gains a second section (or a merged, sortable list) showing wishlist items alongside auto-flagged low-stock parts, sorted with High-priority items first within each source.</w:t>
      </w:r>
    </w:p>
    <w:p>
      <w:pPr>
        <w:pStyle w:val="ListParagraph"/>
        <w:numPr>
          <w:ilvl w:val="0"/>
          <w:numId w:val="1"/>
        </w:numPr>
        <w:spacing w:after="60"/>
      </w:pPr>
      <w:r>
        <w:t xml:space="preserve">Once an ordered wishlist item actually arrives, the Owner/Admin either promotes it to a full Part record (via the normal Add Part flow) or removes it from the wishlist — no automatic linkage is assumed.</w:t>
      </w:r>
    </w:p>
    <w:p>
      <w:pPr>
        <w:pStyle w:val="Heading2"/>
        <w:spacing w:after="120" w:before="240"/>
      </w:pPr>
      <w:r>
        <w:t xml:space="preserve">FR-22 — Sales Trend Graph</w:t>
      </w:r>
    </w:p>
    <w:p>
      <w:pPr>
        <w:spacing w:after="120"/>
      </w:pPr>
      <w:r>
        <w:t xml:space="preserve">The Reports &gt; Sales Summary tab shall display a graph showing how sales rise or decline over time, alongside the existing numeric daily/monthly summaries.</w:t>
      </w:r>
    </w:p>
    <w:p>
      <w:pPr>
        <w:pStyle w:val="Heading3"/>
        <w:spacing w:after="90" w:before="180"/>
      </w:pPr>
      <w:r>
        <w:t xml:space="preserve">Design notes</w:t>
      </w:r>
    </w:p>
    <w:p>
      <w:pPr>
        <w:pStyle w:val="ListParagraph"/>
        <w:numPr>
          <w:ilvl w:val="0"/>
          <w:numId w:val="1"/>
        </w:numPr>
        <w:spacing w:after="60"/>
      </w:pPr>
      <w:r>
        <w:t xml:space="preserve">Backing data already exists: managers/reports_manager.py:get_monthly_sales_summary() already returns a day-by-day breakdown for a given month — exactly what a line chart needs. No new query logic required, just a chart widget consuming it.</w:t>
      </w:r>
    </w:p>
    <w:p>
      <w:pPr>
        <w:pStyle w:val="ListParagraph"/>
        <w:numPr>
          <w:ilvl w:val="0"/>
          <w:numId w:val="1"/>
        </w:numPr>
        <w:spacing w:after="60"/>
      </w:pPr>
      <w:r>
        <w:t xml:space="preserve">Recommended library: matplotlib embedded via FigureCanvasQTAgg (well-documented PySide6 integration, works fully offline). QtCharts is a lighter-weight alternative if you'd rather avoid the matplotlib dependency.</w:t>
      </w:r>
    </w:p>
    <w:p>
      <w:pPr>
        <w:pStyle w:val="ListParagraph"/>
        <w:numPr>
          <w:ilvl w:val="0"/>
          <w:numId w:val="1"/>
        </w:numPr>
        <w:spacing w:after="60"/>
      </w:pPr>
      <w:r>
        <w:t xml:space="preserve">Placement: directly under the existing Sales Summary tab's daily/monthly controls in ui/reports_screen.py, redrawn whenever “Run Monthly” is triggered.</w:t>
      </w:r>
    </w:p>
    <w:p>
      <w:pPr>
        <w:pStyle w:val="ListParagraph"/>
        <w:numPr>
          <w:ilvl w:val="0"/>
          <w:numId w:val="1"/>
        </w:numPr>
        <w:spacing w:after="60"/>
      </w:pPr>
      <w:r>
        <w:t xml:space="preserve">v2.1 stretch: month-over-month comparison, not just within-month daily trend.</w:t>
      </w:r>
    </w:p>
    <w:p>
      <w:pPr>
        <w:pStyle w:val="Heading2"/>
        <w:spacing w:after="120" w:before="240"/>
      </w:pPr>
      <w:r>
        <w:t xml:space="preserve">FR-23 — Zero-Stock Visual Distinction (optional, low priority)</w:t>
      </w:r>
    </w:p>
    <w:p>
      <w:pPr>
        <w:spacing w:after="120"/>
      </w:pPr>
      <w:r>
        <w:t xml:space="preserve">The Inventory screen's stock-level highlighting shall distinguish a part at zero quantity_on_hand from a part merely at or below its reorder level.</w:t>
      </w:r>
    </w:p>
    <w:p>
      <w:pPr>
        <w:pStyle w:val="Heading3"/>
        <w:spacing w:after="90" w:before="180"/>
      </w:pPr>
      <w:r>
        <w:t xml:space="preserve">Design notes</w:t>
      </w:r>
    </w:p>
    <w:p>
      <w:pPr>
        <w:pStyle w:val="ListParagraph"/>
        <w:numPr>
          <w:ilvl w:val="0"/>
          <w:numId w:val="1"/>
        </w:numPr>
        <w:spacing w:after="60"/>
      </w:pPr>
      <w:r>
        <w:t xml:space="preserve">Confirmed low-effort: ui/inventory_screen.py already colors any is_low_stock() row light red (#ffcccc). Add a second, more urgent shade (e.g. a solid red or red text) specifically when quantity_on_hand == 0.</w:t>
      </w:r>
    </w:p>
    <w:p>
      <w:pPr>
        <w:pStyle w:val="ListParagraph"/>
        <w:numPr>
          <w:ilvl w:val="0"/>
          <w:numId w:val="1"/>
        </w:numPr>
        <w:spacing w:after="60"/>
      </w:pPr>
      <w:r>
        <w:t xml:space="preserve">Agreed with the reasoning in the planning discussion: this is genuinely low-value on its own since the existing reorder-level flag already surfaces the part. Worth doing only as a cheap addition alongside other Inventory-screen work — not worth a dedicated phase.</w:t>
      </w:r>
    </w:p>
    <w:p>
      <w:pPr>
        <w:pStyle w:val="Heading2"/>
        <w:spacing w:after="120" w:before="240"/>
      </w:pPr>
      <w:r>
        <w:t xml:space="preserve">FR-24 — Normalize Part Number &amp; Category to Uppercase</w:t>
      </w:r>
    </w:p>
    <w:p>
      <w:pPr>
        <w:spacing w:after="120"/>
      </w:pPr>
      <w:r>
        <w:t xml:space="preserve">The system shall store part_number and category in uppercase, enforced at save time rather than left to manual data entry, so inventory listings, POS search, receipts, and reports are consistent and free of case-based duplicates (e.g. “Engine” vs “engine”).</w:t>
      </w:r>
    </w:p>
    <w:p>
      <w:pPr>
        <w:pStyle w:val="Heading3"/>
        <w:spacing w:after="90" w:before="180"/>
      </w:pPr>
      <w:r>
        <w:t xml:space="preserve">Design notes</w:t>
      </w:r>
    </w:p>
    <w:p>
      <w:pPr>
        <w:pStyle w:val="ListParagraph"/>
        <w:numPr>
          <w:ilvl w:val="0"/>
          <w:numId w:val="1"/>
        </w:numPr>
        <w:spacing w:after="60"/>
      </w:pPr>
      <w:r>
        <w:t xml:space="preserve">Scope deliberately excludes part name/description: typography favors mixed/title case for longer text (word-shape recognition aids reading speed), so full caps is reserved for short, code-like fields — part_number and category — not free-text names.</w:t>
      </w:r>
    </w:p>
    <w:p>
      <w:pPr>
        <w:pStyle w:val="ListParagraph"/>
        <w:numPr>
          <w:ilvl w:val="0"/>
          <w:numId w:val="1"/>
        </w:numPr>
        <w:spacing w:after="60"/>
      </w:pPr>
      <w:r>
        <w:t xml:space="preserve">Enforce as a normalization step in utils/validators.py (already the centralized validation layer from v1) rather than a display-only .upper() scattered across each screen — this keeps the underlying data consistent for search, sorting, and exports, not just what's on screen.</w:t>
      </w:r>
    </w:p>
    <w:p>
      <w:pPr>
        <w:pStyle w:val="ListParagraph"/>
        <w:numPr>
          <w:ilvl w:val="0"/>
          <w:numId w:val="1"/>
        </w:numPr>
        <w:spacing w:after="60"/>
      </w:pPr>
      <w:r>
        <w:t xml:space="preserve">Apply on both add_part and update_part in inventory_manager.py, immediately before the INSERT/UPDATE.</w:t>
      </w:r>
    </w:p>
    <w:p>
      <w:pPr>
        <w:pStyle w:val="Heading1"/>
        <w:spacing w:after="150" w:before="300"/>
      </w:pPr>
      <w:r>
        <w:t xml:space="preserve">4. Open Design Decisions</w:t>
      </w:r>
    </w:p>
    <w:p>
      <w:pPr>
        <w:spacing w:after="120"/>
      </w:pPr>
      <w:r>
        <w:t xml:space="preserve">These need an answer before the affected feature can be built or estimated properly.</w:t>
      </w:r>
    </w:p>
    <w:p>
      <w:pPr>
        <w:pStyle w:val="Heading2"/>
        <w:spacing w:after="120" w:before="240"/>
      </w:pPr>
      <w:r>
        <w:t xml:space="preserve">4.1 Scope of “import from pictures” (affects FR-19)</w:t>
      </w:r>
    </w:p>
    <w:p>
      <w:pPr>
        <w:spacing w:after="120"/>
      </w:pPr>
      <w:r>
        <w:t xml:space="preserve">Confirm the recommendation in FR-19: OCR of a photographed document (price list, invoice, handwritten stock sheet), not visual identification of a physical part from its photo. The latter is a materially different, much larger undertaking (a trained image-classification model, a reference photo library per part, ongoing accuracy risk) that doesn't fit an offline single-shop desktop app well.</w:t>
      </w:r>
    </w:p>
    <w:p>
      <w:pPr>
        <w:pStyle w:val="Heading2"/>
        <w:spacing w:after="120" w:before="240"/>
      </w:pPr>
      <w:r>
        <w:t xml:space="preserve">4.2 Shop photos as a UI background (raised, not yet decided)</w:t>
      </w:r>
    </w:p>
    <w:p>
      <w:pPr>
        <w:spacing w:after="120"/>
      </w:pPr>
      <w:r>
        <w:t xml:space="preserve">Recommendation: don't use a photo of the shop as a screen background. A few reasons:</w:t>
      </w:r>
    </w:p>
    <w:p>
      <w:pPr>
        <w:pStyle w:val="ListParagraph"/>
        <w:numPr>
          <w:ilvl w:val="0"/>
          <w:numId w:val="1"/>
        </w:numPr>
        <w:spacing w:after="60"/>
      </w:pPr>
      <w:r>
        <w:t xml:space="preserve">POS and Inventory screens are dense with tables and form fields — a photo behind them hurts contrast and readability, and this is a tool cashiers use all day, not a marketing surface.</w:t>
      </w:r>
    </w:p>
    <w:p>
      <w:pPr>
        <w:pStyle w:val="ListParagraph"/>
        <w:numPr>
          <w:ilvl w:val="0"/>
          <w:numId w:val="1"/>
        </w:numPr>
        <w:spacing w:after="60"/>
      </w:pPr>
      <w:r>
        <w:t xml:space="preserve">NFR-03 (usability) and NFR-01 (sub-second common actions) both favor a clean, low-distraction interface over decorative background imagery.</w:t>
      </w:r>
    </w:p>
    <w:p>
      <w:pPr>
        <w:pStyle w:val="ListParagraph"/>
        <w:numPr>
          <w:ilvl w:val="0"/>
          <w:numId w:val="1"/>
        </w:numPr>
        <w:spacing w:after="60"/>
      </w:pPr>
      <w:r>
        <w:t xml:space="preserve">A more effective use of shop photography: the logo (already in scope via FR-18) placed in the sidebar header, the login screen, and the receipt — small, consistent, and doesn't fight with the working screens.</w:t>
      </w:r>
    </w:p>
    <w:p>
      <w:pPr>
        <w:pStyle w:val="ListParagraph"/>
        <w:numPr>
          <w:ilvl w:val="0"/>
          <w:numId w:val="1"/>
        </w:numPr>
        <w:spacing w:after="60"/>
      </w:pPr>
      <w:r>
        <w:t xml:space="preserve">If shop atmosphere/branding still matters to you beyond the logo, the Dashboard's welcome header is a reasonable, low-risk place for a single subtle photo strip — it's a landing screen, not a working screen, so contrast matters less there.</w:t>
      </w:r>
    </w:p>
    <w:p>
      <w:pPr>
        <w:pStyle w:val="Heading1"/>
        <w:spacing w:after="150" w:before="300"/>
      </w:pPr>
      <w:r>
        <w:t xml:space="preserve">5. Data Model Changes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800"/>
      </w:tblGrid>
      <w:tr>
        <w:trPr>
          <w:tblHeader/>
        </w:trPr>
        <w:tc>
          <w:tcPr>
            <w:tcW w:type="dxa" w:w="2200"/>
            <w:shd w:fill="1e2b3c" w:val="clear"/>
            <w:tcMar>
              <w:top w:type="dxa" w:w="80"/>
              <w:left w:type="dxa" w:w="100"/>
              <w:bottom w:type="dxa" w:w="80"/>
              <w:right w:type="dxa" w:w="100"/>
            </w:tcMar>
          </w:tcPr>
          <w:p>
            <w:r>
              <w:rPr>
                <w:b/>
                <w:bCs/>
                <w:color w:val="FFFFFF"/>
                <w:sz w:val="20"/>
                <w:szCs w:val="20"/>
              </w:rPr>
              <w:t xml:space="preserve">Table</w:t>
            </w:r>
          </w:p>
        </w:tc>
        <w:tc>
          <w:tcPr>
            <w:tcW w:type="dxa" w:w="4400"/>
            <w:shd w:fill="1e2b3c" w:val="clear"/>
            <w:tcMar>
              <w:top w:type="dxa" w:w="80"/>
              <w:left w:type="dxa" w:w="100"/>
              <w:bottom w:type="dxa" w:w="80"/>
              <w:right w:type="dxa" w:w="100"/>
            </w:tcMar>
          </w:tcPr>
          <w:p>
            <w:r>
              <w:rPr>
                <w:b/>
                <w:bCs/>
                <w:color w:val="FFFFFF"/>
                <w:sz w:val="20"/>
                <w:szCs w:val="20"/>
              </w:rPr>
              <w:t xml:space="preserve">Change</w:t>
            </w:r>
          </w:p>
        </w:tc>
        <w:tc>
          <w:tcPr>
            <w:tcW w:type="dxa" w:w="2800"/>
            <w:shd w:fill="1e2b3c" w:val="clear"/>
            <w:tcMar>
              <w:top w:type="dxa" w:w="80"/>
              <w:left w:type="dxa" w:w="100"/>
              <w:bottom w:type="dxa" w:w="80"/>
              <w:right w:type="dxa" w:w="100"/>
            </w:tcMar>
          </w:tcPr>
          <w:p>
            <w:r>
              <w:rPr>
                <w:b/>
                <w:bCs/>
                <w:color w:val="FFFFFF"/>
                <w:sz w:val="20"/>
                <w:szCs w:val="20"/>
              </w:rPr>
              <w:t xml:space="preserve">Reason</w:t>
            </w:r>
          </w:p>
        </w:tc>
      </w:tr>
      <w:tr>
        <w:tc>
          <w:tcPr>
            <w:tcW w:type="dxa" w:w="2200"/>
            <w:tcMar>
              <w:top w:type="dxa" w:w="80"/>
              <w:left w:type="dxa" w:w="100"/>
              <w:bottom w:type="dxa" w:w="80"/>
              <w:right w:type="dxa" w:w="100"/>
            </w:tcMar>
          </w:tcPr>
          <w:p>
            <w:r>
              <w:rPr>
                <w:b w:val="false"/>
                <w:bCs w:val="false"/>
                <w:i w:val="false"/>
                <w:iCs w:val="false"/>
                <w:sz w:val="20"/>
                <w:szCs w:val="20"/>
              </w:rPr>
              <w:t xml:space="preserve">Settings / Config</w:t>
            </w:r>
          </w:p>
        </w:tc>
        <w:tc>
          <w:tcPr>
            <w:tcW w:type="dxa" w:w="4400"/>
            <w:tcMar>
              <w:top w:type="dxa" w:w="80"/>
              <w:left w:type="dxa" w:w="100"/>
              <w:bottom w:type="dxa" w:w="80"/>
              <w:right w:type="dxa" w:w="100"/>
            </w:tcMar>
          </w:tcPr>
          <w:p>
            <w:r>
              <w:rPr>
                <w:b w:val="false"/>
                <w:bCs w:val="false"/>
                <w:i w:val="false"/>
                <w:iCs w:val="false"/>
                <w:sz w:val="20"/>
                <w:szCs w:val="20"/>
              </w:rPr>
              <w:t xml:space="preserve">New table (or single-row key-value table): shop_name, logo_path, address, phone, receipt_footer, currency.</w:t>
            </w:r>
          </w:p>
        </w:tc>
        <w:tc>
          <w:tcPr>
            <w:tcW w:type="dxa" w:w="2800"/>
            <w:tcMar>
              <w:top w:type="dxa" w:w="80"/>
              <w:left w:type="dxa" w:w="100"/>
              <w:bottom w:type="dxa" w:w="80"/>
              <w:right w:type="dxa" w:w="100"/>
            </w:tcMar>
          </w:tcPr>
          <w:p>
            <w:r>
              <w:rPr>
                <w:b w:val="false"/>
                <w:bCs w:val="false"/>
                <w:i w:val="false"/>
                <w:iCs w:val="false"/>
                <w:sz w:val="20"/>
                <w:szCs w:val="20"/>
              </w:rPr>
              <w:t xml:space="preserve">FR-18</w:t>
            </w:r>
          </w:p>
        </w:tc>
      </w:tr>
      <w:tr>
        <w:tc>
          <w:tcPr>
            <w:tcW w:type="dxa" w:w="2200"/>
            <w:shd w:fill="eef2f5" w:val="clear"/>
            <w:tcMar>
              <w:top w:type="dxa" w:w="80"/>
              <w:left w:type="dxa" w:w="100"/>
              <w:bottom w:type="dxa" w:w="80"/>
              <w:right w:type="dxa" w:w="100"/>
            </w:tcMar>
          </w:tcPr>
          <w:p>
            <w:r>
              <w:rPr>
                <w:b w:val="false"/>
                <w:bCs w:val="false"/>
                <w:i w:val="false"/>
                <w:iCs w:val="false"/>
                <w:sz w:val="20"/>
                <w:szCs w:val="20"/>
              </w:rPr>
              <w:t xml:space="preserve">ReorderWishlist</w:t>
            </w:r>
          </w:p>
        </w:tc>
        <w:tc>
          <w:tcPr>
            <w:tcW w:type="dxa" w:w="4400"/>
            <w:shd w:fill="eef2f5" w:val="clear"/>
            <w:tcMar>
              <w:top w:type="dxa" w:w="80"/>
              <w:left w:type="dxa" w:w="100"/>
              <w:bottom w:type="dxa" w:w="80"/>
              <w:right w:type="dxa" w:w="100"/>
            </w:tcMar>
          </w:tcPr>
          <w:p>
            <w:r>
              <w:rPr>
                <w:b w:val="false"/>
                <w:bCs w:val="false"/>
                <w:i w:val="false"/>
                <w:iCs w:val="false"/>
                <w:sz w:val="20"/>
                <w:szCs w:val="20"/>
              </w:rPr>
              <w:t xml:space="preserve">New table: wishlist_id, description, preferred_supplier_id (FK, nullable), priority, notes, date_added, added_by (FK User).</w:t>
            </w:r>
          </w:p>
        </w:tc>
        <w:tc>
          <w:tcPr>
            <w:tcW w:type="dxa" w:w="2800"/>
            <w:shd w:fill="eef2f5" w:val="clear"/>
            <w:tcMar>
              <w:top w:type="dxa" w:w="80"/>
              <w:left w:type="dxa" w:w="100"/>
              <w:bottom w:type="dxa" w:w="80"/>
              <w:right w:type="dxa" w:w="100"/>
            </w:tcMar>
          </w:tcPr>
          <w:p>
            <w:r>
              <w:rPr>
                <w:b w:val="false"/>
                <w:bCs w:val="false"/>
                <w:i w:val="false"/>
                <w:iCs w:val="false"/>
                <w:sz w:val="20"/>
                <w:szCs w:val="20"/>
              </w:rPr>
              <w:t xml:space="preserve">FR-21</w:t>
            </w:r>
          </w:p>
        </w:tc>
      </w:tr>
      <w:tr>
        <w:tc>
          <w:tcPr>
            <w:tcW w:type="dxa" w:w="2200"/>
            <w:tcMar>
              <w:top w:type="dxa" w:w="80"/>
              <w:left w:type="dxa" w:w="100"/>
              <w:bottom w:type="dxa" w:w="80"/>
              <w:right w:type="dxa" w:w="100"/>
            </w:tcMar>
          </w:tcPr>
          <w:p>
            <w:r>
              <w:rPr>
                <w:b w:val="false"/>
                <w:bCs w:val="false"/>
                <w:i w:val="false"/>
                <w:iCs w:val="false"/>
                <w:sz w:val="20"/>
                <w:szCs w:val="20"/>
              </w:rPr>
              <w:t xml:space="preserve">Part / PurchaseOrder / everything else</w:t>
            </w:r>
          </w:p>
        </w:tc>
        <w:tc>
          <w:tcPr>
            <w:tcW w:type="dxa" w:w="4400"/>
            <w:tcMar>
              <w:top w:type="dxa" w:w="80"/>
              <w:left w:type="dxa" w:w="100"/>
              <w:bottom w:type="dxa" w:w="80"/>
              <w:right w:type="dxa" w:w="100"/>
            </w:tcMar>
          </w:tcPr>
          <w:p>
            <w:r>
              <w:rPr>
                <w:b w:val="false"/>
                <w:bCs w:val="false"/>
                <w:i w:val="false"/>
                <w:iCs w:val="false"/>
                <w:sz w:val="20"/>
                <w:szCs w:val="20"/>
              </w:rPr>
              <w:t xml:space="preserve">No changes required for FR-19, FR-20, FR-22, FR-23 — they build on existing tables and queries.</w:t>
            </w:r>
          </w:p>
        </w:tc>
        <w:tc>
          <w:tcPr>
            <w:tcW w:type="dxa" w:w="2800"/>
            <w:tcMar>
              <w:top w:type="dxa" w:w="80"/>
              <w:left w:type="dxa" w:w="100"/>
              <w:bottom w:type="dxa" w:w="80"/>
              <w:right w:type="dxa" w:w="100"/>
            </w:tcMar>
          </w:tcPr>
          <w:p>
            <w:r>
              <w:rPr>
                <w:b w:val="false"/>
                <w:bCs w:val="false"/>
                <w:i w:val="false"/>
                <w:iCs w:val="false"/>
                <w:sz w:val="20"/>
                <w:szCs w:val="20"/>
              </w:rPr>
              <w:t xml:space="preserve">—</w:t>
            </w:r>
          </w:p>
        </w:tc>
      </w:tr>
    </w:tbl>
    <w:p>
      <w:pPr>
        <w:pStyle w:val="Heading1"/>
        <w:spacing w:after="150" w:before="300"/>
      </w:pPr>
      <w:r>
        <w:t xml:space="preserve">6. Technology Additions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tcW w:type="dxa" w:w="2400"/>
            <w:shd w:fill="1e2b3c" w:val="clear"/>
            <w:tcMar>
              <w:top w:type="dxa" w:w="80"/>
              <w:left w:type="dxa" w:w="100"/>
              <w:bottom w:type="dxa" w:w="80"/>
              <w:right w:type="dxa" w:w="100"/>
            </w:tcMar>
          </w:tcPr>
          <w:p>
            <w:r>
              <w:rPr>
                <w:b/>
                <w:bCs/>
                <w:color w:val="FFFFFF"/>
                <w:sz w:val="20"/>
                <w:szCs w:val="20"/>
              </w:rPr>
              <w:t xml:space="preserve">Component</w:t>
            </w:r>
          </w:p>
        </w:tc>
        <w:tc>
          <w:tcPr>
            <w:tcW w:type="dxa" w:w="3400"/>
            <w:shd w:fill="1e2b3c" w:val="clear"/>
            <w:tcMar>
              <w:top w:type="dxa" w:w="80"/>
              <w:left w:type="dxa" w:w="100"/>
              <w:bottom w:type="dxa" w:w="80"/>
              <w:right w:type="dxa" w:w="100"/>
            </w:tcMar>
          </w:tcPr>
          <w:p>
            <w:r>
              <w:rPr>
                <w:b/>
                <w:bCs/>
                <w:color w:val="FFFFFF"/>
                <w:sz w:val="20"/>
                <w:szCs w:val="20"/>
              </w:rPr>
              <w:t xml:space="preserve">Technology</w:t>
            </w:r>
          </w:p>
        </w:tc>
        <w:tc>
          <w:tcPr>
            <w:tcW w:type="dxa" w:w="3600"/>
            <w:shd w:fill="1e2b3c" w:val="clear"/>
            <w:tcMar>
              <w:top w:type="dxa" w:w="80"/>
              <w:left w:type="dxa" w:w="100"/>
              <w:bottom w:type="dxa" w:w="80"/>
              <w:right w:type="dxa" w:w="100"/>
            </w:tcMar>
          </w:tcPr>
          <w:p>
            <w:r>
              <w:rPr>
                <w:b/>
                <w:bCs/>
                <w:color w:val="FFFFFF"/>
                <w:sz w:val="20"/>
                <w:szCs w:val="20"/>
              </w:rPr>
              <w:t xml:space="preserve">Purpose</w:t>
            </w:r>
          </w:p>
        </w:tc>
      </w:tr>
      <w:tr>
        <w:tc>
          <w:tcPr>
            <w:tcW w:type="dxa" w:w="2400"/>
            <w:tcMar>
              <w:top w:type="dxa" w:w="80"/>
              <w:left w:type="dxa" w:w="100"/>
              <w:bottom w:type="dxa" w:w="80"/>
              <w:right w:type="dxa" w:w="100"/>
            </w:tcMar>
          </w:tcPr>
          <w:p>
            <w:r>
              <w:rPr>
                <w:b w:val="false"/>
                <w:bCs w:val="false"/>
                <w:i w:val="false"/>
                <w:iCs w:val="false"/>
                <w:sz w:val="20"/>
                <w:szCs w:val="20"/>
              </w:rPr>
              <w:t xml:space="preserve">OCR</w:t>
            </w:r>
          </w:p>
        </w:tc>
        <w:tc>
          <w:tcPr>
            <w:tcW w:type="dxa" w:w="3400"/>
            <w:tcMar>
              <w:top w:type="dxa" w:w="80"/>
              <w:left w:type="dxa" w:w="100"/>
              <w:bottom w:type="dxa" w:w="80"/>
              <w:right w:type="dxa" w:w="100"/>
            </w:tcMar>
          </w:tcPr>
          <w:p>
            <w:r>
              <w:rPr>
                <w:b w:val="false"/>
                <w:bCs w:val="false"/>
                <w:i w:val="false"/>
                <w:iCs w:val="false"/>
                <w:sz w:val="20"/>
                <w:szCs w:val="20"/>
              </w:rPr>
              <w:t xml:space="preserve">pytesseract + Pillow (offline)</w:t>
            </w:r>
          </w:p>
        </w:tc>
        <w:tc>
          <w:tcPr>
            <w:tcW w:type="dxa" w:w="3600"/>
            <w:tcMar>
              <w:top w:type="dxa" w:w="80"/>
              <w:left w:type="dxa" w:w="100"/>
              <w:bottom w:type="dxa" w:w="80"/>
              <w:right w:type="dxa" w:w="100"/>
            </w:tcMar>
          </w:tcPr>
          <w:p>
            <w:r>
              <w:rPr>
                <w:b w:val="false"/>
                <w:bCs w:val="false"/>
                <w:i w:val="false"/>
                <w:iCs w:val="false"/>
                <w:sz w:val="20"/>
                <w:szCs w:val="20"/>
              </w:rPr>
              <w:t xml:space="preserve">FR-19 image-to-text extraction</w:t>
            </w:r>
          </w:p>
        </w:tc>
      </w:tr>
      <w:tr>
        <w:tc>
          <w:tcPr>
            <w:tcW w:type="dxa" w:w="2400"/>
            <w:shd w:fill="eef2f5" w:val="clear"/>
            <w:tcMar>
              <w:top w:type="dxa" w:w="80"/>
              <w:left w:type="dxa" w:w="100"/>
              <w:bottom w:type="dxa" w:w="80"/>
              <w:right w:type="dxa" w:w="100"/>
            </w:tcMar>
          </w:tcPr>
          <w:p>
            <w:r>
              <w:rPr>
                <w:b w:val="false"/>
                <w:bCs w:val="false"/>
                <w:i w:val="false"/>
                <w:iCs w:val="false"/>
                <w:sz w:val="20"/>
                <w:szCs w:val="20"/>
              </w:rPr>
              <w:t xml:space="preserve">Charting</w:t>
            </w:r>
          </w:p>
        </w:tc>
        <w:tc>
          <w:tcPr>
            <w:tcW w:type="dxa" w:w="3400"/>
            <w:shd w:fill="eef2f5" w:val="clear"/>
            <w:tcMar>
              <w:top w:type="dxa" w:w="80"/>
              <w:left w:type="dxa" w:w="100"/>
              <w:bottom w:type="dxa" w:w="80"/>
              <w:right w:type="dxa" w:w="100"/>
            </w:tcMar>
          </w:tcPr>
          <w:p>
            <w:r>
              <w:rPr>
                <w:b w:val="false"/>
                <w:bCs w:val="false"/>
                <w:i w:val="false"/>
                <w:iCs w:val="false"/>
                <w:sz w:val="20"/>
                <w:szCs w:val="20"/>
              </w:rPr>
              <w:t xml:space="preserve">matplotlib (FigureCanvasQTAgg) or QtCharts</w:t>
            </w:r>
          </w:p>
        </w:tc>
        <w:tc>
          <w:tcPr>
            <w:tcW w:type="dxa" w:w="3600"/>
            <w:shd w:fill="eef2f5" w:val="clear"/>
            <w:tcMar>
              <w:top w:type="dxa" w:w="80"/>
              <w:left w:type="dxa" w:w="100"/>
              <w:bottom w:type="dxa" w:w="80"/>
              <w:right w:type="dxa" w:w="100"/>
            </w:tcMar>
          </w:tcPr>
          <w:p>
            <w:r>
              <w:rPr>
                <w:b w:val="false"/>
                <w:bCs w:val="false"/>
                <w:i w:val="false"/>
                <w:iCs w:val="false"/>
                <w:sz w:val="20"/>
                <w:szCs w:val="20"/>
              </w:rPr>
              <w:t xml:space="preserve">FR-22 sales trend graph</w:t>
            </w:r>
          </w:p>
        </w:tc>
      </w:tr>
      <w:tr>
        <w:tc>
          <w:tcPr>
            <w:tcW w:type="dxa" w:w="2400"/>
            <w:tcMar>
              <w:top w:type="dxa" w:w="80"/>
              <w:left w:type="dxa" w:w="100"/>
              <w:bottom w:type="dxa" w:w="80"/>
              <w:right w:type="dxa" w:w="100"/>
            </w:tcMar>
          </w:tcPr>
          <w:p>
            <w:r>
              <w:rPr>
                <w:b w:val="false"/>
                <w:bCs w:val="false"/>
                <w:i w:val="false"/>
                <w:iCs w:val="false"/>
                <w:sz w:val="20"/>
                <w:szCs w:val="20"/>
              </w:rPr>
              <w:t xml:space="preserve">PDF export (reorder list)</w:t>
            </w:r>
          </w:p>
        </w:tc>
        <w:tc>
          <w:tcPr>
            <w:tcW w:type="dxa" w:w="3400"/>
            <w:tcMar>
              <w:top w:type="dxa" w:w="80"/>
              <w:left w:type="dxa" w:w="100"/>
              <w:bottom w:type="dxa" w:w="80"/>
              <w:right w:type="dxa" w:w="100"/>
            </w:tcMar>
          </w:tcPr>
          <w:p>
            <w:r>
              <w:rPr>
                <w:b w:val="false"/>
                <w:bCs w:val="false"/>
                <w:i w:val="false"/>
                <w:iCs w:val="false"/>
                <w:sz w:val="20"/>
                <w:szCs w:val="20"/>
              </w:rPr>
              <w:t xml:space="preserve">reportlab (already a dependency)</w:t>
            </w:r>
          </w:p>
        </w:tc>
        <w:tc>
          <w:tcPr>
            <w:tcW w:type="dxa" w:w="3600"/>
            <w:tcMar>
              <w:top w:type="dxa" w:w="80"/>
              <w:left w:type="dxa" w:w="100"/>
              <w:bottom w:type="dxa" w:w="80"/>
              <w:right w:type="dxa" w:w="100"/>
            </w:tcMar>
          </w:tcPr>
          <w:p>
            <w:r>
              <w:rPr>
                <w:b w:val="false"/>
                <w:bCs w:val="false"/>
                <w:i w:val="false"/>
                <w:iCs w:val="false"/>
                <w:sz w:val="20"/>
                <w:szCs w:val="20"/>
              </w:rPr>
              <w:t xml:space="preserve">FR-20</w:t>
            </w:r>
          </w:p>
        </w:tc>
      </w:tr>
    </w:tbl>
    <w:p>
      <w:pPr>
        <w:spacing w:after="120"/>
      </w:pPr>
      <w:r>
        <w:t xml:space="preserve">All additions keep the system fully offline (NFR-02) — no cloud OCR or charting service is introduced.</w:t>
      </w:r>
    </w:p>
    <w:p>
      <w:pPr>
        <w:pStyle w:val="Heading1"/>
        <w:spacing w:after="150" w:before="300"/>
      </w:pPr>
      <w:r>
        <w:t xml:space="preserve">7. Implementation Plan</w:t>
      </w:r>
    </w:p>
    <w:p>
      <w:pPr>
        <w:spacing w:after="120"/>
      </w:pPr>
      <w:r>
        <w:t xml:space="preserve">Phased by dependency and effort, not by calendar — no fixed v2 timeline has been set.</w:t>
      </w:r>
    </w:p>
    <w:p>
      <w:pPr>
        <w:pStyle w:val="Heading2"/>
        <w:spacing w:after="120" w:before="240"/>
      </w:pPr>
      <w:r>
        <w:t xml:space="preserve">Phase 1 — Branding &amp; Quick Wins</w:t>
      </w:r>
    </w:p>
    <w:p>
      <w:pPr>
        <w:pStyle w:val="ListParagraph"/>
        <w:numPr>
          <w:ilvl w:val="0"/>
          <w:numId w:val="1"/>
        </w:numPr>
        <w:spacing w:after="60"/>
      </w:pPr>
      <w:r>
        <w:t xml:space="preserve">FR-18 Configurable shop branding (Settings screen + config table + receipt_generator.py update)</w:t>
      </w:r>
    </w:p>
    <w:p>
      <w:pPr>
        <w:pStyle w:val="ListParagraph"/>
        <w:numPr>
          <w:ilvl w:val="0"/>
          <w:numId w:val="1"/>
        </w:numPr>
        <w:spacing w:after="60"/>
      </w:pPr>
      <w:r>
        <w:t xml:space="preserve">FR-20 Export reorder list (reuses existing get_low_stock_parts() data)</w:t>
      </w:r>
    </w:p>
    <w:p>
      <w:pPr>
        <w:pStyle w:val="ListParagraph"/>
        <w:numPr>
          <w:ilvl w:val="0"/>
          <w:numId w:val="1"/>
        </w:numPr>
        <w:spacing w:after="60"/>
      </w:pPr>
      <w:r>
        <w:t xml:space="preserve">FR-23 Zero-stock color distinction (small addition to existing Inventory highlighting)</w:t>
      </w:r>
    </w:p>
    <w:p>
      <w:pPr>
        <w:pStyle w:val="ListParagraph"/>
        <w:numPr>
          <w:ilvl w:val="0"/>
          <w:numId w:val="1"/>
        </w:numPr>
        <w:spacing w:after="60"/>
      </w:pPr>
      <w:r>
        <w:t xml:space="preserve">FR-24 Uppercase normalization for part_number and category (validators.py + inventory_manager.py)</w:t>
      </w:r>
    </w:p>
    <w:p>
      <w:pPr>
        <w:spacing w:after="120"/>
      </w:pPr>
      <w:r>
        <w:rPr>
          <w:i/>
          <w:iCs/>
        </w:rPr>
        <w:t xml:space="preserve">Deliverable: shop identity is no longer hardcoded, and the owner can walk into a supplier with a printed reorder list.</w:t>
      </w:r>
    </w:p>
    <w:p>
      <w:pPr>
        <w:pStyle w:val="Heading2"/>
        <w:spacing w:after="120" w:before="240"/>
      </w:pPr>
      <w:r>
        <w:t xml:space="preserve">Phase 2 — Reorder Wishlist</w:t>
      </w:r>
    </w:p>
    <w:p>
      <w:pPr>
        <w:pStyle w:val="ListParagraph"/>
        <w:numPr>
          <w:ilvl w:val="0"/>
          <w:numId w:val="1"/>
        </w:numPr>
        <w:spacing w:after="60"/>
      </w:pPr>
      <w:r>
        <w:t xml:space="preserve">FR-21 ReorderWishlist table, manager, and UI section on the Low Stock Alert tab</w:t>
      </w:r>
    </w:p>
    <w:p>
      <w:pPr>
        <w:pStyle w:val="ListParagraph"/>
        <w:numPr>
          <w:ilvl w:val="0"/>
          <w:numId w:val="1"/>
        </w:numPr>
        <w:spacing w:after="60"/>
      </w:pPr>
      <w:r>
        <w:t xml:space="preserve">Extend FR-20's export to include wishlist items, grouped by priority</w:t>
      </w:r>
    </w:p>
    <w:p>
      <w:pPr>
        <w:spacing w:after="120"/>
      </w:pPr>
      <w:r>
        <w:rPr>
          <w:i/>
          <w:iCs/>
        </w:rPr>
        <w:t xml:space="preserve">Deliverable: uncatalogued or persistently-unavailable items no longer fall through the cracks between visits.</w:t>
      </w:r>
    </w:p>
    <w:p>
      <w:pPr>
        <w:pStyle w:val="Heading2"/>
        <w:spacing w:after="120" w:before="240"/>
      </w:pPr>
      <w:r>
        <w:t xml:space="preserve">Phase 3 — Reporting Upgrade</w:t>
      </w:r>
    </w:p>
    <w:p>
      <w:pPr>
        <w:pStyle w:val="ListParagraph"/>
        <w:numPr>
          <w:ilvl w:val="0"/>
          <w:numId w:val="1"/>
        </w:numPr>
        <w:spacing w:after="60"/>
      </w:pPr>
      <w:r>
        <w:t xml:space="preserve">FR-22 Sales trend graph on the Sales Summary tab</w:t>
      </w:r>
    </w:p>
    <w:p>
      <w:pPr>
        <w:spacing w:after="120"/>
      </w:pPr>
      <w:r>
        <w:rPr>
          <w:i/>
          <w:iCs/>
        </w:rPr>
        <w:t xml:space="preserve">Deliverable: the owner can see whether sales are trending up or down at a glance, not just as raw numbers.</w:t>
      </w:r>
    </w:p>
    <w:p>
      <w:pPr>
        <w:pStyle w:val="Heading2"/>
        <w:spacing w:after="120" w:before="240"/>
      </w:pPr>
      <w:r>
        <w:t xml:space="preserve">Phase 4 — Image Import (pending Section 4.1 decision)</w:t>
      </w:r>
    </w:p>
    <w:p>
      <w:pPr>
        <w:pStyle w:val="ListParagraph"/>
        <w:numPr>
          <w:ilvl w:val="0"/>
          <w:numId w:val="1"/>
        </w:numPr>
        <w:spacing w:after="60"/>
      </w:pPr>
      <w:r>
        <w:t xml:space="preserve">FR-19 OCR-based import, extending the existing Excel-import review/correct pattern to photographed source documents</w:t>
      </w:r>
    </w:p>
    <w:p>
      <w:pPr>
        <w:spacing w:after="120"/>
      </w:pPr>
      <w:r>
        <w:rPr>
          <w:i/>
          <w:iCs/>
        </w:rPr>
        <w:t xml:space="preserve">Deliverable: stock data can be captured from a photographed supplier document instead of manual re-typing.</w:t>
      </w:r>
    </w:p>
    <w:p>
      <w:pPr>
        <w:spacing w:after="120"/>
      </w:pPr>
      <w:r>
        <w:rPr>
          <w:i/>
          <w:iCs/>
        </w:rPr>
        <w:t xml:space="preserve">This phase is last because it's the most technically novel piece (first use of OCR in the codebase) and depends on the Section 4.1 scope decision being confirmed.</w:t>
      </w:r>
    </w:p>
    <w:p>
      <w:pPr>
        <w:pStyle w:val="Heading1"/>
        <w:spacing w:after="150" w:before="300"/>
      </w:pPr>
      <w:r>
        <w:t xml:space="preserve">Appendix A: Suppliers Tab — What It's For</w:t>
      </w:r>
    </w:p>
    <w:p>
      <w:pPr>
        <w:spacing w:after="120"/>
      </w:pPr>
      <w:r>
        <w:t xml:space="preserve">Raised as a question during this planning pass, answered here for reference:</w:t>
      </w:r>
    </w:p>
    <w:p>
      <w:pPr>
        <w:pStyle w:val="ListParagraph"/>
        <w:numPr>
          <w:ilvl w:val="0"/>
          <w:numId w:val="1"/>
        </w:numPr>
        <w:spacing w:after="60"/>
      </w:pPr>
      <w:r>
        <w:t xml:space="preserve">Top panel: supplier contact records — name, phone, address. Standard CRUD, same pattern as Customers.</w:t>
      </w:r>
    </w:p>
    <w:p>
      <w:pPr>
        <w:pStyle w:val="ListParagraph"/>
        <w:numPr>
          <w:ilvl w:val="0"/>
          <w:numId w:val="1"/>
        </w:numPr>
        <w:spacing w:after="60"/>
      </w:pPr>
      <w:r>
        <w:t xml:space="preserve">Bottom panel: Purchase Orders against a supplier — draft an order with an estimated total, then move it through Draft → Ordered → Received.</w:t>
      </w:r>
    </w:p>
    <w:p>
      <w:pPr>
        <w:pStyle w:val="ListParagraph"/>
        <w:numPr>
          <w:ilvl w:val="0"/>
          <w:numId w:val="1"/>
        </w:numPr>
        <w:spacing w:after="60"/>
      </w:pPr>
      <w:r>
        <w:t xml:space="preserve">Marking a PO “Received” does not automatically update stock — it's a manual link by design in v1. The app prompts the user to separately use Inventory's “Stock In” action to record the actual quantities received.</w:t>
      </w:r>
    </w:p>
    <w:p>
      <w:pPr>
        <w:pStyle w:val="ListParagraph"/>
        <w:numPr>
          <w:ilvl w:val="0"/>
          <w:numId w:val="1"/>
        </w:numPr>
        <w:spacing w:after="60"/>
      </w:pPr>
      <w:r>
        <w:t xml:space="preserve">This manual hand-off is precisely the gap that itemized Purchase Orders (the deferred item noted in Section 2) would close: line items on a PO could drive Stock In automatically instead of requiring a second manual step.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2026-08-05T09:11:53.426Z</dcterms:created>
  <dcterms:modified xsi:type="dcterms:W3CDTF">2026-08-05T09:11:53.637Z</dcterms:modified>
</cp:coreProperties>
</file>

<file path=docProps/custom.xml><?xml version="1.0" encoding="utf-8"?>
<Properties xmlns="http://schemas.openxmlformats.org/officeDocument/2006/custom-properties" xmlns:vt="http://schemas.openxmlformats.org/officeDocument/2006/docPropsVTypes"/>
</file>