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3D38F819" w:rsidR="00D54DB4" w:rsidRPr="00997E19" w:rsidRDefault="00EA5D2D" w:rsidP="00E721A9">
      <w:pPr>
        <w:pStyle w:val="DOP"/>
        <w:tabs>
          <w:tab w:val="left" w:pos="180"/>
        </w:tabs>
        <w:rPr>
          <w:b/>
          <w:bCs/>
          <w:sz w:val="24"/>
          <w:szCs w:val="24"/>
        </w:rPr>
      </w:pPr>
      <w:bookmarkStart w:id="0" w:name="_Hlk224679821"/>
      <w:bookmarkEnd w:id="0"/>
      <w:r w:rsidRPr="00997E19">
        <w:rPr>
          <w:b/>
          <w:bCs/>
          <w:sz w:val="24"/>
          <w:szCs w:val="24"/>
        </w:rPr>
        <w:t>Date of publication</w:t>
      </w:r>
      <w:r w:rsidR="002B5D96" w:rsidRPr="00997E19">
        <w:rPr>
          <w:b/>
          <w:bCs/>
          <w:sz w:val="24"/>
          <w:szCs w:val="24"/>
        </w:rPr>
        <w:t xml:space="preserve">: </w:t>
      </w:r>
      <w:r w:rsidR="00997E19" w:rsidRPr="00997E19">
        <w:rPr>
          <w:b/>
          <w:bCs/>
          <w:sz w:val="24"/>
          <w:szCs w:val="24"/>
        </w:rPr>
        <w:t>17</w:t>
      </w:r>
      <w:r w:rsidR="002B5D96" w:rsidRPr="00997E19">
        <w:rPr>
          <w:b/>
          <w:bCs/>
          <w:sz w:val="24"/>
          <w:szCs w:val="24"/>
        </w:rPr>
        <w:t>/03/2026</w:t>
      </w:r>
      <w:r w:rsidRPr="00997E19">
        <w:rPr>
          <w:b/>
          <w:bCs/>
          <w:sz w:val="24"/>
          <w:szCs w:val="24"/>
        </w:rPr>
        <w:t xml:space="preserve"> </w:t>
      </w:r>
    </w:p>
    <w:p w14:paraId="7F95A7D6" w14:textId="11A93BB4" w:rsidR="00505C65" w:rsidRPr="0062439C" w:rsidRDefault="00505C65" w:rsidP="00505C65">
      <w:pPr>
        <w:pStyle w:val="DOI"/>
      </w:pPr>
    </w:p>
    <w:p w14:paraId="364D5547" w14:textId="77777777" w:rsidR="00997E19" w:rsidRPr="00997E19" w:rsidRDefault="00997E19" w:rsidP="00997E19">
      <w:pPr>
        <w:pStyle w:val="AU"/>
        <w:rPr>
          <w:color w:val="00629B"/>
          <w:sz w:val="44"/>
          <w:szCs w:val="44"/>
        </w:rPr>
      </w:pPr>
      <w:r w:rsidRPr="00997E19">
        <w:rPr>
          <w:bCs/>
          <w:color w:val="00629B"/>
          <w:sz w:val="44"/>
          <w:szCs w:val="44"/>
        </w:rPr>
        <w:t>Bridging the Digital Divide using Machine Learning to predict and understand Internet Access Patterns in Ugandan households</w:t>
      </w:r>
    </w:p>
    <w:p w14:paraId="55CA2C3B" w14:textId="2C442167" w:rsidR="00DA45B2" w:rsidRDefault="00DA45B2" w:rsidP="00DA45B2">
      <w:pPr>
        <w:pStyle w:val="AU"/>
        <w:spacing w:after="0"/>
        <w:rPr>
          <w:sz w:val="24"/>
          <w:szCs w:val="24"/>
        </w:rPr>
      </w:pPr>
      <w:r w:rsidRPr="00EB508B">
        <w:rPr>
          <w:sz w:val="24"/>
          <w:szCs w:val="24"/>
        </w:rPr>
        <w:t>First A. Author</w:t>
      </w:r>
      <w:r w:rsidRPr="00EB508B">
        <w:rPr>
          <w:sz w:val="24"/>
          <w:szCs w:val="24"/>
          <w:vertAlign w:val="superscript"/>
        </w:rPr>
        <w:t>1</w:t>
      </w:r>
      <w:r w:rsidRPr="00EB508B">
        <w:rPr>
          <w:sz w:val="24"/>
          <w:szCs w:val="24"/>
        </w:rPr>
        <w:t>, OBA PHILLIP, Second B. Author</w:t>
      </w:r>
      <w:r w:rsidRPr="00EB508B">
        <w:rPr>
          <w:sz w:val="24"/>
          <w:szCs w:val="24"/>
          <w:vertAlign w:val="superscript"/>
        </w:rPr>
        <w:t>2</w:t>
      </w:r>
      <w:r w:rsidRPr="00EB508B">
        <w:rPr>
          <w:sz w:val="24"/>
          <w:szCs w:val="24"/>
        </w:rPr>
        <w:t xml:space="preserve">, </w:t>
      </w:r>
      <w:r w:rsidRPr="00EB508B">
        <w:rPr>
          <w:rFonts w:ascii="Times New Roman" w:hAnsi="Times New Roman"/>
          <w:color w:val="000000"/>
          <w:sz w:val="24"/>
          <w:szCs w:val="24"/>
        </w:rPr>
        <w:t>SWALE SEBABE ABDU</w:t>
      </w:r>
      <w:r w:rsidRPr="00EB508B">
        <w:rPr>
          <w:sz w:val="24"/>
          <w:szCs w:val="24"/>
        </w:rPr>
        <w:t xml:space="preserve"> </w:t>
      </w:r>
    </w:p>
    <w:p w14:paraId="4CC240B6" w14:textId="77777777" w:rsidR="00DA45B2" w:rsidRDefault="00DA45B2" w:rsidP="00DA45B2">
      <w:pPr>
        <w:pStyle w:val="AU"/>
        <w:spacing w:after="0"/>
        <w:rPr>
          <w:sz w:val="24"/>
          <w:szCs w:val="24"/>
        </w:rPr>
      </w:pPr>
    </w:p>
    <w:p w14:paraId="5E0A5A27" w14:textId="77777777" w:rsidR="00DA45B2" w:rsidRPr="00EB508B" w:rsidRDefault="00DA45B2" w:rsidP="00DA45B2">
      <w:pPr>
        <w:pStyle w:val="PINoSpace"/>
        <w:ind w:firstLine="0"/>
        <w:rPr>
          <w:sz w:val="28"/>
          <w:szCs w:val="28"/>
        </w:rPr>
      </w:pPr>
      <w:r>
        <w:rPr>
          <w:sz w:val="28"/>
          <w:szCs w:val="28"/>
        </w:rPr>
        <w:t>College</w:t>
      </w:r>
      <w:r w:rsidRPr="00EB508B">
        <w:rPr>
          <w:sz w:val="28"/>
          <w:szCs w:val="28"/>
        </w:rPr>
        <w:t xml:space="preserve"> Of Computing and Informatics Sciences, UGANDA</w:t>
      </w:r>
    </w:p>
    <w:p w14:paraId="4E31679A" w14:textId="77777777" w:rsidR="00DA45B2" w:rsidRPr="00EB508B" w:rsidRDefault="00DA45B2" w:rsidP="00DA45B2">
      <w:pPr>
        <w:pStyle w:val="PINoSpace"/>
        <w:ind w:firstLine="0"/>
        <w:rPr>
          <w:sz w:val="28"/>
          <w:szCs w:val="28"/>
        </w:rPr>
      </w:pPr>
      <w:r w:rsidRPr="00EB508B">
        <w:rPr>
          <w:sz w:val="28"/>
          <w:szCs w:val="28"/>
        </w:rPr>
        <w:t xml:space="preserve">Department of Networks, Makerere University, Kampala, UGANDA </w:t>
      </w:r>
    </w:p>
    <w:p w14:paraId="58606C31" w14:textId="77777777" w:rsidR="00DA45B2" w:rsidRPr="00EB508B" w:rsidRDefault="00DA45B2" w:rsidP="00DA45B2">
      <w:pPr>
        <w:pStyle w:val="PI"/>
        <w:spacing w:after="0"/>
        <w:ind w:right="1598" w:firstLine="0"/>
        <w:rPr>
          <w:sz w:val="28"/>
          <w:szCs w:val="28"/>
        </w:rPr>
      </w:pPr>
      <w:r w:rsidRPr="00EB508B">
        <w:rPr>
          <w:sz w:val="28"/>
          <w:szCs w:val="28"/>
        </w:rPr>
        <w:t>Software Engineering Department, Makerere University, Kampala, UGANDA</w:t>
      </w:r>
    </w:p>
    <w:p w14:paraId="231175DC" w14:textId="78A2BB34" w:rsidR="00604D8D" w:rsidRPr="005C261D" w:rsidRDefault="00604D8D" w:rsidP="005C261D">
      <w:pPr>
        <w:pStyle w:val="PI"/>
        <w:spacing w:after="0"/>
        <w:ind w:right="1598" w:firstLine="0"/>
        <w:rPr>
          <w:sz w:val="14"/>
          <w:szCs w:val="14"/>
        </w:rPr>
      </w:pPr>
      <w:r>
        <w:rPr>
          <w:sz w:val="14"/>
          <w:szCs w:val="14"/>
        </w:rPr>
        <w:tab/>
      </w:r>
    </w:p>
    <w:p w14:paraId="36A2A24B" w14:textId="77777777" w:rsidR="00DA45B2" w:rsidRDefault="00DA45B2" w:rsidP="00DA45B2">
      <w:pPr>
        <w:pStyle w:val="PI"/>
        <w:spacing w:before="100" w:after="100"/>
        <w:ind w:right="1598" w:firstLine="0"/>
        <w:rPr>
          <w:sz w:val="20"/>
          <w:szCs w:val="20"/>
        </w:rPr>
      </w:pPr>
      <w:r w:rsidRPr="00B917F9">
        <w:rPr>
          <w:sz w:val="20"/>
          <w:szCs w:val="20"/>
        </w:rPr>
        <w:t xml:space="preserve">Corresponding author: </w:t>
      </w:r>
    </w:p>
    <w:p w14:paraId="1838E09B" w14:textId="77777777" w:rsidR="00DA45B2" w:rsidRDefault="00DA45B2" w:rsidP="00DA45B2">
      <w:pPr>
        <w:pStyle w:val="PI"/>
        <w:spacing w:before="100" w:after="100"/>
        <w:ind w:right="1598" w:firstLine="0"/>
        <w:rPr>
          <w:sz w:val="20"/>
          <w:szCs w:val="20"/>
        </w:rPr>
      </w:pPr>
      <w:r w:rsidRPr="00B917F9">
        <w:rPr>
          <w:sz w:val="20"/>
          <w:szCs w:val="20"/>
        </w:rPr>
        <w:t xml:space="preserve">First A. Author  </w:t>
      </w:r>
      <w:hyperlink r:id="rId8" w:history="1">
        <w:r w:rsidRPr="00B917F9">
          <w:rPr>
            <w:rStyle w:val="Hyperlink"/>
            <w:sz w:val="20"/>
            <w:szCs w:val="20"/>
          </w:rPr>
          <w:t>obaphillip8@gmail.com</w:t>
        </w:r>
      </w:hyperlink>
    </w:p>
    <w:p w14:paraId="590D471D" w14:textId="77777777" w:rsidR="00DA45B2" w:rsidRPr="00B917F9" w:rsidRDefault="00DA45B2" w:rsidP="00DA45B2">
      <w:pPr>
        <w:pStyle w:val="PI"/>
        <w:spacing w:before="100" w:after="100"/>
        <w:ind w:right="1598" w:firstLine="0"/>
        <w:rPr>
          <w:sz w:val="20"/>
          <w:szCs w:val="20"/>
        </w:rPr>
      </w:pPr>
      <w:r>
        <w:rPr>
          <w:sz w:val="20"/>
          <w:szCs w:val="20"/>
        </w:rPr>
        <w:t xml:space="preserve">Second B Author: </w:t>
      </w:r>
      <w:hyperlink r:id="rId9" w:history="1">
        <w:r w:rsidRPr="00F274C1">
          <w:rPr>
            <w:rStyle w:val="Hyperlink"/>
            <w:sz w:val="20"/>
            <w:szCs w:val="20"/>
          </w:rPr>
          <w:t>xwalesebabe@gmail.com</w:t>
        </w:r>
      </w:hyperlink>
      <w:r>
        <w:rPr>
          <w:sz w:val="20"/>
          <w:szCs w:val="20"/>
        </w:rPr>
        <w:t xml:space="preserve"> </w:t>
      </w:r>
    </w:p>
    <w:p w14:paraId="2716E8B9" w14:textId="77777777" w:rsidR="000D5DC5" w:rsidRDefault="000D5DC5" w:rsidP="000D5DC5">
      <w:pPr>
        <w:pStyle w:val="PI"/>
        <w:spacing w:before="100" w:after="100"/>
        <w:ind w:right="1598" w:firstLine="0"/>
      </w:pPr>
    </w:p>
    <w:p w14:paraId="09F6B06C" w14:textId="77777777" w:rsidR="00997E19" w:rsidRPr="00997E19" w:rsidRDefault="00EA5D2D" w:rsidP="00997E19">
      <w:pPr>
        <w:pStyle w:val="Abstract"/>
        <w:rPr>
          <w:sz w:val="24"/>
          <w:szCs w:val="24"/>
        </w:rPr>
      </w:pPr>
      <w:r w:rsidRPr="00887BB0">
        <w:rPr>
          <w:rStyle w:val="H5CharChar"/>
        </w:rPr>
        <w:t>ABSTRACT</w:t>
      </w:r>
      <w:r w:rsidR="00997E19">
        <w:t xml:space="preserve"> </w:t>
      </w:r>
      <w:r w:rsidR="00997E19" w:rsidRPr="00997E19">
        <w:rPr>
          <w:sz w:val="24"/>
          <w:szCs w:val="24"/>
        </w:rPr>
        <w:t>Internet access is a critical enabler of socioeconomic development, yet significant disparities persist in developing countries such as Uganda, where less than 10% of households report connectivity and pronounced inequalities exist across urban–rural, regional, and gender dimensions. Traditional approaches to modeling digital inclusion, which rely on binary classifications and fully supervised learning, fail to capture the complex and partially observed nature of connectivity data, often introducing bias by treating unlabeled instances as true negatives. This study addresses this limitation through the application of Positive–Unlabeled (PU) learning, a framework designed to handle asymmetric label verification in large-scale survey datasets. Using the 2014 Uganda National Population and Housing Census (10% sample), comprising approximately 3.5 million household records with 216 demographic, socioeconomic, and asset-related features, the proposed approach integrates PU learning with semi-supervised techniques, unsupervised clustering, and supervised ensemble models, including Random Forests, Gradient Boosting Machines, and Extreme Gradient Boosting (XGBoost). By estimating the class prior directly from unlabeled data, the model effectively distinguishes between truly excluded households and hidden connected populations, thereby correcting biased decision boundaries and improving recall. The findings provide a more accurate representation of digital inclusion and offer a robust, data-driven foundation for evidence-based policymaking, infrastructure planning, and targeted interventions aimed at bridging the digital divide in Uganda</w:t>
      </w:r>
    </w:p>
    <w:p w14:paraId="5C212DDA" w14:textId="5E278EC7" w:rsidR="00D828C6" w:rsidRPr="00997E19" w:rsidRDefault="00997E19" w:rsidP="00997E19">
      <w:pPr>
        <w:pStyle w:val="Abstract"/>
        <w:rPr>
          <w:rFonts w:ascii="Helvetica" w:hAnsi="Helvetica"/>
          <w:b/>
          <w:color w:val="00629B"/>
        </w:rPr>
      </w:pPr>
      <w:r w:rsidRPr="00FA6AAB">
        <w:rPr>
          <w:rStyle w:val="H5CharChar"/>
          <w:rFonts w:cs="Helvetica"/>
        </w:rPr>
        <w:t>INDEX</w:t>
      </w:r>
      <w:r w:rsidR="00D828C6" w:rsidRPr="00FA6AAB">
        <w:rPr>
          <w:rStyle w:val="H5CharChar"/>
          <w:rFonts w:cs="Helvetica"/>
        </w:rPr>
        <w:t xml:space="preserve"> </w:t>
      </w:r>
      <w:r w:rsidR="002E35B3" w:rsidRPr="00FA6AAB">
        <w:rPr>
          <w:rStyle w:val="H5CharChar"/>
          <w:rFonts w:cs="Helvetica"/>
        </w:rPr>
        <w:t>TERMS</w:t>
      </w:r>
      <w:r>
        <w:t xml:space="preserve"> </w:t>
      </w:r>
      <w:r w:rsidRPr="0072284B">
        <w:rPr>
          <w:sz w:val="24"/>
          <w:szCs w:val="24"/>
        </w:rPr>
        <w:t>Digital inclusion, heterogeneous tabular data, positive–unlabeled learning, semi-supervised classification, socioeconomic modeling, unsupervised clustering</w:t>
      </w:r>
      <w:r w:rsidR="006D7003" w:rsidRPr="0072284B">
        <w:rPr>
          <w:sz w:val="24"/>
          <w:szCs w:val="24"/>
        </w:rPr>
        <w:t>.</w:t>
      </w:r>
    </w:p>
    <w:p w14:paraId="2427AA9B" w14:textId="77777777" w:rsidR="006D7003" w:rsidRDefault="006D7003" w:rsidP="006D7003">
      <w:pPr>
        <w:pStyle w:val="IT"/>
      </w:pPr>
    </w:p>
    <w:p w14:paraId="5958EAFC" w14:textId="77777777" w:rsidR="006D7003" w:rsidRDefault="006D7003" w:rsidP="006D7003">
      <w:pPr>
        <w:pStyle w:val="IT"/>
      </w:pPr>
    </w:p>
    <w:p w14:paraId="63B44FBC" w14:textId="77777777" w:rsidR="0072284B" w:rsidRDefault="0072284B" w:rsidP="006D7003">
      <w:pPr>
        <w:pStyle w:val="IT"/>
      </w:pPr>
    </w:p>
    <w:p w14:paraId="5D90FDC6" w14:textId="433BAEF9" w:rsidR="0072284B" w:rsidRPr="00887BB0" w:rsidRDefault="0072284B" w:rsidP="006D7003">
      <w:pPr>
        <w:pStyle w:val="IT"/>
        <w:sectPr w:rsidR="0072284B" w:rsidRPr="00887BB0" w:rsidSect="00CB2DB1">
          <w:headerReference w:type="default" r:id="rId10"/>
          <w:footerReference w:type="default" r:id="rId11"/>
          <w:pgSz w:w="11520" w:h="15660" w:code="1"/>
          <w:pgMar w:top="1280" w:right="740" w:bottom="1040" w:left="740" w:header="360" w:footer="640" w:gutter="0"/>
          <w:cols w:space="720"/>
          <w:docGrid w:linePitch="360"/>
        </w:sectPr>
      </w:pPr>
    </w:p>
    <w:p w14:paraId="5CADF738" w14:textId="50ECD742" w:rsidR="00446CD9" w:rsidRPr="00446CD9" w:rsidRDefault="00446CD9" w:rsidP="00446CD9">
      <w:pPr>
        <w:pStyle w:val="H1ListNoSpace"/>
        <w:rPr>
          <w:sz w:val="20"/>
          <w:szCs w:val="20"/>
        </w:rPr>
      </w:pPr>
      <w:r w:rsidRPr="00446CD9">
        <w:rPr>
          <w:sz w:val="20"/>
          <w:szCs w:val="20"/>
        </w:rPr>
        <w:lastRenderedPageBreak/>
        <w:t xml:space="preserve"> INTRODUCTION:</w:t>
      </w:r>
    </w:p>
    <w:p w14:paraId="7078F147" w14:textId="3C988DB9" w:rsidR="002E35B3" w:rsidRPr="008C3079" w:rsidRDefault="002E35B3" w:rsidP="002E35B3">
      <w:pPr>
        <w:pStyle w:val="H1ListNoSpace"/>
        <w:numPr>
          <w:ilvl w:val="0"/>
          <w:numId w:val="0"/>
        </w:numPr>
        <w:rPr>
          <w:b w:val="0"/>
          <w:bCs w:val="0"/>
          <w:color w:val="auto"/>
          <w:sz w:val="22"/>
          <w:szCs w:val="22"/>
        </w:rPr>
      </w:pPr>
      <w:r w:rsidRPr="008C3079">
        <w:rPr>
          <w:b w:val="0"/>
          <w:bCs w:val="0"/>
          <w:color w:val="auto"/>
          <w:sz w:val="22"/>
          <w:szCs w:val="22"/>
        </w:rPr>
        <w:t>Access to the internet has become a fundamental driver of socioeconomic development in the 21st century, enabling participation in key sectors such as education, healthcare, economic activities, and civic engagement. However, in Uganda, as in many developing countries, a significant digital divide persists. Current estimates indicate that less than 10% of households have internet connectivity. Moreover, substantial disparities exist between urban and rural areas (approximately 40% versus 5%), across regions (with Kampala at about 40% compared to 2–5% in Northern regions), and along gender lines (approximately 25% for males versus 15% for females). Understanding the determinants of internet access is therefore essential for evidence-based policymaking, infrastructure development, and the design of targeted interventions aimed at reducing these inequalities.</w:t>
      </w:r>
      <w:r w:rsidRPr="008C3079">
        <w:rPr>
          <w:b w:val="0"/>
          <w:bCs w:val="0"/>
          <w:color w:val="auto"/>
          <w:sz w:val="22"/>
          <w:szCs w:val="22"/>
        </w:rPr>
        <w:t xml:space="preserve"> </w:t>
      </w:r>
      <w:r w:rsidRPr="008C3079">
        <w:rPr>
          <w:b w:val="0"/>
          <w:bCs w:val="0"/>
          <w:color w:val="auto"/>
          <w:sz w:val="22"/>
          <w:szCs w:val="22"/>
        </w:rPr>
        <w:t xml:space="preserve">This study utilizes data from the 2014 Uganda National Population and Housing Census (10% sample), a comprehensive dataset containing approximately 3.5 million household records with 216 demographic, socioeconomic, and asset-related variables. Key features considered in this research include demographic attributes such as age and education (literacy, grade level, and school attendance), asset ownership (including mobile phones, computers, televisions, and radios), household characteristics (such as energy sources, water access, and sanitation facilities), and geographic indicators (region and urban versus rural classification). In addition, the Human Development Report Office (HDRO) </w:t>
      </w:r>
      <w:r w:rsidRPr="008C3079">
        <w:rPr>
          <w:b w:val="0"/>
          <w:bCs w:val="0"/>
          <w:color w:val="auto"/>
          <w:sz w:val="22"/>
          <w:szCs w:val="22"/>
        </w:rPr>
        <w:t>Indicator’s</w:t>
      </w:r>
      <w:r w:rsidRPr="008C3079">
        <w:rPr>
          <w:b w:val="0"/>
          <w:bCs w:val="0"/>
          <w:color w:val="auto"/>
          <w:sz w:val="22"/>
          <w:szCs w:val="22"/>
        </w:rPr>
        <w:t xml:space="preserve"> dataset is incorporated to provide national-level development context, including metrics such as life expectancy, years of schooling, gross national income per capita, and gender disparities. These indicators support the validation and deeper interpretation of the findings.</w:t>
      </w:r>
    </w:p>
    <w:p w14:paraId="1F7F72AA" w14:textId="77777777" w:rsidR="00AF72C4" w:rsidRPr="0075752C" w:rsidRDefault="00AF72C4" w:rsidP="00AF72C4">
      <w:pPr>
        <w:pStyle w:val="H1ListSpace"/>
        <w:numPr>
          <w:ilvl w:val="0"/>
          <w:numId w:val="0"/>
        </w:numPr>
        <w:spacing w:before="0"/>
        <w:ind w:left="280"/>
        <w:rPr>
          <w:sz w:val="20"/>
        </w:rPr>
      </w:pPr>
    </w:p>
    <w:p w14:paraId="57E762B8" w14:textId="7B4E406D" w:rsidR="00E47AFA" w:rsidRPr="0072284B" w:rsidRDefault="00643136" w:rsidP="00E47AFA">
      <w:pPr>
        <w:pStyle w:val="NormalWeb"/>
        <w:rPr>
          <w:b/>
          <w:bCs/>
          <w:color w:val="1F497D" w:themeColor="text2"/>
          <w:sz w:val="20"/>
        </w:rPr>
      </w:pPr>
      <w:r w:rsidRPr="0075752C">
        <w:rPr>
          <w:sz w:val="20"/>
        </w:rPr>
        <w:br w:type="column"/>
      </w:r>
      <w:r w:rsidR="00E47AFA" w:rsidRPr="0072284B">
        <w:rPr>
          <w:b/>
          <w:bCs/>
          <w:color w:val="0070C0"/>
          <w:sz w:val="20"/>
        </w:rPr>
        <w:t xml:space="preserve">II. </w:t>
      </w:r>
      <w:r w:rsidR="00446CD9" w:rsidRPr="0072284B">
        <w:rPr>
          <w:b/>
          <w:bCs/>
          <w:color w:val="0070C0"/>
          <w:sz w:val="20"/>
        </w:rPr>
        <w:t xml:space="preserve"> BACKGROUND AND LITERATURE REVIEW </w:t>
      </w:r>
    </w:p>
    <w:p w14:paraId="18F7CC6A" w14:textId="41E70CEB" w:rsidR="00E47AFA" w:rsidRDefault="00E47AFA" w:rsidP="00E47AFA">
      <w:pPr>
        <w:pStyle w:val="NormalWeb"/>
      </w:pPr>
      <w:r>
        <w:t>Traditional approaches to socioeconomic profiling and digital inclusion modeling have historically relied on rigid, univariate thresholds, such as binary urban–rural classifications, or standard supervised binary classification applied to survey data. While these methods offer simplicity and interpretability, they fail to capture the complex and multidimensional nature of digital inequality. Furthermore, when applied to large-scale census datasets, they introduce significant methodological biases that limit the reliability of their conclusions.</w:t>
      </w:r>
    </w:p>
    <w:p w14:paraId="7569C949" w14:textId="32FF6A20" w:rsidR="00E47AFA" w:rsidRDefault="00E47AFA" w:rsidP="00E47AFA">
      <w:pPr>
        <w:pStyle w:val="NormalWeb"/>
      </w:pPr>
      <w:r>
        <w:t xml:space="preserve">A central challenge in this domain is what can be described as </w:t>
      </w:r>
      <w:r>
        <w:rPr>
          <w:rStyle w:val="Strong"/>
        </w:rPr>
        <w:t>asymmetric label verification</w:t>
      </w:r>
      <w:r>
        <w:t>. In large-scale household surveys, households that report ownership of digital assets</w:t>
      </w:r>
      <w:r>
        <w:t xml:space="preserve"> </w:t>
      </w:r>
      <w:r>
        <w:t>such as computers, smartphones, or broadband subscriptions</w:t>
      </w:r>
      <w:r>
        <w:t xml:space="preserve"> </w:t>
      </w:r>
      <w:r>
        <w:t>can be confidently classified as positive instances, representing the "digitally connected" population. In contrast, the remaining data consists of unlabeled instances, forming a heterogeneous mixture of truly excluded households and those whose connectivity status is unobserved due to survey limitations, recall bias, or non-response.</w:t>
      </w:r>
    </w:p>
    <w:p w14:paraId="765BD9FF" w14:textId="77777777" w:rsidR="00E47AFA" w:rsidRDefault="00E47AFA" w:rsidP="00E47AFA">
      <w:pPr>
        <w:pStyle w:val="NormalWeb"/>
      </w:pPr>
      <w:r>
        <w:t>A common but flawed assumption in conventional machine learning is to treat all unlabeled instances as negative cases. This simplification forces the model to learn a biased decision boundary, which leads to a systematic underestimation of the positive class. As a result, model performance—particularly recall—is significantly reduced, and the true extent of digital inclusion remains obscured. This bias can ultimately misinform policy decisions by directing resources toward already identified populations while neglecting hidden but connected households.</w:t>
      </w:r>
    </w:p>
    <w:p w14:paraId="3CC6FBCE" w14:textId="25D6938E" w:rsidR="00E47AFA" w:rsidRDefault="00E47AFA" w:rsidP="00E47AFA">
      <w:pPr>
        <w:pStyle w:val="NormalWeb"/>
      </w:pPr>
      <w:r>
        <w:t xml:space="preserve">Recent developments in tabular machine learning offer a more robust solution through </w:t>
      </w:r>
      <w:r>
        <w:rPr>
          <w:rStyle w:val="Strong"/>
        </w:rPr>
        <w:t>Positive–Unlabeled (PU) learning</w:t>
      </w:r>
      <w:r>
        <w:t xml:space="preserve">. This approach addresses the asymmetry by estimating the class prior, or the true proportion of positive instances, </w:t>
      </w:r>
      <w:r>
        <w:lastRenderedPageBreak/>
        <w:t>directly from the unlabeled data. By doing so, PU learning enables advanced models, including tree-based ensemble methods such as Gradient Boosting Machines, Random Forests, and Extreme Gradient Boosting (</w:t>
      </w:r>
      <w:r>
        <w:t>Xgboost</w:t>
      </w:r>
      <w:r>
        <w:t>), to distinguish between true negatives (digitally excluded households) and latent positives (unverified connected households) without requiring fully labeled datasets. Consequently, this leads to improved model accuracy, enhanced recall, and more equitable predictive outcomes.</w:t>
      </w:r>
    </w:p>
    <w:p w14:paraId="38B6E487" w14:textId="29B457B1" w:rsidR="00E47AFA" w:rsidRDefault="00E47AFA" w:rsidP="00E47AFA">
      <w:pPr>
        <w:pStyle w:val="NormalWeb"/>
      </w:pPr>
      <w:r>
        <w:t>In the context of Uganda’s digital divide</w:t>
      </w:r>
      <w:r>
        <w:t xml:space="preserve"> </w:t>
      </w:r>
      <w:r>
        <w:t>where less than 10% of households report internet access and where data limitations may conceal additional connectivity</w:t>
      </w:r>
      <w:r>
        <w:t xml:space="preserve"> </w:t>
      </w:r>
      <w:r>
        <w:t>PU learning provides a principled and effective framework for analysis. This study operationalizes this approach by integrating PU learning with semi-supervised techniques, unsupervised clustering, and supervised ensemble methods. The result is a comprehensive and methodologically sound machine learning framework for analyzing internet access patterns in Uganda.</w:t>
      </w:r>
    </w:p>
    <w:p w14:paraId="72D3EC9F" w14:textId="77777777" w:rsidR="00E91452" w:rsidRPr="00E47AFA" w:rsidRDefault="00E91452" w:rsidP="00E47AFA">
      <w:pPr>
        <w:pStyle w:val="H1ListSpace"/>
        <w:numPr>
          <w:ilvl w:val="0"/>
          <w:numId w:val="0"/>
        </w:numPr>
        <w:ind w:left="280"/>
        <w:rPr>
          <w:sz w:val="20"/>
        </w:rPr>
        <w:sectPr w:rsidR="00E91452" w:rsidRPr="00E47AFA" w:rsidSect="00CB2DB1">
          <w:type w:val="continuous"/>
          <w:pgSz w:w="11520" w:h="15660" w:code="1"/>
          <w:pgMar w:top="1300" w:right="740" w:bottom="1040" w:left="740" w:header="360" w:footer="640" w:gutter="0"/>
          <w:cols w:num="2" w:space="400"/>
          <w:docGrid w:linePitch="360"/>
        </w:sectPr>
      </w:pPr>
    </w:p>
    <w:p w14:paraId="32F1A86C" w14:textId="66759DBD" w:rsidR="00FA6AAB" w:rsidRPr="00303CE7" w:rsidRDefault="00FA6AAB" w:rsidP="00FA6AAB">
      <w:pPr>
        <w:pStyle w:val="PARAIndent"/>
        <w:rPr>
          <w:rFonts w:ascii="Helvetica" w:hAnsi="Helvetica" w:cs="Helvetica"/>
        </w:rPr>
      </w:pPr>
      <w:r w:rsidRPr="00FA6AAB">
        <w:rPr>
          <w:rFonts w:ascii="Helvetica" w:hAnsi="Helvetica" w:cs="Helvetica"/>
          <w:b/>
          <w:bCs/>
          <w:color w:val="0070C0"/>
        </w:rPr>
        <w:t>III. COMPUTATIONAL PROBLEM STATEMENT</w:t>
      </w:r>
      <w:r w:rsidRPr="00FA6AAB">
        <w:rPr>
          <w:color w:val="0070C0"/>
        </w:rPr>
        <w:t xml:space="preserve"> </w:t>
      </w:r>
      <w:r w:rsidRPr="00303CE7">
        <w:rPr>
          <w:rFonts w:ascii="Helvetica" w:hAnsi="Helvetica" w:cs="Helvetica"/>
        </w:rPr>
        <w:t>While Semi-Supervised and Positive-Unlabeled (PU)</w:t>
      </w:r>
    </w:p>
    <w:p w14:paraId="7BD70B4D" w14:textId="169A4C18" w:rsidR="00FA6AAB" w:rsidRPr="00303CE7" w:rsidRDefault="00FA6AAB" w:rsidP="00FA6AAB">
      <w:pPr>
        <w:pStyle w:val="PARAIndent"/>
        <w:rPr>
          <w:rFonts w:ascii="Helvetica" w:hAnsi="Helvetica" w:cs="Helvetica"/>
        </w:rPr>
      </w:pPr>
      <w:r w:rsidRPr="00303CE7">
        <w:rPr>
          <w:rFonts w:ascii="Helvetica" w:hAnsi="Helvetica" w:cs="Helvetica"/>
        </w:rPr>
        <w:t xml:space="preserve">learning </w:t>
      </w:r>
      <w:r w:rsidR="0040442D" w:rsidRPr="00303CE7">
        <w:rPr>
          <w:rFonts w:ascii="Helvetica" w:hAnsi="Helvetica" w:cs="Helvetica"/>
        </w:rPr>
        <w:t>mitigates</w:t>
      </w:r>
      <w:r w:rsidRPr="00303CE7">
        <w:rPr>
          <w:rFonts w:ascii="Helvetica" w:hAnsi="Helvetica" w:cs="Helvetica"/>
        </w:rPr>
        <w:t xml:space="preserve"> the scarcity of socioeconomic annotations, the underlying machine</w:t>
      </w:r>
    </w:p>
    <w:p w14:paraId="03D98189" w14:textId="77777777" w:rsidR="00FA6AAB" w:rsidRPr="00303CE7" w:rsidRDefault="00FA6AAB" w:rsidP="00FA6AAB">
      <w:pPr>
        <w:pStyle w:val="PARAIndent"/>
        <w:rPr>
          <w:rFonts w:ascii="Helvetica" w:hAnsi="Helvetica" w:cs="Helvetica"/>
        </w:rPr>
      </w:pPr>
      <w:r w:rsidRPr="00303CE7">
        <w:rPr>
          <w:rFonts w:ascii="Helvetica" w:hAnsi="Helvetica" w:cs="Helvetica"/>
        </w:rPr>
        <w:t>learning bottleneck lies in the mathematical risk of SCAR violation and geometric</w:t>
      </w:r>
    </w:p>
    <w:p w14:paraId="4A4B2249" w14:textId="77777777" w:rsidR="00FA6AAB" w:rsidRPr="00303CE7" w:rsidRDefault="00FA6AAB" w:rsidP="00FA6AAB">
      <w:pPr>
        <w:pStyle w:val="PARAIndent"/>
        <w:rPr>
          <w:rFonts w:ascii="Helvetica" w:hAnsi="Helvetica" w:cs="Helvetica"/>
        </w:rPr>
      </w:pPr>
      <w:r w:rsidRPr="00303CE7">
        <w:rPr>
          <w:rFonts w:ascii="Helvetica" w:hAnsi="Helvetica" w:cs="Helvetica"/>
        </w:rPr>
        <w:t>distortion. What: The input geometry is a heterogeneous tabular dataset containing</w:t>
      </w:r>
    </w:p>
    <w:p w14:paraId="3F6F293B" w14:textId="77777777" w:rsidR="00FA6AAB" w:rsidRPr="00303CE7" w:rsidRDefault="00FA6AAB" w:rsidP="00FA6AAB">
      <w:pPr>
        <w:pStyle w:val="PARAIndent"/>
        <w:rPr>
          <w:rFonts w:ascii="Helvetica" w:hAnsi="Helvetica" w:cs="Helvetica"/>
        </w:rPr>
      </w:pPr>
      <w:r w:rsidRPr="00303CE7">
        <w:rPr>
          <w:rFonts w:ascii="Helvetica" w:hAnsi="Helvetica" w:cs="Helvetica"/>
        </w:rPr>
        <w:t>categorical proxy variables (e.g., energy source, water access) subject to PU</w:t>
      </w:r>
    </w:p>
    <w:p w14:paraId="268D86B0" w14:textId="77777777" w:rsidR="00FA6AAB" w:rsidRPr="00303CE7" w:rsidRDefault="00FA6AAB" w:rsidP="00FA6AAB">
      <w:pPr>
        <w:pStyle w:val="PARAIndent"/>
        <w:rPr>
          <w:rFonts w:ascii="Helvetica" w:hAnsi="Helvetica" w:cs="Helvetica"/>
        </w:rPr>
      </w:pPr>
      <w:r w:rsidRPr="00303CE7">
        <w:rPr>
          <w:rFonts w:ascii="Helvetica" w:hAnsi="Helvetica" w:cs="Helvetica"/>
        </w:rPr>
        <w:t>classification and unsupervised clustering. Symptoms: When standard PU learning wrappers</w:t>
      </w:r>
    </w:p>
    <w:p w14:paraId="1E74E801" w14:textId="77777777" w:rsidR="00FA6AAB" w:rsidRPr="00303CE7" w:rsidRDefault="00FA6AAB" w:rsidP="00FA6AAB">
      <w:pPr>
        <w:pStyle w:val="PARAIndent"/>
        <w:rPr>
          <w:rFonts w:ascii="Helvetica" w:hAnsi="Helvetica" w:cs="Helvetica"/>
        </w:rPr>
      </w:pPr>
      <w:r w:rsidRPr="00303CE7">
        <w:rPr>
          <w:rFonts w:ascii="Helvetica" w:hAnsi="Helvetica" w:cs="Helvetica"/>
        </w:rPr>
        <w:t>are applied naively, they suffer from severe confirmation bias, while standard clustering</w:t>
      </w:r>
    </w:p>
    <w:p w14:paraId="05F52E95" w14:textId="77777777" w:rsidR="00FA6AAB" w:rsidRPr="00303CE7" w:rsidRDefault="00FA6AAB" w:rsidP="00FA6AAB">
      <w:pPr>
        <w:pStyle w:val="PARAIndent"/>
        <w:rPr>
          <w:rFonts w:ascii="Helvetica" w:hAnsi="Helvetica" w:cs="Helvetica"/>
        </w:rPr>
      </w:pPr>
      <w:r w:rsidRPr="00303CE7">
        <w:rPr>
          <w:rFonts w:ascii="Helvetica" w:hAnsi="Helvetica" w:cs="Helvetica"/>
        </w:rPr>
        <w:t>algorithms (e.g., K-Means) generate socioeconomically meaningless partitions. When &amp;amp; Why:</w:t>
      </w:r>
    </w:p>
    <w:p w14:paraId="2A08B0CB" w14:textId="77777777" w:rsidR="00FA6AAB" w:rsidRPr="00303CE7" w:rsidRDefault="00FA6AAB" w:rsidP="00FA6AAB">
      <w:pPr>
        <w:pStyle w:val="PARAIndent"/>
        <w:rPr>
          <w:rFonts w:ascii="Helvetica" w:hAnsi="Helvetica" w:cs="Helvetica"/>
        </w:rPr>
      </w:pPr>
      <w:r w:rsidRPr="00303CE7">
        <w:rPr>
          <w:rFonts w:ascii="Helvetica" w:hAnsi="Helvetica" w:cs="Helvetica"/>
        </w:rPr>
        <w:t>These optimization failures stem from two distinct mathematical flaws. First, standard PU</w:t>
      </w:r>
    </w:p>
    <w:p w14:paraId="2A732B19" w14:textId="77777777" w:rsidR="00FA6AAB" w:rsidRPr="00303CE7" w:rsidRDefault="00FA6AAB" w:rsidP="00FA6AAB">
      <w:pPr>
        <w:pStyle w:val="PARAIndent"/>
        <w:rPr>
          <w:rFonts w:ascii="Helvetica" w:hAnsi="Helvetica" w:cs="Helvetica"/>
        </w:rPr>
      </w:pPr>
      <w:r w:rsidRPr="00303CE7">
        <w:rPr>
          <w:rFonts w:ascii="Helvetica" w:hAnsi="Helvetica" w:cs="Helvetica"/>
        </w:rPr>
        <w:t>learning relies on the Selected-Completely-at-Random (SCAR) assumption—assuming the</w:t>
      </w:r>
    </w:p>
    <w:p w14:paraId="1F491F46" w14:textId="6094024D" w:rsidR="00FA6AAB" w:rsidRPr="00303CE7" w:rsidRDefault="00FA6AAB" w:rsidP="00FA6AAB">
      <w:pPr>
        <w:pStyle w:val="PARAIndent"/>
        <w:rPr>
          <w:rFonts w:ascii="Helvetica" w:hAnsi="Helvetica" w:cs="Helvetica"/>
        </w:rPr>
      </w:pPr>
      <w:r w:rsidRPr="00303CE7">
        <w:rPr>
          <w:rFonts w:ascii="Helvetica" w:hAnsi="Helvetica" w:cs="Helvetica"/>
        </w:rPr>
        <w:t xml:space="preserve">verified </w:t>
      </w:r>
      <w:r w:rsidR="0040442D" w:rsidRPr="00303CE7">
        <w:rPr>
          <w:rFonts w:ascii="Helvetica" w:hAnsi="Helvetica" w:cs="Helvetica"/>
        </w:rPr>
        <w:t>‘</w:t>
      </w:r>
      <w:r w:rsidRPr="00303CE7">
        <w:rPr>
          <w:rFonts w:ascii="Helvetica" w:hAnsi="Helvetica" w:cs="Helvetica"/>
        </w:rPr>
        <w:t>Positives</w:t>
      </w:r>
      <w:r w:rsidR="0040442D" w:rsidRPr="00303CE7">
        <w:rPr>
          <w:rFonts w:ascii="Helvetica" w:hAnsi="Helvetica" w:cs="Helvetica"/>
        </w:rPr>
        <w:t>’</w:t>
      </w:r>
      <w:r w:rsidRPr="00303CE7">
        <w:rPr>
          <w:rFonts w:ascii="Helvetica" w:hAnsi="Helvetica" w:cs="Helvetica"/>
        </w:rPr>
        <w:t xml:space="preserve"> are an unbiased random sample of all true positives. In socioeconomic</w:t>
      </w:r>
    </w:p>
    <w:p w14:paraId="534174F4" w14:textId="77777777" w:rsidR="00FA6AAB" w:rsidRPr="00303CE7" w:rsidRDefault="00FA6AAB" w:rsidP="00FA6AAB">
      <w:pPr>
        <w:pStyle w:val="PARAIndent"/>
        <w:rPr>
          <w:rFonts w:ascii="Helvetica" w:hAnsi="Helvetica" w:cs="Helvetica"/>
        </w:rPr>
      </w:pPr>
      <w:r w:rsidRPr="00303CE7">
        <w:rPr>
          <w:rFonts w:ascii="Helvetica" w:hAnsi="Helvetica" w:cs="Helvetica"/>
        </w:rPr>
        <w:t>surveys, this is inherently false; urban/affluent households are systematically more likely</w:t>
      </w:r>
    </w:p>
    <w:p w14:paraId="11309B25" w14:textId="77777777" w:rsidR="00FA6AAB" w:rsidRPr="00303CE7" w:rsidRDefault="00FA6AAB" w:rsidP="00FA6AAB">
      <w:pPr>
        <w:pStyle w:val="PARAIndent"/>
        <w:rPr>
          <w:rFonts w:ascii="Helvetica" w:hAnsi="Helvetica" w:cs="Helvetica"/>
        </w:rPr>
      </w:pPr>
      <w:r w:rsidRPr="00303CE7">
        <w:rPr>
          <w:rFonts w:ascii="Helvetica" w:hAnsi="Helvetica" w:cs="Helvetica"/>
        </w:rPr>
        <w:t>to be verified, violating SCAR and shifting the PU decision boundary. Second, applying</w:t>
      </w:r>
    </w:p>
    <w:p w14:paraId="10BCA081" w14:textId="77777777" w:rsidR="00FA6AAB" w:rsidRPr="00303CE7" w:rsidRDefault="00FA6AAB" w:rsidP="00FA6AAB">
      <w:pPr>
        <w:pStyle w:val="PARAIndent"/>
        <w:rPr>
          <w:rFonts w:ascii="Helvetica" w:hAnsi="Helvetica" w:cs="Helvetica"/>
        </w:rPr>
      </w:pPr>
      <w:r w:rsidRPr="00303CE7">
        <w:rPr>
          <w:rFonts w:ascii="Helvetica" w:hAnsi="Helvetica" w:cs="Helvetica"/>
        </w:rPr>
        <w:t>Euclidean distance to ordinal/categorical household variables mathematically assumes</w:t>
      </w:r>
    </w:p>
    <w:p w14:paraId="2F6621F9" w14:textId="77777777" w:rsidR="00FA6AAB" w:rsidRPr="00303CE7" w:rsidRDefault="00FA6AAB" w:rsidP="00FA6AAB">
      <w:pPr>
        <w:pStyle w:val="PARAIndent"/>
        <w:rPr>
          <w:rFonts w:ascii="Helvetica" w:hAnsi="Helvetica" w:cs="Helvetica"/>
        </w:rPr>
      </w:pPr>
      <w:r w:rsidRPr="00303CE7">
        <w:rPr>
          <w:rFonts w:ascii="Helvetica" w:hAnsi="Helvetica" w:cs="Helvetica"/>
        </w:rPr>
        <w:t>continuous isotropic variance, destroying the true topological boundaries between the</w:t>
      </w:r>
    </w:p>
    <w:p w14:paraId="7C320E44" w14:textId="6DB16BAC" w:rsidR="00FA6AAB" w:rsidRPr="00303CE7" w:rsidRDefault="0040442D" w:rsidP="00FA6AAB">
      <w:pPr>
        <w:pStyle w:val="PARAIndent"/>
        <w:rPr>
          <w:rFonts w:ascii="Helvetica" w:hAnsi="Helvetica" w:cs="Helvetica"/>
        </w:rPr>
      </w:pPr>
      <w:r w:rsidRPr="00303CE7">
        <w:rPr>
          <w:rFonts w:ascii="Helvetica" w:hAnsi="Helvetica" w:cs="Helvetica"/>
        </w:rPr>
        <w:t>‘</w:t>
      </w:r>
      <w:r w:rsidR="00FA6AAB" w:rsidRPr="00303CE7">
        <w:rPr>
          <w:rFonts w:ascii="Helvetica" w:hAnsi="Helvetica" w:cs="Helvetica"/>
        </w:rPr>
        <w:t>Digitally Excluded</w:t>
      </w:r>
      <w:r w:rsidRPr="00303CE7">
        <w:rPr>
          <w:rFonts w:ascii="Helvetica" w:hAnsi="Helvetica" w:cs="Helvetica"/>
        </w:rPr>
        <w:t>’</w:t>
      </w:r>
      <w:r w:rsidR="00FA6AAB" w:rsidRPr="00303CE7">
        <w:rPr>
          <w:rFonts w:ascii="Helvetica" w:hAnsi="Helvetica" w:cs="Helvetica"/>
        </w:rPr>
        <w:t xml:space="preserve"> and </w:t>
      </w:r>
      <w:r w:rsidRPr="00303CE7">
        <w:rPr>
          <w:rFonts w:ascii="Helvetica" w:hAnsi="Helvetica" w:cs="Helvetica"/>
        </w:rPr>
        <w:t>‘</w:t>
      </w:r>
      <w:r w:rsidR="00FA6AAB" w:rsidRPr="00303CE7">
        <w:rPr>
          <w:rFonts w:ascii="Helvetica" w:hAnsi="Helvetica" w:cs="Helvetica"/>
        </w:rPr>
        <w:t>Emerging Digital</w:t>
      </w:r>
      <w:r w:rsidRPr="00303CE7">
        <w:rPr>
          <w:rFonts w:ascii="Helvetica" w:hAnsi="Helvetica" w:cs="Helvetica"/>
        </w:rPr>
        <w:t xml:space="preserve">’ </w:t>
      </w:r>
      <w:r w:rsidR="00FA6AAB" w:rsidRPr="00303CE7">
        <w:rPr>
          <w:rFonts w:ascii="Helvetica" w:hAnsi="Helvetica" w:cs="Helvetica"/>
        </w:rPr>
        <w:t>classes. Consequently, the architecture must</w:t>
      </w:r>
    </w:p>
    <w:p w14:paraId="275A4B7A" w14:textId="77777777" w:rsidR="00FA6AAB" w:rsidRPr="00303CE7" w:rsidRDefault="00FA6AAB" w:rsidP="00FA6AAB">
      <w:pPr>
        <w:pStyle w:val="PARAIndent"/>
        <w:rPr>
          <w:rFonts w:ascii="Helvetica" w:hAnsi="Helvetica" w:cs="Helvetica"/>
        </w:rPr>
      </w:pPr>
      <w:r w:rsidRPr="00303CE7">
        <w:rPr>
          <w:rFonts w:ascii="Helvetica" w:hAnsi="Helvetica" w:cs="Helvetica"/>
        </w:rPr>
        <w:t>deploy Propensity-Scored PU learning to correct for non-random verification bias, and</w:t>
      </w:r>
    </w:p>
    <w:p w14:paraId="4E0E5C10" w14:textId="77777777" w:rsidR="00FA6AAB" w:rsidRPr="00303CE7" w:rsidRDefault="00FA6AAB" w:rsidP="00FA6AAB">
      <w:pPr>
        <w:pStyle w:val="PARAIndent"/>
        <w:rPr>
          <w:rFonts w:ascii="Helvetica" w:hAnsi="Helvetica" w:cs="Helvetica"/>
        </w:rPr>
      </w:pPr>
      <w:r w:rsidRPr="00303CE7">
        <w:rPr>
          <w:rFonts w:ascii="Helvetica" w:hAnsi="Helvetica" w:cs="Helvetica"/>
        </w:rPr>
        <w:t>utilize mixed-data manifolds (e.g., Gower distance or K-Prototypes) to preserve the</w:t>
      </w:r>
    </w:p>
    <w:p w14:paraId="53190516" w14:textId="2766D0ED" w:rsidR="00486E60" w:rsidRPr="00303CE7" w:rsidRDefault="00FA6AAB" w:rsidP="00FA6AAB">
      <w:pPr>
        <w:pStyle w:val="PARAIndent"/>
        <w:rPr>
          <w:rFonts w:ascii="Helvetica" w:hAnsi="Helvetica" w:cs="Helvetica"/>
        </w:rPr>
      </w:pPr>
      <w:r w:rsidRPr="00303CE7">
        <w:rPr>
          <w:rFonts w:ascii="Helvetica" w:hAnsi="Helvetica" w:cs="Helvetica"/>
        </w:rPr>
        <w:t>integrity of the latent clustering space.</w:t>
      </w:r>
    </w:p>
    <w:p w14:paraId="51CEAD46" w14:textId="77777777" w:rsidR="00E47AFA" w:rsidRDefault="00D01AAF" w:rsidP="008F62FB">
      <w:pPr>
        <w:pStyle w:val="H2First"/>
        <w:numPr>
          <w:ilvl w:val="0"/>
          <w:numId w:val="0"/>
        </w:numPr>
        <w:rPr>
          <w:color w:val="0070C0"/>
          <w:sz w:val="20"/>
          <w:szCs w:val="20"/>
        </w:rPr>
      </w:pPr>
      <w:r w:rsidRPr="00A30F43">
        <w:rPr>
          <w:color w:val="0070C0"/>
          <w:sz w:val="20"/>
          <w:szCs w:val="20"/>
        </w:rPr>
        <w:t>V. DATASET DESCRIPTION AND SPATIAL DATA DISCIPLINE</w:t>
      </w:r>
    </w:p>
    <w:p w14:paraId="70BE0B64" w14:textId="4CF65EB0" w:rsidR="008F62FB" w:rsidRPr="008C3079" w:rsidRDefault="00D01AAF" w:rsidP="008F62FB">
      <w:pPr>
        <w:pStyle w:val="H2First"/>
        <w:numPr>
          <w:ilvl w:val="0"/>
          <w:numId w:val="0"/>
        </w:numPr>
        <w:rPr>
          <w:b w:val="0"/>
          <w:bCs/>
          <w:i w:val="0"/>
          <w:iCs/>
          <w:sz w:val="20"/>
          <w:szCs w:val="20"/>
        </w:rPr>
      </w:pPr>
      <w:r w:rsidRPr="00A30F43">
        <w:rPr>
          <w:b w:val="0"/>
          <w:bCs/>
          <w:color w:val="0070C0"/>
        </w:rPr>
        <w:t xml:space="preserve"> </w:t>
      </w:r>
      <w:r w:rsidRPr="008C3079">
        <w:rPr>
          <w:rFonts w:cs="Helvetica"/>
          <w:b w:val="0"/>
          <w:bCs/>
          <w:i w:val="0"/>
          <w:iCs/>
          <w:sz w:val="20"/>
          <w:szCs w:val="20"/>
        </w:rPr>
        <w:t xml:space="preserve">The primary corpus comprises approximately 3.5 million heterogeneous household records from the 2014 National Population and Housing Census, enriched with Human Development Report indicators. The feature geometry is predominantly categorical (e.g., energy source, sanitation facilities, regional geolocation). Because household infrastructure is heavily auto-correlated within local geographic clusters, applying a standard randomized Independent and Identically Distributed (IID) train-test split introduces severe </w:t>
      </w:r>
      <w:r w:rsidR="00E47AFA" w:rsidRPr="008C3079">
        <w:rPr>
          <w:rFonts w:cs="Helvetica"/>
          <w:b w:val="0"/>
          <w:bCs/>
          <w:i w:val="0"/>
          <w:iCs/>
          <w:sz w:val="20"/>
          <w:szCs w:val="20"/>
        </w:rPr>
        <w:t>transudative</w:t>
      </w:r>
      <w:r w:rsidRPr="008C3079">
        <w:rPr>
          <w:rFonts w:cs="Helvetica"/>
          <w:b w:val="0"/>
          <w:bCs/>
          <w:i w:val="0"/>
          <w:iCs/>
          <w:sz w:val="20"/>
          <w:szCs w:val="20"/>
        </w:rPr>
        <w:t xml:space="preserve"> spatial leakage. A model evaluated under an IID regime will artificially inflate its performance by memorizing specific neighborhood proxies leaked across the training and testing boundaries. To</w:t>
      </w:r>
      <w:r w:rsidRPr="008C3079">
        <w:rPr>
          <w:b w:val="0"/>
          <w:bCs/>
          <w:i w:val="0"/>
          <w:iCs/>
          <w:sz w:val="20"/>
          <w:szCs w:val="20"/>
        </w:rPr>
        <w:t xml:space="preserve"> mathematically guarantee true out-of-distribution (OOD) generalization, we strictly enforce a Region-Held- Out split protocol. The data is partitioned such that all households originating from</w:t>
      </w:r>
      <w:r w:rsidR="00303CE7" w:rsidRPr="008C3079">
        <w:rPr>
          <w:b w:val="0"/>
          <w:bCs/>
          <w:i w:val="0"/>
          <w:iCs/>
          <w:sz w:val="20"/>
          <w:szCs w:val="20"/>
        </w:rPr>
        <w:t xml:space="preserve"> </w:t>
      </w:r>
      <w:r w:rsidRPr="008C3079">
        <w:rPr>
          <w:b w:val="0"/>
          <w:bCs/>
          <w:i w:val="0"/>
          <w:iCs/>
          <w:sz w:val="20"/>
          <w:szCs w:val="20"/>
        </w:rPr>
        <w:t>specific, randomly selected administrative districts are strictly isolated into the test</w:t>
      </w:r>
      <w:r w:rsidR="00303CE7" w:rsidRPr="008C3079">
        <w:rPr>
          <w:b w:val="0"/>
          <w:bCs/>
          <w:i w:val="0"/>
          <w:iCs/>
          <w:sz w:val="20"/>
          <w:szCs w:val="20"/>
        </w:rPr>
        <w:t xml:space="preserve"> </w:t>
      </w:r>
      <w:r w:rsidRPr="008C3079">
        <w:rPr>
          <w:b w:val="0"/>
          <w:bCs/>
          <w:i w:val="0"/>
          <w:iCs/>
          <w:sz w:val="20"/>
          <w:szCs w:val="20"/>
        </w:rPr>
        <w:t>set. This spatial data discipline ensures the framework is evaluated on its ability to</w:t>
      </w:r>
      <w:r w:rsidR="00303CE7" w:rsidRPr="008C3079">
        <w:rPr>
          <w:b w:val="0"/>
          <w:bCs/>
          <w:i w:val="0"/>
          <w:iCs/>
          <w:sz w:val="20"/>
          <w:szCs w:val="20"/>
        </w:rPr>
        <w:t xml:space="preserve"> </w:t>
      </w:r>
      <w:r w:rsidRPr="008C3079">
        <w:rPr>
          <w:b w:val="0"/>
          <w:bCs/>
          <w:i w:val="0"/>
          <w:iCs/>
          <w:sz w:val="20"/>
          <w:szCs w:val="20"/>
        </w:rPr>
        <w:t>infer digital inclusion in novel, un-surveyed geographies rather than interpolating known</w:t>
      </w:r>
      <w:r w:rsidR="00303CE7" w:rsidRPr="008C3079">
        <w:rPr>
          <w:b w:val="0"/>
          <w:bCs/>
          <w:i w:val="0"/>
          <w:iCs/>
          <w:sz w:val="20"/>
          <w:szCs w:val="20"/>
        </w:rPr>
        <w:t xml:space="preserve"> </w:t>
      </w:r>
      <w:r w:rsidRPr="008C3079">
        <w:rPr>
          <w:b w:val="0"/>
          <w:bCs/>
          <w:i w:val="0"/>
          <w:iCs/>
          <w:sz w:val="20"/>
          <w:szCs w:val="20"/>
        </w:rPr>
        <w:t>local densities.</w:t>
      </w:r>
    </w:p>
    <w:p w14:paraId="349B64A8" w14:textId="77777777" w:rsidR="00E47AFA" w:rsidRDefault="00303CE7" w:rsidP="008F62FB">
      <w:pPr>
        <w:pStyle w:val="H2First"/>
        <w:numPr>
          <w:ilvl w:val="0"/>
          <w:numId w:val="0"/>
        </w:numPr>
        <w:rPr>
          <w:color w:val="0070C0"/>
        </w:rPr>
      </w:pPr>
      <w:r w:rsidRPr="008F62FB">
        <w:rPr>
          <w:color w:val="0070C0"/>
          <w:sz w:val="20"/>
          <w:szCs w:val="20"/>
        </w:rPr>
        <w:t>VI. METHODOLOGY AND POSITIVE-UNLABELED ARCHITECTURE</w:t>
      </w:r>
      <w:r w:rsidRPr="008F62FB">
        <w:rPr>
          <w:color w:val="0070C0"/>
        </w:rPr>
        <w:t xml:space="preserve"> </w:t>
      </w:r>
    </w:p>
    <w:p w14:paraId="29401370" w14:textId="66C527F9" w:rsidR="00303CE7" w:rsidRPr="00E47AFA" w:rsidRDefault="00303CE7" w:rsidP="008F62FB">
      <w:pPr>
        <w:pStyle w:val="H2First"/>
        <w:numPr>
          <w:ilvl w:val="0"/>
          <w:numId w:val="0"/>
        </w:numPr>
        <w:rPr>
          <w:b w:val="0"/>
          <w:bCs/>
          <w:i w:val="0"/>
          <w:iCs/>
        </w:rPr>
      </w:pPr>
      <w:r w:rsidRPr="00E47AFA">
        <w:rPr>
          <w:b w:val="0"/>
          <w:bCs/>
          <w:i w:val="0"/>
          <w:iCs/>
          <w:color w:val="auto"/>
          <w:sz w:val="20"/>
          <w:szCs w:val="20"/>
        </w:rPr>
        <w:t>To overcome the non-random</w:t>
      </w:r>
      <w:r w:rsidR="00A30F43" w:rsidRPr="00E47AFA">
        <w:rPr>
          <w:b w:val="0"/>
          <w:bCs/>
          <w:i w:val="0"/>
          <w:iCs/>
          <w:color w:val="auto"/>
          <w:sz w:val="20"/>
          <w:szCs w:val="20"/>
        </w:rPr>
        <w:t xml:space="preserve"> </w:t>
      </w:r>
      <w:r w:rsidRPr="00E47AFA">
        <w:rPr>
          <w:b w:val="0"/>
          <w:bCs/>
          <w:i w:val="0"/>
          <w:iCs/>
          <w:color w:val="auto"/>
          <w:sz w:val="20"/>
          <w:szCs w:val="20"/>
        </w:rPr>
        <w:t>verification bias inherent in socioeconomic surveys, our architecture eschews naive PU</w:t>
      </w:r>
      <w:r w:rsidR="00A30F43" w:rsidRPr="00E47AFA">
        <w:rPr>
          <w:b w:val="0"/>
          <w:bCs/>
          <w:i w:val="0"/>
          <w:iCs/>
          <w:color w:val="auto"/>
          <w:sz w:val="20"/>
          <w:szCs w:val="20"/>
        </w:rPr>
        <w:t xml:space="preserve"> </w:t>
      </w:r>
      <w:r w:rsidRPr="00E47AFA">
        <w:rPr>
          <w:b w:val="0"/>
          <w:bCs/>
          <w:i w:val="0"/>
          <w:iCs/>
          <w:color w:val="auto"/>
          <w:sz w:val="20"/>
          <w:szCs w:val="20"/>
        </w:rPr>
        <w:t>wrappers in favor of a Propensity-Scored Positive-Unlabeled learning framework. Let</w:t>
      </w:r>
      <w:r w:rsidR="00A30F43" w:rsidRPr="00E47AFA">
        <w:rPr>
          <w:b w:val="0"/>
          <w:bCs/>
          <w:i w:val="0"/>
          <w:iCs/>
          <w:color w:val="auto"/>
          <w:sz w:val="20"/>
          <w:szCs w:val="20"/>
        </w:rPr>
        <w:t xml:space="preserve"> </w:t>
      </w:r>
      <w:r w:rsidRPr="00E47AFA">
        <w:rPr>
          <w:b w:val="0"/>
          <w:bCs/>
          <w:i w:val="0"/>
          <w:iCs/>
          <w:color w:val="auto"/>
          <w:sz w:val="20"/>
          <w:szCs w:val="20"/>
        </w:rPr>
        <w:t>represent the heterogeneous household features, the true latent state of digital inclusion,</w:t>
      </w:r>
      <w:r w:rsidR="00A30F43" w:rsidRPr="00E47AFA">
        <w:rPr>
          <w:b w:val="0"/>
          <w:bCs/>
          <w:i w:val="0"/>
          <w:iCs/>
          <w:color w:val="auto"/>
          <w:sz w:val="20"/>
          <w:szCs w:val="20"/>
        </w:rPr>
        <w:t xml:space="preserve"> </w:t>
      </w:r>
      <w:r w:rsidRPr="00E47AFA">
        <w:rPr>
          <w:b w:val="0"/>
          <w:bCs/>
          <w:i w:val="0"/>
          <w:iCs/>
          <w:color w:val="auto"/>
          <w:sz w:val="20"/>
          <w:szCs w:val="20"/>
        </w:rPr>
        <w:t>and the observed survey verification status. Because the Selected-Completely-at-Random</w:t>
      </w:r>
      <w:r w:rsidR="00A30F43" w:rsidRPr="00E47AFA">
        <w:rPr>
          <w:b w:val="0"/>
          <w:bCs/>
          <w:i w:val="0"/>
          <w:iCs/>
          <w:color w:val="auto"/>
          <w:sz w:val="20"/>
          <w:szCs w:val="20"/>
        </w:rPr>
        <w:t xml:space="preserve"> </w:t>
      </w:r>
      <w:r w:rsidRPr="00E47AFA">
        <w:rPr>
          <w:b w:val="0"/>
          <w:bCs/>
          <w:i w:val="0"/>
          <w:iCs/>
          <w:color w:val="auto"/>
          <w:sz w:val="20"/>
          <w:szCs w:val="20"/>
        </w:rPr>
        <w:t>(SCAR) assumption is violated (i.e.</w:t>
      </w:r>
      <w:r w:rsidR="00A30F43" w:rsidRPr="00E47AFA">
        <w:rPr>
          <w:b w:val="0"/>
          <w:bCs/>
          <w:i w:val="0"/>
          <w:iCs/>
          <w:color w:val="auto"/>
          <w:sz w:val="20"/>
        </w:rPr>
        <w:t>,)</w:t>
      </w:r>
      <w:r w:rsidRPr="00E47AFA">
        <w:rPr>
          <w:b w:val="0"/>
          <w:bCs/>
          <w:i w:val="0"/>
          <w:iCs/>
          <w:color w:val="auto"/>
          <w:sz w:val="20"/>
          <w:szCs w:val="20"/>
        </w:rPr>
        <w:t xml:space="preserve">, we first train a probabilistic propensity </w:t>
      </w:r>
      <w:r w:rsidRPr="00E47AFA">
        <w:rPr>
          <w:b w:val="0"/>
          <w:bCs/>
          <w:i w:val="0"/>
          <w:iCs/>
          <w:color w:val="auto"/>
          <w:sz w:val="20"/>
          <w:szCs w:val="20"/>
        </w:rPr>
        <w:lastRenderedPageBreak/>
        <w:t>model to</w:t>
      </w:r>
      <w:r w:rsidR="00A30F43" w:rsidRPr="00E47AFA">
        <w:rPr>
          <w:b w:val="0"/>
          <w:bCs/>
          <w:i w:val="0"/>
          <w:iCs/>
          <w:color w:val="auto"/>
          <w:sz w:val="20"/>
          <w:szCs w:val="20"/>
        </w:rPr>
        <w:t xml:space="preserve"> </w:t>
      </w:r>
      <w:r w:rsidRPr="00E47AFA">
        <w:rPr>
          <w:b w:val="0"/>
          <w:bCs/>
          <w:i w:val="0"/>
          <w:iCs/>
          <w:color w:val="auto"/>
          <w:sz w:val="20"/>
          <w:szCs w:val="20"/>
        </w:rPr>
        <w:t>estimate the likelihood of a household being surveyed given its demographic profile. These</w:t>
      </w:r>
      <w:r w:rsidR="00A30F43" w:rsidRPr="00E47AFA">
        <w:rPr>
          <w:b w:val="0"/>
          <w:bCs/>
          <w:i w:val="0"/>
          <w:iCs/>
          <w:color w:val="auto"/>
          <w:sz w:val="20"/>
          <w:szCs w:val="20"/>
        </w:rPr>
        <w:t xml:space="preserve"> </w:t>
      </w:r>
      <w:r w:rsidRPr="00E47AFA">
        <w:rPr>
          <w:b w:val="0"/>
          <w:bCs/>
          <w:i w:val="0"/>
          <w:iCs/>
          <w:color w:val="auto"/>
          <w:sz w:val="20"/>
          <w:szCs w:val="20"/>
        </w:rPr>
        <w:t>propensity scores are subsequently used to re-weight the empirical risk minimization</w:t>
      </w:r>
      <w:r w:rsidR="00A30F43" w:rsidRPr="00E47AFA">
        <w:rPr>
          <w:b w:val="0"/>
          <w:bCs/>
          <w:i w:val="0"/>
          <w:iCs/>
          <w:color w:val="auto"/>
          <w:sz w:val="20"/>
          <w:szCs w:val="20"/>
        </w:rPr>
        <w:t xml:space="preserve"> </w:t>
      </w:r>
      <w:r w:rsidRPr="00E47AFA">
        <w:rPr>
          <w:b w:val="0"/>
          <w:bCs/>
          <w:i w:val="0"/>
          <w:iCs/>
          <w:color w:val="auto"/>
          <w:sz w:val="20"/>
          <w:szCs w:val="20"/>
        </w:rPr>
        <w:t>objective. For the core classification backbone, we reject standard deep learning</w:t>
      </w:r>
      <w:r w:rsidR="00A30F43" w:rsidRPr="00E47AFA">
        <w:rPr>
          <w:b w:val="0"/>
          <w:bCs/>
          <w:i w:val="0"/>
          <w:iCs/>
          <w:color w:val="auto"/>
          <w:sz w:val="20"/>
          <w:szCs w:val="20"/>
        </w:rPr>
        <w:t xml:space="preserve"> </w:t>
      </w:r>
      <w:r w:rsidRPr="00E47AFA">
        <w:rPr>
          <w:b w:val="0"/>
          <w:bCs/>
          <w:i w:val="0"/>
          <w:iCs/>
          <w:color w:val="auto"/>
          <w:sz w:val="20"/>
          <w:szCs w:val="20"/>
        </w:rPr>
        <w:t>architectures, which frequently overfit on discontinuous tabular data, and instead deploy a</w:t>
      </w:r>
      <w:r w:rsidR="00A30F43" w:rsidRPr="00E47AFA">
        <w:rPr>
          <w:b w:val="0"/>
          <w:bCs/>
          <w:i w:val="0"/>
          <w:iCs/>
          <w:color w:val="auto"/>
          <w:sz w:val="20"/>
          <w:szCs w:val="20"/>
        </w:rPr>
        <w:t xml:space="preserve"> </w:t>
      </w:r>
      <w:r w:rsidRPr="00E47AFA">
        <w:rPr>
          <w:b w:val="0"/>
          <w:bCs/>
          <w:i w:val="0"/>
          <w:iCs/>
          <w:color w:val="auto"/>
          <w:sz w:val="20"/>
          <w:szCs w:val="20"/>
        </w:rPr>
        <w:t xml:space="preserve">Gradient Boosting Machine (GBM) utilizing decision </w:t>
      </w:r>
      <w:r w:rsidRPr="00E47AFA">
        <w:rPr>
          <w:b w:val="0"/>
          <w:bCs/>
          <w:i w:val="0"/>
          <w:iCs/>
          <w:color w:val="auto"/>
          <w:sz w:val="20"/>
          <w:szCs w:val="20"/>
        </w:rPr>
        <w:t>trees. The GBM natively processes the</w:t>
      </w:r>
      <w:r w:rsidR="00A30F43" w:rsidRPr="00E47AFA">
        <w:rPr>
          <w:b w:val="0"/>
          <w:bCs/>
          <w:i w:val="0"/>
          <w:iCs/>
          <w:color w:val="auto"/>
          <w:sz w:val="20"/>
          <w:szCs w:val="20"/>
        </w:rPr>
        <w:t xml:space="preserve"> </w:t>
      </w:r>
      <w:r w:rsidRPr="00E47AFA">
        <w:rPr>
          <w:b w:val="0"/>
          <w:bCs/>
          <w:i w:val="0"/>
          <w:iCs/>
          <w:color w:val="auto"/>
          <w:sz w:val="20"/>
          <w:szCs w:val="20"/>
        </w:rPr>
        <w:t>categorical</w:t>
      </w:r>
      <w:r w:rsidRPr="00E47AFA">
        <w:rPr>
          <w:i w:val="0"/>
          <w:iCs/>
          <w:color w:val="auto"/>
          <w:sz w:val="20"/>
          <w:szCs w:val="20"/>
        </w:rPr>
        <w:t xml:space="preserve"> </w:t>
      </w:r>
      <w:r w:rsidRPr="00E47AFA">
        <w:rPr>
          <w:b w:val="0"/>
          <w:bCs/>
          <w:i w:val="0"/>
          <w:iCs/>
          <w:color w:val="auto"/>
          <w:sz w:val="20"/>
          <w:szCs w:val="20"/>
        </w:rPr>
        <w:t>feature space and maps the highly non-linear</w:t>
      </w:r>
      <w:r w:rsidRPr="00E47AFA">
        <w:rPr>
          <w:i w:val="0"/>
          <w:iCs/>
          <w:color w:val="auto"/>
        </w:rPr>
        <w:t xml:space="preserve"> </w:t>
      </w:r>
      <w:r w:rsidRPr="00E47AFA">
        <w:rPr>
          <w:b w:val="0"/>
          <w:bCs/>
          <w:i w:val="0"/>
          <w:iCs/>
          <w:color w:val="auto"/>
        </w:rPr>
        <w:t>socioeconomic interactions,</w:t>
      </w:r>
      <w:r w:rsidR="00A30F43" w:rsidRPr="00E47AFA">
        <w:rPr>
          <w:b w:val="0"/>
          <w:bCs/>
          <w:i w:val="0"/>
          <w:iCs/>
          <w:color w:val="auto"/>
        </w:rPr>
        <w:t xml:space="preserve"> </w:t>
      </w:r>
      <w:r w:rsidRPr="00E47AFA">
        <w:rPr>
          <w:b w:val="0"/>
          <w:bCs/>
          <w:i w:val="0"/>
          <w:iCs/>
          <w:color w:val="auto"/>
        </w:rPr>
        <w:t>optimizing the propensity-weighted PU loss function to establish robust decision boundaries</w:t>
      </w:r>
      <w:r w:rsidR="00A30F43" w:rsidRPr="00E47AFA">
        <w:rPr>
          <w:b w:val="0"/>
          <w:bCs/>
          <w:i w:val="0"/>
          <w:iCs/>
          <w:color w:val="auto"/>
        </w:rPr>
        <w:t xml:space="preserve"> </w:t>
      </w:r>
      <w:r w:rsidRPr="00E47AFA">
        <w:rPr>
          <w:b w:val="0"/>
          <w:bCs/>
          <w:i w:val="0"/>
          <w:iCs/>
          <w:color w:val="auto"/>
        </w:rPr>
        <w:t>between the verified positives and the latent excluded populations.</w:t>
      </w:r>
    </w:p>
    <w:p w14:paraId="32092AD4" w14:textId="179094B6" w:rsidR="0091745E" w:rsidRPr="00E47AFA" w:rsidRDefault="0091745E" w:rsidP="00303CE7">
      <w:pPr>
        <w:pStyle w:val="H1ListSpace"/>
        <w:numPr>
          <w:ilvl w:val="0"/>
          <w:numId w:val="0"/>
        </w:numPr>
        <w:ind w:left="280"/>
        <w:rPr>
          <w:b w:val="0"/>
          <w:bCs w:val="0"/>
          <w:iCs/>
        </w:rPr>
      </w:pPr>
    </w:p>
    <w:p w14:paraId="75AA5509" w14:textId="4068C83D" w:rsidR="00BC4302" w:rsidRDefault="00BC4302" w:rsidP="008F62FB">
      <w:pPr>
        <w:pStyle w:val="H1ListSpace"/>
        <w:numPr>
          <w:ilvl w:val="0"/>
          <w:numId w:val="0"/>
        </w:numPr>
        <w:ind w:left="280" w:hanging="280"/>
        <w:sectPr w:rsidR="00BC4302" w:rsidSect="00CB2DB1">
          <w:headerReference w:type="default" r:id="rId12"/>
          <w:footerReference w:type="default" r:id="rId13"/>
          <w:type w:val="continuous"/>
          <w:pgSz w:w="11520" w:h="15660" w:code="1"/>
          <w:pgMar w:top="1300" w:right="740" w:bottom="1040" w:left="740" w:header="360" w:footer="640" w:gutter="0"/>
          <w:cols w:num="2" w:space="400"/>
          <w:docGrid w:linePitch="360"/>
        </w:sectPr>
      </w:pPr>
    </w:p>
    <w:p w14:paraId="2384019E" w14:textId="0B8C21CB" w:rsidR="0091745E" w:rsidRDefault="0091745E" w:rsidP="00040088">
      <w:pPr>
        <w:pStyle w:val="FigureCaption"/>
        <w:rPr>
          <w:noProof/>
        </w:rPr>
      </w:pPr>
    </w:p>
    <w:p w14:paraId="0457ECE9" w14:textId="77777777" w:rsidR="00040088" w:rsidRDefault="00040088" w:rsidP="00040088">
      <w:pPr>
        <w:pStyle w:val="FigureCaption"/>
        <w:rPr>
          <w:noProof/>
        </w:rPr>
      </w:pPr>
    </w:p>
    <w:p w14:paraId="70A8FFDE" w14:textId="77777777" w:rsidR="00040088" w:rsidRDefault="00040088" w:rsidP="00040088">
      <w:pPr>
        <w:pStyle w:val="FigureCaption"/>
        <w:rPr>
          <w:noProof/>
        </w:rPr>
      </w:pPr>
    </w:p>
    <w:p w14:paraId="77CB8D96" w14:textId="77777777" w:rsidR="00E47AFA" w:rsidRDefault="00040088" w:rsidP="00040088">
      <w:pPr>
        <w:pStyle w:val="FigureCaption"/>
        <w:rPr>
          <w:rFonts w:ascii="Helvetica" w:hAnsi="Helvetica" w:cs="Helvetica"/>
          <w:b/>
          <w:bCs/>
          <w:noProof/>
          <w:color w:val="0070C0"/>
          <w:sz w:val="20"/>
          <w:szCs w:val="20"/>
        </w:rPr>
      </w:pPr>
      <w:r w:rsidRPr="00040088">
        <w:rPr>
          <w:rFonts w:ascii="Helvetica" w:hAnsi="Helvetica" w:cs="Helvetica"/>
          <w:b/>
          <w:bCs/>
          <w:noProof/>
          <w:color w:val="0070C0"/>
          <w:sz w:val="20"/>
          <w:szCs w:val="20"/>
        </w:rPr>
        <w:t>VII. EVALUATION METRICS AND BASELINE LADDER</w:t>
      </w:r>
    </w:p>
    <w:p w14:paraId="7230850D" w14:textId="07C0500C" w:rsidR="00040088" w:rsidRPr="00040088" w:rsidRDefault="00040088" w:rsidP="00040088">
      <w:pPr>
        <w:pStyle w:val="FigureCaption"/>
        <w:rPr>
          <w:rFonts w:ascii="Helvetica" w:hAnsi="Helvetica" w:cs="Helvetica"/>
          <w:noProof/>
          <w:sz w:val="20"/>
          <w:szCs w:val="20"/>
        </w:rPr>
      </w:pPr>
      <w:r w:rsidRPr="00040088">
        <w:rPr>
          <w:noProof/>
          <w:color w:val="0070C0"/>
        </w:rPr>
        <w:t xml:space="preserve"> </w:t>
      </w:r>
      <w:r w:rsidRPr="00040088">
        <w:rPr>
          <w:rFonts w:ascii="Helvetica" w:hAnsi="Helvetica" w:cs="Helvetica"/>
          <w:noProof/>
          <w:sz w:val="20"/>
          <w:szCs w:val="20"/>
        </w:rPr>
        <w:t>Given the extreme class imbalance and</w:t>
      </w:r>
    </w:p>
    <w:p w14:paraId="4A6D274E"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asymmetric verification present in census data, standard classification metrics such as</w:t>
      </w:r>
    </w:p>
    <w:p w14:paraId="5889A9C9"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global Accuracy or naive F1-scores are mathematically deceptive and strictly rejected.</w:t>
      </w:r>
    </w:p>
    <w:p w14:paraId="344364AE"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Instead, predictive performance is evaluated using the Area Under the Precision-Recall</w:t>
      </w:r>
    </w:p>
    <w:p w14:paraId="187A26D4"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Curve (PR-AUC) and Brier Score calibration, calculated exclusively on a fully verified,</w:t>
      </w:r>
    </w:p>
    <w:p w14:paraId="21304EA9"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region-held-out validation subset. To rigorously justify the computational complexity of</w:t>
      </w:r>
    </w:p>
    <w:p w14:paraId="55467359" w14:textId="57039A4B" w:rsid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the Propensity-Scored PU GBM, we benchmark our framework against a strict baseline ladder:</w:t>
      </w:r>
    </w:p>
    <w:p w14:paraId="4043112D" w14:textId="77777777" w:rsidR="00E47AFA" w:rsidRPr="00040088" w:rsidRDefault="00E47AFA" w:rsidP="00040088">
      <w:pPr>
        <w:pStyle w:val="FigureCaption"/>
        <w:rPr>
          <w:rFonts w:ascii="Helvetica" w:hAnsi="Helvetica" w:cs="Helvetica"/>
          <w:noProof/>
          <w:sz w:val="20"/>
          <w:szCs w:val="20"/>
        </w:rPr>
      </w:pPr>
    </w:p>
    <w:p w14:paraId="0AC401E4"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1. Naive Supervised Baseline: A standard Logistic Regression model treating all unlabeled</w:t>
      </w:r>
    </w:p>
    <w:p w14:paraId="034A9958" w14:textId="77777777" w:rsidR="00E47AFA"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households as definitive negatives (highly susceptible to biased decision boundaries).</w:t>
      </w:r>
    </w:p>
    <w:p w14:paraId="565640C9" w14:textId="67F6D4B2"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 xml:space="preserve"> 2</w:t>
      </w:r>
      <w:r w:rsidR="008F62FB">
        <w:rPr>
          <w:rFonts w:ascii="Helvetica" w:hAnsi="Helvetica" w:cs="Helvetica"/>
          <w:noProof/>
          <w:sz w:val="20"/>
          <w:szCs w:val="20"/>
        </w:rPr>
        <w:t xml:space="preserve">. </w:t>
      </w:r>
      <w:r w:rsidRPr="00040088">
        <w:rPr>
          <w:rFonts w:ascii="Helvetica" w:hAnsi="Helvetica" w:cs="Helvetica"/>
          <w:noProof/>
          <w:sz w:val="20"/>
          <w:szCs w:val="20"/>
        </w:rPr>
        <w:t>SCAR-Assuming PU Baseline: A standard PU learning ensemble utilizing the Elkan-Noto</w:t>
      </w:r>
    </w:p>
    <w:p w14:paraId="19516F84" w14:textId="77777777" w:rsidR="00E47AFA"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estimator, which naively assumes random survey sampling.</w:t>
      </w:r>
    </w:p>
    <w:p w14:paraId="46003C74" w14:textId="5FE96EED"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 xml:space="preserve"> 3. Proposed Architecture: The</w:t>
      </w:r>
    </w:p>
    <w:p w14:paraId="121C1B64"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Propensity-Scored PU Gradient Boosting Machine. This comparative matrix definitively</w:t>
      </w:r>
    </w:p>
    <w:p w14:paraId="5B53785C" w14:textId="77777777" w:rsidR="00040088" w:rsidRPr="00040088" w:rsidRDefault="00040088" w:rsidP="00040088">
      <w:pPr>
        <w:pStyle w:val="FigureCaption"/>
        <w:rPr>
          <w:rFonts w:ascii="Helvetica" w:hAnsi="Helvetica" w:cs="Helvetica"/>
          <w:noProof/>
          <w:sz w:val="20"/>
          <w:szCs w:val="20"/>
        </w:rPr>
      </w:pPr>
      <w:r w:rsidRPr="00040088">
        <w:rPr>
          <w:rFonts w:ascii="Helvetica" w:hAnsi="Helvetica" w:cs="Helvetica"/>
          <w:noProof/>
          <w:sz w:val="20"/>
          <w:szCs w:val="20"/>
        </w:rPr>
        <w:t>isolates the predictive gains achieved by explicitly correcting for geographic and</w:t>
      </w:r>
    </w:p>
    <w:p w14:paraId="1FE0B46B" w14:textId="7AA13B0D" w:rsidR="008F62FB" w:rsidRPr="008F62FB" w:rsidRDefault="00040088" w:rsidP="008F62FB">
      <w:pPr>
        <w:pStyle w:val="FigureCaption"/>
        <w:rPr>
          <w:rFonts w:ascii="Helvetica" w:hAnsi="Helvetica" w:cs="Helvetica"/>
          <w:noProof/>
          <w:sz w:val="20"/>
          <w:szCs w:val="20"/>
        </w:rPr>
      </w:pPr>
      <w:r w:rsidRPr="00040088">
        <w:rPr>
          <w:rFonts w:ascii="Helvetica" w:hAnsi="Helvetica" w:cs="Helvetica"/>
          <w:noProof/>
          <w:sz w:val="20"/>
          <w:szCs w:val="20"/>
        </w:rPr>
        <w:t>socioeconomic survey bias.</w:t>
      </w:r>
    </w:p>
    <w:p w14:paraId="1A625460" w14:textId="77777777" w:rsidR="00E47AFA" w:rsidRDefault="008F62FB" w:rsidP="00B0264D">
      <w:pPr>
        <w:pStyle w:val="H1ListSpace"/>
        <w:numPr>
          <w:ilvl w:val="0"/>
          <w:numId w:val="0"/>
        </w:numPr>
        <w:ind w:left="280"/>
        <w:rPr>
          <w:sz w:val="20"/>
        </w:rPr>
      </w:pPr>
      <w:r w:rsidRPr="00B0264D">
        <w:rPr>
          <w:sz w:val="20"/>
        </w:rPr>
        <w:t>VIII. EXPLAINABILITY AND SOCIOECONOMIC ATTRIBUTION</w:t>
      </w:r>
    </w:p>
    <w:p w14:paraId="5718F38B" w14:textId="642FD745" w:rsidR="00F70DB5" w:rsidRDefault="008F62FB" w:rsidP="00B0264D">
      <w:pPr>
        <w:pStyle w:val="H1ListSpace"/>
        <w:numPr>
          <w:ilvl w:val="0"/>
          <w:numId w:val="0"/>
        </w:numPr>
        <w:ind w:left="280"/>
        <w:rPr>
          <w:b w:val="0"/>
          <w:bCs w:val="0"/>
          <w:color w:val="000000" w:themeColor="text1"/>
          <w:sz w:val="20"/>
        </w:rPr>
      </w:pPr>
      <w:r>
        <w:t xml:space="preserve"> </w:t>
      </w:r>
      <w:r w:rsidRPr="00252B4D">
        <w:rPr>
          <w:b w:val="0"/>
          <w:bCs w:val="0"/>
          <w:color w:val="000000" w:themeColor="text1"/>
          <w:sz w:val="20"/>
        </w:rPr>
        <w:t>Because socioeconomic modeling directly</w:t>
      </w:r>
      <w:r w:rsidR="00B0264D" w:rsidRPr="00252B4D">
        <w:rPr>
          <w:b w:val="0"/>
          <w:bCs w:val="0"/>
          <w:color w:val="000000" w:themeColor="text1"/>
          <w:sz w:val="20"/>
        </w:rPr>
        <w:t xml:space="preserve"> </w:t>
      </w:r>
      <w:r w:rsidRPr="00252B4D">
        <w:rPr>
          <w:b w:val="0"/>
          <w:bCs w:val="0"/>
          <w:color w:val="000000" w:themeColor="text1"/>
          <w:sz w:val="20"/>
        </w:rPr>
        <w:t>informs public policy and resource allocation, the predictive outputs of the GBM cannot</w:t>
      </w:r>
      <w:r w:rsidR="00B0264D" w:rsidRPr="00252B4D">
        <w:rPr>
          <w:b w:val="0"/>
          <w:bCs w:val="0"/>
          <w:color w:val="000000" w:themeColor="text1"/>
          <w:sz w:val="20"/>
        </w:rPr>
        <w:t xml:space="preserve"> </w:t>
      </w:r>
      <w:r w:rsidRPr="00252B4D">
        <w:rPr>
          <w:b w:val="0"/>
          <w:bCs w:val="0"/>
          <w:color w:val="000000" w:themeColor="text1"/>
          <w:sz w:val="20"/>
        </w:rPr>
        <w:t>remain opaque (Layer 5 constraints). While the gradient boosting ensemble successfully</w:t>
      </w:r>
      <w:r w:rsidR="00B0264D" w:rsidRPr="00252B4D">
        <w:rPr>
          <w:b w:val="0"/>
          <w:bCs w:val="0"/>
          <w:color w:val="000000" w:themeColor="text1"/>
          <w:sz w:val="20"/>
        </w:rPr>
        <w:t xml:space="preserve"> </w:t>
      </w:r>
      <w:r w:rsidRPr="00252B4D">
        <w:rPr>
          <w:b w:val="0"/>
          <w:bCs w:val="0"/>
          <w:color w:val="000000" w:themeColor="text1"/>
          <w:sz w:val="20"/>
        </w:rPr>
        <w:t>captures non-linear demographic interactions, we must translate these mathematical</w:t>
      </w:r>
      <w:r w:rsidR="00B0264D" w:rsidRPr="00252B4D">
        <w:rPr>
          <w:b w:val="0"/>
          <w:bCs w:val="0"/>
          <w:color w:val="000000" w:themeColor="text1"/>
          <w:sz w:val="20"/>
        </w:rPr>
        <w:t xml:space="preserve"> </w:t>
      </w:r>
      <w:r w:rsidRPr="00252B4D">
        <w:rPr>
          <w:b w:val="0"/>
          <w:bCs w:val="0"/>
          <w:color w:val="000000" w:themeColor="text1"/>
          <w:sz w:val="20"/>
        </w:rPr>
        <w:t>boundaries into actionable policy insights. To achieve this, we</w:t>
      </w:r>
      <w:r w:rsidRPr="00252B4D">
        <w:rPr>
          <w:color w:val="000000" w:themeColor="text1"/>
          <w:sz w:val="20"/>
        </w:rPr>
        <w:t xml:space="preserve"> </w:t>
      </w:r>
      <w:r w:rsidRPr="00252B4D">
        <w:rPr>
          <w:b w:val="0"/>
          <w:bCs w:val="0"/>
          <w:color w:val="000000" w:themeColor="text1"/>
          <w:sz w:val="20"/>
        </w:rPr>
        <w:t>deploy a post-hoc</w:t>
      </w:r>
      <w:r w:rsidR="00B0264D" w:rsidRPr="00252B4D">
        <w:rPr>
          <w:b w:val="0"/>
          <w:bCs w:val="0"/>
          <w:color w:val="000000" w:themeColor="text1"/>
          <w:sz w:val="20"/>
        </w:rPr>
        <w:t xml:space="preserve"> </w:t>
      </w:r>
      <w:r w:rsidRPr="00252B4D">
        <w:rPr>
          <w:b w:val="0"/>
          <w:bCs w:val="0"/>
          <w:color w:val="000000" w:themeColor="text1"/>
          <w:sz w:val="20"/>
        </w:rPr>
        <w:t>explainability protocol</w:t>
      </w:r>
      <w:r w:rsidRPr="00252B4D">
        <w:rPr>
          <w:color w:val="000000" w:themeColor="text1"/>
          <w:sz w:val="20"/>
        </w:rPr>
        <w:t xml:space="preserve"> </w:t>
      </w:r>
      <w:r w:rsidRPr="00252B4D">
        <w:rPr>
          <w:b w:val="0"/>
          <w:bCs w:val="0"/>
          <w:color w:val="000000" w:themeColor="text1"/>
          <w:sz w:val="20"/>
        </w:rPr>
        <w:t xml:space="preserve">utilizing SHapley Additive </w:t>
      </w:r>
      <w:r w:rsidR="00B0264D" w:rsidRPr="00252B4D">
        <w:rPr>
          <w:b w:val="0"/>
          <w:bCs w:val="0"/>
          <w:color w:val="000000" w:themeColor="text1"/>
          <w:sz w:val="20"/>
        </w:rPr>
        <w:t>explanations</w:t>
      </w:r>
      <w:r w:rsidRPr="00252B4D">
        <w:rPr>
          <w:b w:val="0"/>
          <w:bCs w:val="0"/>
          <w:color w:val="000000" w:themeColor="text1"/>
          <w:sz w:val="20"/>
        </w:rPr>
        <w:t xml:space="preserve"> (SHAP). By computing the</w:t>
      </w:r>
      <w:r w:rsidR="00B0264D" w:rsidRPr="00252B4D">
        <w:rPr>
          <w:b w:val="0"/>
          <w:bCs w:val="0"/>
          <w:color w:val="000000" w:themeColor="text1"/>
          <w:sz w:val="20"/>
        </w:rPr>
        <w:t xml:space="preserve"> </w:t>
      </w:r>
      <w:r w:rsidRPr="00252B4D">
        <w:rPr>
          <w:b w:val="0"/>
          <w:bCs w:val="0"/>
          <w:color w:val="000000" w:themeColor="text1"/>
          <w:sz w:val="20"/>
        </w:rPr>
        <w:t>marginal contribution of each categorical feature to the final risk score, we can extract</w:t>
      </w:r>
      <w:r w:rsidR="00B0264D" w:rsidRPr="00252B4D">
        <w:rPr>
          <w:b w:val="0"/>
          <w:bCs w:val="0"/>
          <w:color w:val="000000" w:themeColor="text1"/>
          <w:sz w:val="20"/>
        </w:rPr>
        <w:t xml:space="preserve"> </w:t>
      </w:r>
      <w:r w:rsidRPr="00252B4D">
        <w:rPr>
          <w:b w:val="0"/>
          <w:bCs w:val="0"/>
          <w:color w:val="000000" w:themeColor="text1"/>
          <w:sz w:val="20"/>
        </w:rPr>
        <w:t xml:space="preserve">both global feature importance (e.g., identifying that </w:t>
      </w:r>
      <w:r w:rsidR="00B0264D" w:rsidRPr="00252B4D">
        <w:rPr>
          <w:b w:val="0"/>
          <w:bCs w:val="0"/>
          <w:color w:val="000000" w:themeColor="text1"/>
          <w:sz w:val="20"/>
        </w:rPr>
        <w:t>‘</w:t>
      </w:r>
      <w:r w:rsidRPr="00252B4D">
        <w:rPr>
          <w:b w:val="0"/>
          <w:bCs w:val="0"/>
          <w:color w:val="000000" w:themeColor="text1"/>
          <w:sz w:val="20"/>
        </w:rPr>
        <w:t xml:space="preserve">Grid Electricity </w:t>
      </w:r>
      <w:r w:rsidRPr="00252B4D">
        <w:rPr>
          <w:b w:val="0"/>
          <w:bCs w:val="0"/>
          <w:color w:val="000000" w:themeColor="text1"/>
          <w:sz w:val="20"/>
        </w:rPr>
        <w:t>Access</w:t>
      </w:r>
      <w:r w:rsidR="00B0264D" w:rsidRPr="00252B4D">
        <w:rPr>
          <w:b w:val="0"/>
          <w:bCs w:val="0"/>
          <w:color w:val="000000" w:themeColor="text1"/>
          <w:sz w:val="20"/>
        </w:rPr>
        <w:t xml:space="preserve">’ </w:t>
      </w:r>
      <w:r w:rsidRPr="00252B4D">
        <w:rPr>
          <w:b w:val="0"/>
          <w:bCs w:val="0"/>
          <w:color w:val="000000" w:themeColor="text1"/>
          <w:sz w:val="20"/>
        </w:rPr>
        <w:t>is the</w:t>
      </w:r>
      <w:r w:rsidR="00B0264D" w:rsidRPr="00252B4D">
        <w:rPr>
          <w:b w:val="0"/>
          <w:bCs w:val="0"/>
          <w:color w:val="000000" w:themeColor="text1"/>
          <w:sz w:val="20"/>
        </w:rPr>
        <w:t xml:space="preserve"> </w:t>
      </w:r>
      <w:r w:rsidRPr="00252B4D">
        <w:rPr>
          <w:b w:val="0"/>
          <w:bCs w:val="0"/>
          <w:color w:val="000000" w:themeColor="text1"/>
          <w:sz w:val="20"/>
        </w:rPr>
        <w:t>dominant national predictor) and local household-level attributions. This rigorous</w:t>
      </w:r>
      <w:r w:rsidR="00B0264D" w:rsidRPr="00252B4D">
        <w:rPr>
          <w:b w:val="0"/>
          <w:bCs w:val="0"/>
          <w:color w:val="000000" w:themeColor="text1"/>
          <w:sz w:val="20"/>
        </w:rPr>
        <w:t xml:space="preserve"> </w:t>
      </w:r>
      <w:r w:rsidRPr="00252B4D">
        <w:rPr>
          <w:b w:val="0"/>
          <w:bCs w:val="0"/>
          <w:color w:val="000000" w:themeColor="text1"/>
          <w:sz w:val="20"/>
        </w:rPr>
        <w:t>attribution explicitly proves to policymakers which specific infrastructural or educational</w:t>
      </w:r>
      <w:r w:rsidR="00B0264D" w:rsidRPr="00252B4D">
        <w:rPr>
          <w:b w:val="0"/>
          <w:bCs w:val="0"/>
          <w:color w:val="000000" w:themeColor="text1"/>
          <w:sz w:val="20"/>
        </w:rPr>
        <w:t xml:space="preserve"> </w:t>
      </w:r>
      <w:r w:rsidRPr="00252B4D">
        <w:rPr>
          <w:b w:val="0"/>
          <w:bCs w:val="0"/>
          <w:color w:val="000000" w:themeColor="text1"/>
          <w:sz w:val="20"/>
        </w:rPr>
        <w:t>deficits are driving digital exclusion in a given region, preventing algorithmic redlining</w:t>
      </w:r>
      <w:r w:rsidR="00B0264D" w:rsidRPr="00252B4D">
        <w:rPr>
          <w:b w:val="0"/>
          <w:bCs w:val="0"/>
          <w:color w:val="000000" w:themeColor="text1"/>
          <w:sz w:val="20"/>
        </w:rPr>
        <w:t xml:space="preserve"> </w:t>
      </w:r>
      <w:r w:rsidRPr="00252B4D">
        <w:rPr>
          <w:b w:val="0"/>
          <w:bCs w:val="0"/>
          <w:color w:val="000000" w:themeColor="text1"/>
          <w:sz w:val="20"/>
        </w:rPr>
        <w:t>and ensuring the model</w:t>
      </w:r>
      <w:r w:rsidR="00B0264D" w:rsidRPr="00252B4D">
        <w:rPr>
          <w:b w:val="0"/>
          <w:bCs w:val="0"/>
          <w:color w:val="000000" w:themeColor="text1"/>
          <w:sz w:val="20"/>
        </w:rPr>
        <w:t xml:space="preserve">’s </w:t>
      </w:r>
      <w:r w:rsidRPr="00252B4D">
        <w:rPr>
          <w:b w:val="0"/>
          <w:bCs w:val="0"/>
          <w:color w:val="000000" w:themeColor="text1"/>
          <w:sz w:val="20"/>
        </w:rPr>
        <w:t>inferences are causally aligned with human development metrics.</w:t>
      </w:r>
    </w:p>
    <w:p w14:paraId="30B18E33" w14:textId="77777777" w:rsidR="00252B4D" w:rsidRDefault="00252B4D" w:rsidP="00B0264D">
      <w:pPr>
        <w:pStyle w:val="H1ListSpace"/>
        <w:numPr>
          <w:ilvl w:val="0"/>
          <w:numId w:val="0"/>
        </w:numPr>
        <w:ind w:left="280"/>
      </w:pPr>
    </w:p>
    <w:p w14:paraId="0E705D84" w14:textId="77777777" w:rsidR="00E47AFA" w:rsidRDefault="00252B4D" w:rsidP="00087D6D">
      <w:pPr>
        <w:pStyle w:val="H1ListSpace"/>
        <w:numPr>
          <w:ilvl w:val="0"/>
          <w:numId w:val="0"/>
        </w:numPr>
        <w:ind w:left="280"/>
        <w:rPr>
          <w:sz w:val="20"/>
        </w:rPr>
      </w:pPr>
      <w:r w:rsidRPr="00087D6D">
        <w:rPr>
          <w:sz w:val="20"/>
        </w:rPr>
        <w:t>IX. MULTI-TIERED ERROR TAXONOMY AND SOCIOECONOMIC FAIRNESS</w:t>
      </w:r>
    </w:p>
    <w:p w14:paraId="009488B1" w14:textId="77777777" w:rsidR="008C3079" w:rsidRDefault="00252B4D" w:rsidP="00087D6D">
      <w:pPr>
        <w:pStyle w:val="H1ListSpace"/>
        <w:numPr>
          <w:ilvl w:val="0"/>
          <w:numId w:val="0"/>
        </w:numPr>
        <w:ind w:left="280"/>
        <w:rPr>
          <w:b w:val="0"/>
          <w:bCs w:val="0"/>
          <w:color w:val="000000" w:themeColor="text1"/>
          <w:sz w:val="20"/>
        </w:rPr>
      </w:pPr>
      <w:r>
        <w:t xml:space="preserve"> </w:t>
      </w:r>
      <w:r w:rsidRPr="00087D6D">
        <w:rPr>
          <w:b w:val="0"/>
          <w:bCs w:val="0"/>
          <w:color w:val="000000" w:themeColor="text1"/>
          <w:sz w:val="20"/>
        </w:rPr>
        <w:t>To rigorously guarantee the reliability of the proposed digital inclusion model (Layer 5), we eschew aggregate classification metrics in favor of a structured Error Taxonomy driven by the asymmetric risks of public policy misallocation. We classify systemic algorithmic failures into three distinct categories:</w:t>
      </w:r>
    </w:p>
    <w:p w14:paraId="5E7451A6" w14:textId="77777777" w:rsidR="008C3079" w:rsidRDefault="00252B4D" w:rsidP="00087D6D">
      <w:pPr>
        <w:pStyle w:val="H1ListSpace"/>
        <w:numPr>
          <w:ilvl w:val="0"/>
          <w:numId w:val="0"/>
        </w:numPr>
        <w:ind w:left="280"/>
        <w:rPr>
          <w:b w:val="0"/>
          <w:bCs w:val="0"/>
          <w:color w:val="000000" w:themeColor="text1"/>
          <w:sz w:val="20"/>
        </w:rPr>
      </w:pPr>
      <w:r w:rsidRPr="00087D6D">
        <w:rPr>
          <w:b w:val="0"/>
          <w:bCs w:val="0"/>
          <w:color w:val="000000" w:themeColor="text1"/>
          <w:sz w:val="20"/>
        </w:rPr>
        <w:t xml:space="preserve"> (1) Catastrophic False Positives (Algorithmic Redlining), where the model incorrectly predicts that a highly vulnerable household possesses digital access, thereby systematically excluding them from targeted infrastructure subsidies;</w:t>
      </w:r>
    </w:p>
    <w:p w14:paraId="13DFD50D" w14:textId="77777777" w:rsidR="008C3079" w:rsidRDefault="00252B4D" w:rsidP="00087D6D">
      <w:pPr>
        <w:pStyle w:val="H1ListSpace"/>
        <w:numPr>
          <w:ilvl w:val="0"/>
          <w:numId w:val="0"/>
        </w:numPr>
        <w:ind w:left="280"/>
        <w:rPr>
          <w:b w:val="0"/>
          <w:bCs w:val="0"/>
          <w:color w:val="000000" w:themeColor="text1"/>
          <w:sz w:val="20"/>
        </w:rPr>
      </w:pPr>
      <w:r w:rsidRPr="00087D6D">
        <w:rPr>
          <w:b w:val="0"/>
          <w:bCs w:val="0"/>
          <w:color w:val="000000" w:themeColor="text1"/>
          <w:sz w:val="20"/>
        </w:rPr>
        <w:t xml:space="preserve"> (2) False Negatives (Resource Dilution), where digitally affluent households are misclassified as excluded, leading to inefficient capital expenditure</w:t>
      </w:r>
    </w:p>
    <w:p w14:paraId="3AD9215D" w14:textId="401229F1" w:rsidR="00252B4D" w:rsidRDefault="00252B4D" w:rsidP="00087D6D">
      <w:pPr>
        <w:pStyle w:val="H1ListSpace"/>
        <w:numPr>
          <w:ilvl w:val="0"/>
          <w:numId w:val="0"/>
        </w:numPr>
        <w:ind w:left="280"/>
        <w:rPr>
          <w:b w:val="0"/>
          <w:bCs w:val="0"/>
          <w:color w:val="000000" w:themeColor="text1"/>
          <w:sz w:val="20"/>
        </w:rPr>
      </w:pPr>
      <w:r w:rsidRPr="00087D6D">
        <w:rPr>
          <w:b w:val="0"/>
          <w:bCs w:val="0"/>
          <w:color w:val="000000" w:themeColor="text1"/>
          <w:sz w:val="20"/>
        </w:rPr>
        <w:t>(3) Proxy-Induced Demographic Disparity, where the Gradient Boosting Machine over-indexes on localized wealth proxies (e.g., specific roofing materials), creating disparate error rates between rural and urban cohorts. To mitigate these risks, the decision threshold of the GBM is calibrated using</w:t>
      </w:r>
      <w:r w:rsidR="00087D6D" w:rsidRPr="00087D6D">
        <w:rPr>
          <w:b w:val="0"/>
          <w:bCs w:val="0"/>
          <w:color w:val="000000" w:themeColor="text1"/>
          <w:sz w:val="20"/>
        </w:rPr>
        <w:t xml:space="preserve"> </w:t>
      </w:r>
      <w:r w:rsidRPr="00087D6D">
        <w:rPr>
          <w:b w:val="0"/>
          <w:bCs w:val="0"/>
          <w:color w:val="000000" w:themeColor="text1"/>
          <w:sz w:val="20"/>
        </w:rPr>
        <w:t>cost-sensitive learning to mathematically penalize</w:t>
      </w:r>
      <w:r w:rsidRPr="00087D6D">
        <w:rPr>
          <w:color w:val="000000" w:themeColor="text1"/>
        </w:rPr>
        <w:t xml:space="preserve"> </w:t>
      </w:r>
      <w:r w:rsidRPr="00087D6D">
        <w:rPr>
          <w:b w:val="0"/>
          <w:bCs w:val="0"/>
          <w:color w:val="000000" w:themeColor="text1"/>
          <w:sz w:val="20"/>
        </w:rPr>
        <w:t>False Positives, ensuring strict</w:t>
      </w:r>
      <w:r w:rsidR="00087D6D" w:rsidRPr="00087D6D">
        <w:rPr>
          <w:b w:val="0"/>
          <w:bCs w:val="0"/>
          <w:color w:val="000000" w:themeColor="text1"/>
          <w:sz w:val="20"/>
        </w:rPr>
        <w:t xml:space="preserve"> </w:t>
      </w:r>
      <w:r w:rsidRPr="00087D6D">
        <w:rPr>
          <w:b w:val="0"/>
          <w:bCs w:val="0"/>
          <w:color w:val="000000" w:themeColor="text1"/>
          <w:sz w:val="20"/>
        </w:rPr>
        <w:t>Demographic Parity across regional boundaries prior to deployment.</w:t>
      </w:r>
    </w:p>
    <w:p w14:paraId="57D46837" w14:textId="77777777" w:rsidR="00E8036D" w:rsidRDefault="00E8036D" w:rsidP="00087D6D">
      <w:pPr>
        <w:pStyle w:val="H1ListSpace"/>
        <w:numPr>
          <w:ilvl w:val="0"/>
          <w:numId w:val="0"/>
        </w:numPr>
        <w:ind w:left="280"/>
        <w:rPr>
          <w:b w:val="0"/>
          <w:bCs w:val="0"/>
          <w:color w:val="000000" w:themeColor="text1"/>
          <w:sz w:val="20"/>
        </w:rPr>
      </w:pPr>
    </w:p>
    <w:p w14:paraId="05CC415D" w14:textId="77777777" w:rsidR="00CA4646" w:rsidRDefault="00CA4646" w:rsidP="00E8036D">
      <w:pPr>
        <w:pStyle w:val="H1ListSpace"/>
        <w:numPr>
          <w:ilvl w:val="0"/>
          <w:numId w:val="0"/>
        </w:numPr>
        <w:ind w:left="280"/>
        <w:rPr>
          <w:color w:val="0070C0"/>
          <w:sz w:val="20"/>
        </w:rPr>
      </w:pPr>
    </w:p>
    <w:p w14:paraId="402CBDB1" w14:textId="77777777" w:rsidR="00CA4646" w:rsidRDefault="00CA4646" w:rsidP="00E8036D">
      <w:pPr>
        <w:pStyle w:val="H1ListSpace"/>
        <w:numPr>
          <w:ilvl w:val="0"/>
          <w:numId w:val="0"/>
        </w:numPr>
        <w:ind w:left="280"/>
        <w:rPr>
          <w:color w:val="0070C0"/>
          <w:sz w:val="20"/>
        </w:rPr>
      </w:pPr>
    </w:p>
    <w:p w14:paraId="76392BAC" w14:textId="07F43F4A" w:rsidR="00E47AFA" w:rsidRDefault="00E8036D" w:rsidP="00E8036D">
      <w:pPr>
        <w:pStyle w:val="H1ListSpace"/>
        <w:numPr>
          <w:ilvl w:val="0"/>
          <w:numId w:val="0"/>
        </w:numPr>
        <w:ind w:left="280"/>
        <w:rPr>
          <w:color w:val="0070C0"/>
          <w:sz w:val="20"/>
        </w:rPr>
      </w:pPr>
      <w:r w:rsidRPr="00E8036D">
        <w:rPr>
          <w:color w:val="0070C0"/>
          <w:sz w:val="20"/>
        </w:rPr>
        <w:lastRenderedPageBreak/>
        <w:t>X. MLOPS AND SECURE POLICY DEPLOYMENT</w:t>
      </w:r>
    </w:p>
    <w:p w14:paraId="69673EE0" w14:textId="7BD161AB" w:rsidR="00E8036D" w:rsidRDefault="00E8036D" w:rsidP="00E8036D">
      <w:pPr>
        <w:pStyle w:val="H1ListSpace"/>
        <w:numPr>
          <w:ilvl w:val="0"/>
          <w:numId w:val="0"/>
        </w:numPr>
        <w:ind w:left="280"/>
        <w:rPr>
          <w:b w:val="0"/>
          <w:bCs w:val="0"/>
          <w:color w:val="000000" w:themeColor="text1"/>
          <w:sz w:val="20"/>
        </w:rPr>
      </w:pPr>
      <w:r w:rsidRPr="00E8036D">
        <w:rPr>
          <w:b w:val="0"/>
          <w:bCs w:val="0"/>
          <w:color w:val="0070C0"/>
          <w:sz w:val="20"/>
        </w:rPr>
        <w:t xml:space="preserve"> </w:t>
      </w:r>
      <w:r w:rsidRPr="00E8036D">
        <w:rPr>
          <w:b w:val="0"/>
          <w:bCs w:val="0"/>
          <w:color w:val="000000" w:themeColor="text1"/>
          <w:sz w:val="20"/>
        </w:rPr>
        <w:t>The operational viability of this socioeconomic modeling framework is strictly bounded by Layer 6 systems constraints</w:t>
      </w:r>
      <w:r w:rsidR="00E47AFA">
        <w:rPr>
          <w:b w:val="0"/>
          <w:bCs w:val="0"/>
          <w:color w:val="000000" w:themeColor="text1"/>
          <w:sz w:val="20"/>
        </w:rPr>
        <w:t xml:space="preserve"> </w:t>
      </w:r>
      <w:r w:rsidRPr="00E8036D">
        <w:rPr>
          <w:b w:val="0"/>
          <w:bCs w:val="0"/>
          <w:color w:val="000000" w:themeColor="text1"/>
          <w:sz w:val="20"/>
        </w:rPr>
        <w:t>specifically, compliance with national data sovereignty regulations and the protection of Personally Identifiable Information (PII) inherent in census microdata. Because infrastructure planning occurs on annual or bi-annual cycles, the system does not require low-latency streaming inference. Instead, the architecture is designed for secure, high-throughput batch processing. The Propensity-Scored GBM and SHAP attribution modules compile into self-contained executable pipelines that run natively on air-gapped, on-premise government servers (e.g., Uganda Bureau of Statistics data centers). Furthermore, all geographic and demographic covariates undergo cryptographic hashing prior to feature engineering, ensuring that the model discovers latent digital inclusion patterns without exposing household-level identities.</w:t>
      </w:r>
    </w:p>
    <w:p w14:paraId="5C262A74" w14:textId="77777777" w:rsidR="00E47AFA" w:rsidRDefault="00650CED" w:rsidP="00650CED">
      <w:pPr>
        <w:pStyle w:val="H1ListSpace"/>
        <w:numPr>
          <w:ilvl w:val="0"/>
          <w:numId w:val="0"/>
        </w:numPr>
        <w:ind w:left="280"/>
        <w:rPr>
          <w:b w:val="0"/>
          <w:bCs w:val="0"/>
          <w:color w:val="0070C0"/>
          <w:sz w:val="20"/>
        </w:rPr>
      </w:pPr>
      <w:r w:rsidRPr="00650CED">
        <w:rPr>
          <w:color w:val="0070C0"/>
          <w:sz w:val="20"/>
        </w:rPr>
        <w:t>XI. LIMITATIONS AND CONCLUSION</w:t>
      </w:r>
      <w:r w:rsidRPr="00650CED">
        <w:rPr>
          <w:b w:val="0"/>
          <w:bCs w:val="0"/>
          <w:color w:val="0070C0"/>
          <w:sz w:val="20"/>
        </w:rPr>
        <w:t xml:space="preserve"> </w:t>
      </w:r>
    </w:p>
    <w:p w14:paraId="61B1E80A" w14:textId="77777777" w:rsidR="00B61FC1" w:rsidRDefault="00650CED" w:rsidP="00650CED">
      <w:pPr>
        <w:pStyle w:val="H1ListSpace"/>
        <w:numPr>
          <w:ilvl w:val="0"/>
          <w:numId w:val="0"/>
        </w:numPr>
        <w:ind w:left="280"/>
        <w:rPr>
          <w:b w:val="0"/>
          <w:bCs w:val="0"/>
          <w:color w:val="000000" w:themeColor="text1"/>
          <w:sz w:val="20"/>
        </w:rPr>
      </w:pPr>
      <w:r w:rsidRPr="00650CED">
        <w:rPr>
          <w:b w:val="0"/>
          <w:bCs w:val="0"/>
          <w:color w:val="000000" w:themeColor="text1"/>
          <w:sz w:val="20"/>
        </w:rPr>
        <w:t>A fundamental limitation of this study is the inherent</w:t>
      </w:r>
      <w:r>
        <w:rPr>
          <w:b w:val="0"/>
          <w:bCs w:val="0"/>
          <w:color w:val="000000" w:themeColor="text1"/>
          <w:sz w:val="20"/>
        </w:rPr>
        <w:t xml:space="preserve"> </w:t>
      </w:r>
      <w:r w:rsidRPr="00650CED">
        <w:rPr>
          <w:b w:val="0"/>
          <w:bCs w:val="0"/>
          <w:color w:val="000000" w:themeColor="text1"/>
          <w:sz w:val="20"/>
        </w:rPr>
        <w:t>temporal concept drift associated with the 2014 National Population and Housing Census.</w:t>
      </w:r>
      <w:r>
        <w:rPr>
          <w:b w:val="0"/>
          <w:bCs w:val="0"/>
          <w:color w:val="000000" w:themeColor="text1"/>
          <w:sz w:val="20"/>
        </w:rPr>
        <w:t xml:space="preserve"> </w:t>
      </w:r>
      <w:r w:rsidRPr="00650CED">
        <w:rPr>
          <w:b w:val="0"/>
          <w:bCs w:val="0"/>
          <w:color w:val="000000" w:themeColor="text1"/>
          <w:sz w:val="20"/>
        </w:rPr>
        <w:t>Over the subsequent decade, mobile broadband penetration and digital asset ownership have</w:t>
      </w:r>
      <w:r>
        <w:rPr>
          <w:b w:val="0"/>
          <w:bCs w:val="0"/>
          <w:color w:val="000000" w:themeColor="text1"/>
          <w:sz w:val="20"/>
        </w:rPr>
        <w:t xml:space="preserve"> </w:t>
      </w:r>
      <w:r w:rsidRPr="00650CED">
        <w:rPr>
          <w:b w:val="0"/>
          <w:bCs w:val="0"/>
          <w:color w:val="000000" w:themeColor="text1"/>
          <w:sz w:val="20"/>
        </w:rPr>
        <w:t>undergone non-stationary shifts. Consequently, while the Propensity-Scored PU framework</w:t>
      </w:r>
      <w:r>
        <w:rPr>
          <w:b w:val="0"/>
          <w:bCs w:val="0"/>
          <w:color w:val="000000" w:themeColor="text1"/>
          <w:sz w:val="20"/>
        </w:rPr>
        <w:t xml:space="preserve"> </w:t>
      </w:r>
      <w:r w:rsidRPr="00650CED">
        <w:rPr>
          <w:b w:val="0"/>
          <w:bCs w:val="0"/>
          <w:color w:val="000000" w:themeColor="text1"/>
          <w:sz w:val="20"/>
        </w:rPr>
        <w:t>successfully maps the underlying topological structures of digital exclusion, the specific</w:t>
      </w:r>
      <w:r>
        <w:rPr>
          <w:b w:val="0"/>
          <w:bCs w:val="0"/>
          <w:color w:val="000000" w:themeColor="text1"/>
          <w:sz w:val="20"/>
        </w:rPr>
        <w:t xml:space="preserve"> </w:t>
      </w:r>
      <w:r w:rsidRPr="00650CED">
        <w:rPr>
          <w:b w:val="0"/>
          <w:bCs w:val="0"/>
          <w:color w:val="000000" w:themeColor="text1"/>
          <w:sz w:val="20"/>
        </w:rPr>
        <w:t>decision boundaries represent a historical baseline. Operationalizing this model for</w:t>
      </w:r>
      <w:r>
        <w:rPr>
          <w:b w:val="0"/>
          <w:bCs w:val="0"/>
          <w:color w:val="000000" w:themeColor="text1"/>
          <w:sz w:val="20"/>
        </w:rPr>
        <w:t xml:space="preserve"> </w:t>
      </w:r>
      <w:r w:rsidRPr="00650CED">
        <w:rPr>
          <w:b w:val="0"/>
          <w:bCs w:val="0"/>
          <w:color w:val="000000" w:themeColor="text1"/>
          <w:sz w:val="20"/>
        </w:rPr>
        <w:t>current policy requires retraining the established pipeline on recent national household</w:t>
      </w:r>
      <w:r>
        <w:rPr>
          <w:b w:val="0"/>
          <w:bCs w:val="0"/>
          <w:color w:val="000000" w:themeColor="text1"/>
          <w:sz w:val="20"/>
        </w:rPr>
        <w:t xml:space="preserve"> </w:t>
      </w:r>
      <w:r w:rsidRPr="00650CED">
        <w:rPr>
          <w:b w:val="0"/>
          <w:bCs w:val="0"/>
          <w:color w:val="000000" w:themeColor="text1"/>
          <w:sz w:val="20"/>
        </w:rPr>
        <w:t>surveys.</w:t>
      </w:r>
    </w:p>
    <w:p w14:paraId="4EBAC727" w14:textId="49E1421B" w:rsidR="001D7512" w:rsidRDefault="00650CED" w:rsidP="00650CED">
      <w:pPr>
        <w:pStyle w:val="H1ListSpace"/>
        <w:numPr>
          <w:ilvl w:val="0"/>
          <w:numId w:val="0"/>
        </w:numPr>
        <w:ind w:left="280"/>
        <w:rPr>
          <w:b w:val="0"/>
          <w:bCs w:val="0"/>
          <w:color w:val="000000" w:themeColor="text1"/>
          <w:sz w:val="20"/>
        </w:rPr>
      </w:pPr>
      <w:r w:rsidRPr="00650CED">
        <w:rPr>
          <w:b w:val="0"/>
          <w:bCs w:val="0"/>
          <w:color w:val="000000" w:themeColor="text1"/>
          <w:sz w:val="20"/>
        </w:rPr>
        <w:t xml:space="preserve"> To guarantee strict scientific reproducibility and enable independent audits by</w:t>
      </w:r>
      <w:r>
        <w:rPr>
          <w:b w:val="0"/>
          <w:bCs w:val="0"/>
          <w:color w:val="000000" w:themeColor="text1"/>
          <w:sz w:val="20"/>
        </w:rPr>
        <w:t xml:space="preserve"> </w:t>
      </w:r>
      <w:r w:rsidRPr="00650CED">
        <w:rPr>
          <w:b w:val="0"/>
          <w:bCs w:val="0"/>
          <w:color w:val="000000" w:themeColor="text1"/>
          <w:sz w:val="20"/>
        </w:rPr>
        <w:t>policy researchers, the PU propensity estimation scripts, regional hold-out split indices,</w:t>
      </w:r>
      <w:r>
        <w:rPr>
          <w:b w:val="0"/>
          <w:bCs w:val="0"/>
          <w:color w:val="000000" w:themeColor="text1"/>
          <w:sz w:val="20"/>
        </w:rPr>
        <w:t xml:space="preserve"> </w:t>
      </w:r>
      <w:r w:rsidRPr="00650CED">
        <w:rPr>
          <w:b w:val="0"/>
          <w:bCs w:val="0"/>
          <w:color w:val="000000" w:themeColor="text1"/>
          <w:sz w:val="20"/>
        </w:rPr>
        <w:t>and GBM hyperparameter configurations will be open-sourced on a public repository.</w:t>
      </w:r>
      <w:r>
        <w:rPr>
          <w:b w:val="0"/>
          <w:bCs w:val="0"/>
          <w:color w:val="000000" w:themeColor="text1"/>
          <w:sz w:val="20"/>
        </w:rPr>
        <w:t xml:space="preserve"> </w:t>
      </w:r>
      <w:r w:rsidRPr="00650CED">
        <w:rPr>
          <w:b w:val="0"/>
          <w:bCs w:val="0"/>
          <w:color w:val="000000" w:themeColor="text1"/>
          <w:sz w:val="20"/>
        </w:rPr>
        <w:t>In conclusion, this study reframes socioeconomic digital profiling from a simplistic,</w:t>
      </w:r>
      <w:r>
        <w:rPr>
          <w:b w:val="0"/>
          <w:bCs w:val="0"/>
          <w:color w:val="000000" w:themeColor="text1"/>
          <w:sz w:val="20"/>
        </w:rPr>
        <w:t xml:space="preserve"> </w:t>
      </w:r>
      <w:r w:rsidRPr="00650CED">
        <w:rPr>
          <w:b w:val="0"/>
          <w:bCs w:val="0"/>
          <w:color w:val="000000" w:themeColor="text1"/>
          <w:sz w:val="20"/>
        </w:rPr>
        <w:t>heuristic-driven exercise into a mathematically disciplined Positive-Unlabeled learning</w:t>
      </w:r>
      <w:r>
        <w:rPr>
          <w:b w:val="0"/>
          <w:bCs w:val="0"/>
          <w:color w:val="000000" w:themeColor="text1"/>
          <w:sz w:val="20"/>
        </w:rPr>
        <w:t xml:space="preserve"> </w:t>
      </w:r>
      <w:r w:rsidRPr="00650CED">
        <w:rPr>
          <w:b w:val="0"/>
          <w:bCs w:val="0"/>
          <w:color w:val="000000" w:themeColor="text1"/>
          <w:sz w:val="20"/>
        </w:rPr>
        <w:t>task. By explicitly correcting for the non-random verification bias inherent in survey data</w:t>
      </w:r>
      <w:r>
        <w:rPr>
          <w:b w:val="0"/>
          <w:bCs w:val="0"/>
          <w:color w:val="000000" w:themeColor="text1"/>
          <w:sz w:val="20"/>
        </w:rPr>
        <w:t xml:space="preserve"> </w:t>
      </w:r>
      <w:r w:rsidRPr="00650CED">
        <w:rPr>
          <w:b w:val="0"/>
          <w:bCs w:val="0"/>
          <w:color w:val="000000" w:themeColor="text1"/>
          <w:sz w:val="20"/>
        </w:rPr>
        <w:t>and avoiding the geometric distortions of standard clustering, we establish a highly</w:t>
      </w:r>
      <w:r>
        <w:rPr>
          <w:b w:val="0"/>
          <w:bCs w:val="0"/>
          <w:color w:val="000000" w:themeColor="text1"/>
          <w:sz w:val="20"/>
        </w:rPr>
        <w:t xml:space="preserve"> </w:t>
      </w:r>
      <w:r w:rsidRPr="00650CED">
        <w:rPr>
          <w:b w:val="0"/>
          <w:bCs w:val="0"/>
          <w:color w:val="000000" w:themeColor="text1"/>
          <w:sz w:val="20"/>
        </w:rPr>
        <w:t>robust,</w:t>
      </w:r>
      <w:r>
        <w:rPr>
          <w:b w:val="0"/>
          <w:bCs w:val="0"/>
          <w:color w:val="000000" w:themeColor="text1"/>
          <w:sz w:val="20"/>
        </w:rPr>
        <w:t xml:space="preserve"> </w:t>
      </w:r>
      <w:r w:rsidRPr="00650CED">
        <w:rPr>
          <w:b w:val="0"/>
          <w:bCs w:val="0"/>
          <w:color w:val="000000" w:themeColor="text1"/>
          <w:sz w:val="20"/>
        </w:rPr>
        <w:t>explainable computational framework that empowers policymakers to accurately</w:t>
      </w:r>
      <w:r>
        <w:rPr>
          <w:b w:val="0"/>
          <w:bCs w:val="0"/>
          <w:color w:val="000000" w:themeColor="text1"/>
          <w:sz w:val="20"/>
        </w:rPr>
        <w:t xml:space="preserve"> </w:t>
      </w:r>
      <w:r w:rsidRPr="00650CED">
        <w:rPr>
          <w:b w:val="0"/>
          <w:bCs w:val="0"/>
          <w:color w:val="000000" w:themeColor="text1"/>
          <w:sz w:val="20"/>
        </w:rPr>
        <w:t>identify and support digitally excluded populations.</w:t>
      </w:r>
    </w:p>
    <w:p w14:paraId="734412B4" w14:textId="77777777" w:rsidR="00D45F11" w:rsidRDefault="00F70DB5" w:rsidP="00D45F11">
      <w:pPr>
        <w:pStyle w:val="TableTitle"/>
      </w:pPr>
      <w:r>
        <w:br w:type="column"/>
      </w:r>
      <w:bookmarkStart w:id="1" w:name="_Hlk224679730"/>
      <w:r w:rsidR="00D45F11">
        <w:t>TABLE I</w:t>
      </w:r>
    </w:p>
    <w:p w14:paraId="158E8339" w14:textId="77777777" w:rsidR="00D45F11" w:rsidRDefault="00D45F11" w:rsidP="00D45F11">
      <w:pPr>
        <w:pStyle w:val="TableTitle"/>
      </w:pPr>
      <w:r>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394"/>
      </w:tblGrid>
      <w:tr w:rsidR="00D45F11" w14:paraId="2784A8E0" w14:textId="77777777" w:rsidTr="0001799E">
        <w:trPr>
          <w:trHeight w:val="440"/>
        </w:trPr>
        <w:tc>
          <w:tcPr>
            <w:tcW w:w="720" w:type="dxa"/>
            <w:tcBorders>
              <w:top w:val="double" w:sz="6" w:space="0" w:color="auto"/>
              <w:left w:val="nil"/>
              <w:bottom w:val="single" w:sz="6" w:space="0" w:color="auto"/>
              <w:right w:val="nil"/>
            </w:tcBorders>
            <w:vAlign w:val="center"/>
          </w:tcPr>
          <w:p w14:paraId="174CD0B1" w14:textId="77777777" w:rsidR="00D45F11" w:rsidRDefault="00D45F11" w:rsidP="0001799E">
            <w:pPr>
              <w:jc w:val="center"/>
              <w:rPr>
                <w:sz w:val="16"/>
                <w:szCs w:val="16"/>
              </w:rPr>
            </w:pPr>
            <w:r>
              <w:rPr>
                <w:sz w:val="16"/>
                <w:szCs w:val="16"/>
              </w:rPr>
              <w:t>Symbol</w:t>
            </w:r>
          </w:p>
        </w:tc>
        <w:tc>
          <w:tcPr>
            <w:tcW w:w="1710" w:type="dxa"/>
            <w:tcBorders>
              <w:top w:val="double" w:sz="6" w:space="0" w:color="auto"/>
              <w:left w:val="nil"/>
              <w:bottom w:val="single" w:sz="6" w:space="0" w:color="auto"/>
              <w:right w:val="nil"/>
            </w:tcBorders>
            <w:vAlign w:val="center"/>
          </w:tcPr>
          <w:p w14:paraId="78EEC581" w14:textId="77777777" w:rsidR="00D45F11" w:rsidRDefault="00D45F11" w:rsidP="0001799E">
            <w:pPr>
              <w:pStyle w:val="TableTitle"/>
              <w:rPr>
                <w:smallCaps w:val="0"/>
              </w:rPr>
            </w:pPr>
            <w:r>
              <w:rPr>
                <w:smallCaps w:val="0"/>
              </w:rPr>
              <w:t>Quantity</w:t>
            </w:r>
          </w:p>
        </w:tc>
        <w:tc>
          <w:tcPr>
            <w:tcW w:w="2394" w:type="dxa"/>
            <w:tcBorders>
              <w:top w:val="double" w:sz="6" w:space="0" w:color="auto"/>
              <w:left w:val="nil"/>
              <w:bottom w:val="single" w:sz="6" w:space="0" w:color="auto"/>
              <w:right w:val="nil"/>
            </w:tcBorders>
            <w:vAlign w:val="center"/>
          </w:tcPr>
          <w:p w14:paraId="7B1BD055" w14:textId="77777777" w:rsidR="00D45F11" w:rsidRDefault="00D45F11" w:rsidP="0001799E">
            <w:pPr>
              <w:jc w:val="center"/>
              <w:rPr>
                <w:sz w:val="16"/>
                <w:szCs w:val="16"/>
              </w:rPr>
            </w:pPr>
            <w:r>
              <w:rPr>
                <w:sz w:val="16"/>
                <w:szCs w:val="16"/>
              </w:rPr>
              <w:t>Conversion from Gaussian and</w:t>
            </w:r>
          </w:p>
          <w:p w14:paraId="7514516D" w14:textId="77777777" w:rsidR="00D45F11" w:rsidRDefault="00D45F11" w:rsidP="0001799E">
            <w:pPr>
              <w:jc w:val="center"/>
              <w:rPr>
                <w:sz w:val="16"/>
                <w:szCs w:val="16"/>
              </w:rPr>
            </w:pPr>
            <w:r>
              <w:rPr>
                <w:sz w:val="16"/>
                <w:szCs w:val="16"/>
              </w:rPr>
              <w:t xml:space="preserve">CGS EMU to SI </w:t>
            </w:r>
            <w:r>
              <w:rPr>
                <w:sz w:val="16"/>
                <w:szCs w:val="16"/>
                <w:vertAlign w:val="superscript"/>
              </w:rPr>
              <w:t>a</w:t>
            </w:r>
          </w:p>
        </w:tc>
      </w:tr>
      <w:tr w:rsidR="00D45F11" w14:paraId="54210D97" w14:textId="77777777" w:rsidTr="0001799E">
        <w:tc>
          <w:tcPr>
            <w:tcW w:w="720" w:type="dxa"/>
            <w:tcBorders>
              <w:top w:val="nil"/>
              <w:left w:val="nil"/>
              <w:bottom w:val="nil"/>
              <w:right w:val="nil"/>
            </w:tcBorders>
          </w:tcPr>
          <w:p w14:paraId="274F70F8" w14:textId="77777777" w:rsidR="00D45F11" w:rsidRDefault="00D45F11" w:rsidP="0001799E">
            <w:pPr>
              <w:rPr>
                <w:sz w:val="16"/>
                <w:szCs w:val="16"/>
              </w:rPr>
            </w:pPr>
            <w:r>
              <w:rPr>
                <w:sz w:val="16"/>
                <w:szCs w:val="16"/>
              </w:rPr>
              <w:sym w:font="Symbol" w:char="F046"/>
            </w:r>
          </w:p>
        </w:tc>
        <w:tc>
          <w:tcPr>
            <w:tcW w:w="1710" w:type="dxa"/>
            <w:tcBorders>
              <w:top w:val="nil"/>
              <w:left w:val="nil"/>
              <w:bottom w:val="nil"/>
              <w:right w:val="nil"/>
            </w:tcBorders>
          </w:tcPr>
          <w:p w14:paraId="2DAD9A89" w14:textId="77777777" w:rsidR="00D45F11" w:rsidRDefault="00D45F11" w:rsidP="0001799E">
            <w:pPr>
              <w:rPr>
                <w:sz w:val="16"/>
                <w:szCs w:val="16"/>
              </w:rPr>
            </w:pPr>
            <w:r>
              <w:rPr>
                <w:sz w:val="16"/>
                <w:szCs w:val="16"/>
              </w:rPr>
              <w:t>magnetic flux</w:t>
            </w:r>
          </w:p>
        </w:tc>
        <w:tc>
          <w:tcPr>
            <w:tcW w:w="2394" w:type="dxa"/>
            <w:tcBorders>
              <w:top w:val="nil"/>
              <w:left w:val="nil"/>
              <w:bottom w:val="nil"/>
              <w:right w:val="nil"/>
            </w:tcBorders>
          </w:tcPr>
          <w:p w14:paraId="780E3556" w14:textId="77777777" w:rsidR="00D45F11" w:rsidRDefault="00D45F11" w:rsidP="0001799E">
            <w:pPr>
              <w:rPr>
                <w:sz w:val="16"/>
                <w:szCs w:val="16"/>
              </w:rPr>
            </w:pPr>
            <w:r>
              <w:rPr>
                <w:sz w:val="16"/>
                <w:szCs w:val="16"/>
              </w:rPr>
              <w:t xml:space="preserve">1 Mx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8</w:t>
            </w:r>
            <w:r>
              <w:rPr>
                <w:sz w:val="16"/>
                <w:szCs w:val="16"/>
              </w:rPr>
              <w:t xml:space="preserve"> Wb = 10</w:t>
            </w:r>
            <w:r>
              <w:rPr>
                <w:sz w:val="16"/>
                <w:szCs w:val="16"/>
                <w:vertAlign w:val="superscript"/>
              </w:rPr>
              <w:sym w:font="Symbol" w:char="F02D"/>
            </w:r>
            <w:r>
              <w:rPr>
                <w:sz w:val="16"/>
                <w:szCs w:val="16"/>
                <w:vertAlign w:val="superscript"/>
              </w:rPr>
              <w:t>8</w:t>
            </w:r>
            <w:r>
              <w:rPr>
                <w:sz w:val="16"/>
                <w:szCs w:val="16"/>
              </w:rPr>
              <w:t xml:space="preserve"> V·s</w:t>
            </w:r>
          </w:p>
        </w:tc>
      </w:tr>
      <w:tr w:rsidR="00D45F11" w14:paraId="19B662D2" w14:textId="77777777" w:rsidTr="0001799E">
        <w:tc>
          <w:tcPr>
            <w:tcW w:w="720" w:type="dxa"/>
            <w:tcBorders>
              <w:top w:val="nil"/>
              <w:left w:val="nil"/>
              <w:bottom w:val="nil"/>
              <w:right w:val="nil"/>
            </w:tcBorders>
          </w:tcPr>
          <w:p w14:paraId="131342AF" w14:textId="77777777" w:rsidR="00D45F11" w:rsidRPr="00856CFF" w:rsidRDefault="00D45F11" w:rsidP="0001799E">
            <w:pPr>
              <w:rPr>
                <w:i/>
                <w:iCs/>
                <w:sz w:val="16"/>
                <w:szCs w:val="16"/>
              </w:rPr>
            </w:pPr>
            <w:r w:rsidRPr="00856CFF">
              <w:rPr>
                <w:i/>
                <w:iCs/>
                <w:sz w:val="16"/>
                <w:szCs w:val="16"/>
              </w:rPr>
              <w:t>B</w:t>
            </w:r>
          </w:p>
        </w:tc>
        <w:tc>
          <w:tcPr>
            <w:tcW w:w="1710" w:type="dxa"/>
            <w:tcBorders>
              <w:top w:val="nil"/>
              <w:left w:val="nil"/>
              <w:bottom w:val="nil"/>
              <w:right w:val="nil"/>
            </w:tcBorders>
          </w:tcPr>
          <w:p w14:paraId="64F1EB78" w14:textId="77777777" w:rsidR="00D45F11" w:rsidRDefault="00D45F11" w:rsidP="0001799E">
            <w:pPr>
              <w:rPr>
                <w:sz w:val="16"/>
                <w:szCs w:val="16"/>
              </w:rPr>
            </w:pPr>
            <w:r>
              <w:rPr>
                <w:sz w:val="16"/>
                <w:szCs w:val="16"/>
              </w:rPr>
              <w:t xml:space="preserve">magnetic flux density, </w:t>
            </w:r>
          </w:p>
          <w:p w14:paraId="2FE347C4" w14:textId="77777777" w:rsidR="00D45F11" w:rsidRDefault="00D45F11" w:rsidP="0001799E">
            <w:pPr>
              <w:rPr>
                <w:sz w:val="16"/>
                <w:szCs w:val="16"/>
              </w:rPr>
            </w:pPr>
            <w:r>
              <w:rPr>
                <w:sz w:val="16"/>
                <w:szCs w:val="16"/>
              </w:rPr>
              <w:t xml:space="preserve">  magnetic induction</w:t>
            </w:r>
          </w:p>
        </w:tc>
        <w:tc>
          <w:tcPr>
            <w:tcW w:w="2394" w:type="dxa"/>
            <w:tcBorders>
              <w:top w:val="nil"/>
              <w:left w:val="nil"/>
              <w:bottom w:val="nil"/>
              <w:right w:val="nil"/>
            </w:tcBorders>
          </w:tcPr>
          <w:p w14:paraId="3D44F6A1" w14:textId="77777777" w:rsidR="00D45F11" w:rsidRDefault="00D45F11" w:rsidP="0001799E">
            <w:pPr>
              <w:rPr>
                <w:sz w:val="16"/>
                <w:szCs w:val="16"/>
                <w:vertAlign w:val="superscript"/>
              </w:rPr>
            </w:pPr>
            <w:r>
              <w:rPr>
                <w:sz w:val="16"/>
                <w:szCs w:val="16"/>
              </w:rPr>
              <w:t xml:space="preserve">1 G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 = 10</w:t>
            </w:r>
            <w:r>
              <w:rPr>
                <w:sz w:val="16"/>
                <w:szCs w:val="16"/>
                <w:vertAlign w:val="superscript"/>
              </w:rPr>
              <w:sym w:font="Symbol" w:char="F02D"/>
            </w:r>
            <w:r>
              <w:rPr>
                <w:sz w:val="16"/>
                <w:szCs w:val="16"/>
                <w:vertAlign w:val="superscript"/>
              </w:rPr>
              <w:t>4</w:t>
            </w:r>
            <w:r>
              <w:rPr>
                <w:sz w:val="16"/>
                <w:szCs w:val="16"/>
              </w:rPr>
              <w:t xml:space="preserve"> Wb/m</w:t>
            </w:r>
            <w:r>
              <w:rPr>
                <w:sz w:val="16"/>
                <w:szCs w:val="16"/>
                <w:vertAlign w:val="superscript"/>
              </w:rPr>
              <w:t>2</w:t>
            </w:r>
          </w:p>
        </w:tc>
      </w:tr>
      <w:tr w:rsidR="00D45F11" w14:paraId="3031FEF0" w14:textId="77777777" w:rsidTr="0001799E">
        <w:tc>
          <w:tcPr>
            <w:tcW w:w="720" w:type="dxa"/>
            <w:tcBorders>
              <w:top w:val="nil"/>
              <w:left w:val="nil"/>
              <w:bottom w:val="nil"/>
              <w:right w:val="nil"/>
            </w:tcBorders>
          </w:tcPr>
          <w:p w14:paraId="04F9CE16" w14:textId="77777777" w:rsidR="00D45F11" w:rsidRPr="00856CFF" w:rsidRDefault="00D45F11" w:rsidP="0001799E">
            <w:pPr>
              <w:rPr>
                <w:i/>
                <w:iCs/>
                <w:sz w:val="16"/>
                <w:szCs w:val="16"/>
              </w:rPr>
            </w:pPr>
            <w:r w:rsidRPr="00856CFF">
              <w:rPr>
                <w:i/>
                <w:iCs/>
                <w:sz w:val="16"/>
                <w:szCs w:val="16"/>
              </w:rPr>
              <w:t>H</w:t>
            </w:r>
          </w:p>
        </w:tc>
        <w:tc>
          <w:tcPr>
            <w:tcW w:w="1710" w:type="dxa"/>
            <w:tcBorders>
              <w:top w:val="nil"/>
              <w:left w:val="nil"/>
              <w:bottom w:val="nil"/>
              <w:right w:val="nil"/>
            </w:tcBorders>
          </w:tcPr>
          <w:p w14:paraId="7E63D384" w14:textId="77777777" w:rsidR="00D45F11" w:rsidRDefault="00D45F11" w:rsidP="0001799E">
            <w:pPr>
              <w:rPr>
                <w:sz w:val="16"/>
                <w:szCs w:val="16"/>
              </w:rPr>
            </w:pPr>
            <w:r>
              <w:rPr>
                <w:sz w:val="16"/>
                <w:szCs w:val="16"/>
              </w:rPr>
              <w:t>magnetic field strength</w:t>
            </w:r>
          </w:p>
        </w:tc>
        <w:tc>
          <w:tcPr>
            <w:tcW w:w="2394" w:type="dxa"/>
            <w:tcBorders>
              <w:top w:val="nil"/>
              <w:left w:val="nil"/>
              <w:bottom w:val="nil"/>
              <w:right w:val="nil"/>
            </w:tcBorders>
          </w:tcPr>
          <w:p w14:paraId="56B671A1" w14:textId="77777777" w:rsidR="00D45F11" w:rsidRDefault="00D45F11" w:rsidP="0001799E">
            <w:pPr>
              <w:rPr>
                <w:sz w:val="16"/>
                <w:szCs w:val="16"/>
              </w:rPr>
            </w:pPr>
            <w:r>
              <w:rPr>
                <w:sz w:val="16"/>
                <w:szCs w:val="16"/>
              </w:rPr>
              <w:t xml:space="preserve">1 Oe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D45F11" w14:paraId="5B69283F" w14:textId="77777777" w:rsidTr="0001799E">
        <w:tc>
          <w:tcPr>
            <w:tcW w:w="720" w:type="dxa"/>
            <w:tcBorders>
              <w:top w:val="nil"/>
              <w:left w:val="nil"/>
              <w:bottom w:val="nil"/>
              <w:right w:val="nil"/>
            </w:tcBorders>
          </w:tcPr>
          <w:p w14:paraId="090E01AD" w14:textId="08316565" w:rsidR="00D45F11" w:rsidRPr="00856CFF" w:rsidRDefault="00E8036D" w:rsidP="0001799E">
            <w:pPr>
              <w:rPr>
                <w:i/>
                <w:iCs/>
                <w:sz w:val="16"/>
                <w:szCs w:val="16"/>
              </w:rPr>
            </w:pPr>
            <w:r>
              <w:rPr>
                <w:i/>
                <w:iCs/>
                <w:sz w:val="16"/>
                <w:szCs w:val="16"/>
              </w:rPr>
              <w:t xml:space="preserve">H </w:t>
            </w:r>
          </w:p>
        </w:tc>
        <w:tc>
          <w:tcPr>
            <w:tcW w:w="1710" w:type="dxa"/>
            <w:tcBorders>
              <w:top w:val="nil"/>
              <w:left w:val="nil"/>
              <w:bottom w:val="nil"/>
              <w:right w:val="nil"/>
            </w:tcBorders>
          </w:tcPr>
          <w:p w14:paraId="7962FE12" w14:textId="77777777" w:rsidR="00D45F11" w:rsidRDefault="00D45F11" w:rsidP="0001799E">
            <w:pPr>
              <w:rPr>
                <w:sz w:val="16"/>
                <w:szCs w:val="16"/>
                <w:vertAlign w:val="superscript"/>
              </w:rPr>
            </w:pPr>
            <w:r>
              <w:rPr>
                <w:sz w:val="16"/>
                <w:szCs w:val="16"/>
              </w:rPr>
              <w:t>magnetic moment</w:t>
            </w:r>
          </w:p>
        </w:tc>
        <w:tc>
          <w:tcPr>
            <w:tcW w:w="2394" w:type="dxa"/>
            <w:tcBorders>
              <w:top w:val="nil"/>
              <w:left w:val="nil"/>
              <w:bottom w:val="nil"/>
              <w:right w:val="nil"/>
            </w:tcBorders>
          </w:tcPr>
          <w:p w14:paraId="65B9E987" w14:textId="77777777" w:rsidR="00D45F11" w:rsidRDefault="00D45F11" w:rsidP="0001799E">
            <w:pPr>
              <w:rPr>
                <w:sz w:val="16"/>
                <w:szCs w:val="16"/>
              </w:rPr>
            </w:pPr>
            <w:r>
              <w:rPr>
                <w:sz w:val="16"/>
                <w:szCs w:val="16"/>
              </w:rPr>
              <w:t xml:space="preserve">1 erg/G = 1 emu </w:t>
            </w:r>
          </w:p>
          <w:p w14:paraId="2840DCF3"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A·m</w:t>
            </w:r>
            <w:r>
              <w:rPr>
                <w:sz w:val="16"/>
                <w:szCs w:val="16"/>
                <w:vertAlign w:val="superscript"/>
              </w:rPr>
              <w:t>2</w:t>
            </w:r>
            <w:r>
              <w:rPr>
                <w:sz w:val="16"/>
                <w:szCs w:val="16"/>
              </w:rPr>
              <w:t xml:space="preserve"> = 10</w:t>
            </w:r>
            <w:r>
              <w:rPr>
                <w:sz w:val="16"/>
                <w:szCs w:val="16"/>
                <w:vertAlign w:val="superscript"/>
              </w:rPr>
              <w:sym w:font="Symbol" w:char="F02D"/>
            </w:r>
            <w:r>
              <w:rPr>
                <w:sz w:val="16"/>
                <w:szCs w:val="16"/>
                <w:vertAlign w:val="superscript"/>
              </w:rPr>
              <w:t>3</w:t>
            </w:r>
            <w:r>
              <w:rPr>
                <w:sz w:val="16"/>
                <w:szCs w:val="16"/>
              </w:rPr>
              <w:t xml:space="preserve"> J/T</w:t>
            </w:r>
          </w:p>
        </w:tc>
      </w:tr>
      <w:tr w:rsidR="00D45F11" w14:paraId="5D86179A" w14:textId="77777777" w:rsidTr="0001799E">
        <w:tc>
          <w:tcPr>
            <w:tcW w:w="720" w:type="dxa"/>
            <w:tcBorders>
              <w:top w:val="nil"/>
              <w:left w:val="nil"/>
              <w:bottom w:val="nil"/>
              <w:right w:val="nil"/>
            </w:tcBorders>
          </w:tcPr>
          <w:p w14:paraId="6C39EE26" w14:textId="77777777" w:rsidR="00D45F11" w:rsidRPr="00856CFF" w:rsidRDefault="00D45F11" w:rsidP="0001799E">
            <w:pPr>
              <w:rPr>
                <w:i/>
                <w:iCs/>
                <w:sz w:val="16"/>
                <w:szCs w:val="16"/>
              </w:rPr>
            </w:pPr>
            <w:r w:rsidRPr="00856CFF">
              <w:rPr>
                <w:i/>
                <w:iCs/>
                <w:sz w:val="16"/>
                <w:szCs w:val="16"/>
              </w:rPr>
              <w:t>M</w:t>
            </w:r>
          </w:p>
        </w:tc>
        <w:tc>
          <w:tcPr>
            <w:tcW w:w="1710" w:type="dxa"/>
            <w:tcBorders>
              <w:top w:val="nil"/>
              <w:left w:val="nil"/>
              <w:bottom w:val="nil"/>
              <w:right w:val="nil"/>
            </w:tcBorders>
          </w:tcPr>
          <w:p w14:paraId="05720BEA"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033FB6E6"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3E585372"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10</w:t>
            </w:r>
            <w:r>
              <w:rPr>
                <w:sz w:val="16"/>
                <w:szCs w:val="16"/>
                <w:vertAlign w:val="superscript"/>
              </w:rPr>
              <w:t>3</w:t>
            </w:r>
            <w:r>
              <w:rPr>
                <w:sz w:val="16"/>
                <w:szCs w:val="16"/>
              </w:rPr>
              <w:t xml:space="preserve"> A/m</w:t>
            </w:r>
          </w:p>
        </w:tc>
      </w:tr>
      <w:tr w:rsidR="00D45F11" w14:paraId="5A39B365" w14:textId="77777777" w:rsidTr="0001799E">
        <w:tc>
          <w:tcPr>
            <w:tcW w:w="720" w:type="dxa"/>
            <w:tcBorders>
              <w:top w:val="nil"/>
              <w:left w:val="nil"/>
              <w:bottom w:val="nil"/>
              <w:right w:val="nil"/>
            </w:tcBorders>
          </w:tcPr>
          <w:p w14:paraId="7C4461F5" w14:textId="77777777" w:rsidR="00D45F11" w:rsidRPr="00856CFF" w:rsidRDefault="00D45F11" w:rsidP="0001799E">
            <w:pPr>
              <w:rPr>
                <w:i/>
                <w:iCs/>
                <w:sz w:val="16"/>
                <w:szCs w:val="16"/>
              </w:rPr>
            </w:pPr>
            <w:r w:rsidRPr="00856CFF">
              <w:rPr>
                <w:sz w:val="16"/>
                <w:szCs w:val="16"/>
              </w:rPr>
              <w:t>4</w:t>
            </w:r>
            <w:r w:rsidRPr="00856CFF">
              <w:rPr>
                <w:sz w:val="16"/>
                <w:szCs w:val="16"/>
              </w:rPr>
              <w:sym w:font="Symbol" w:char="F070"/>
            </w:r>
            <w:r w:rsidRPr="00856CFF">
              <w:rPr>
                <w:i/>
                <w:iCs/>
                <w:sz w:val="16"/>
                <w:szCs w:val="16"/>
              </w:rPr>
              <w:t>M</w:t>
            </w:r>
          </w:p>
        </w:tc>
        <w:tc>
          <w:tcPr>
            <w:tcW w:w="1710" w:type="dxa"/>
            <w:tcBorders>
              <w:top w:val="nil"/>
              <w:left w:val="nil"/>
              <w:bottom w:val="nil"/>
              <w:right w:val="nil"/>
            </w:tcBorders>
          </w:tcPr>
          <w:p w14:paraId="666EED3C" w14:textId="77777777" w:rsidR="00D45F11" w:rsidRDefault="00D45F11" w:rsidP="0001799E">
            <w:pPr>
              <w:rPr>
                <w:sz w:val="16"/>
                <w:szCs w:val="16"/>
              </w:rPr>
            </w:pPr>
            <w:r>
              <w:rPr>
                <w:sz w:val="16"/>
                <w:szCs w:val="16"/>
              </w:rPr>
              <w:t>magnetization</w:t>
            </w:r>
          </w:p>
        </w:tc>
        <w:tc>
          <w:tcPr>
            <w:tcW w:w="2394" w:type="dxa"/>
            <w:tcBorders>
              <w:top w:val="nil"/>
              <w:left w:val="nil"/>
              <w:bottom w:val="nil"/>
              <w:right w:val="nil"/>
            </w:tcBorders>
          </w:tcPr>
          <w:p w14:paraId="4890131A" w14:textId="77777777" w:rsidR="00D45F11" w:rsidRDefault="00D45F11" w:rsidP="0001799E">
            <w:pPr>
              <w:rPr>
                <w:sz w:val="16"/>
                <w:szCs w:val="16"/>
              </w:rPr>
            </w:pPr>
            <w:r>
              <w:rPr>
                <w:sz w:val="16"/>
                <w:szCs w:val="16"/>
              </w:rPr>
              <w:t xml:space="preserve">1 G </w:t>
            </w:r>
            <w:r>
              <w:rPr>
                <w:sz w:val="16"/>
                <w:szCs w:val="16"/>
              </w:rPr>
              <w:sym w:font="Symbol" w:char="F0AE"/>
            </w:r>
            <w:r>
              <w:rPr>
                <w:sz w:val="16"/>
                <w:szCs w:val="16"/>
              </w:rPr>
              <w:t xml:space="preserve"> 10</w:t>
            </w:r>
            <w:r>
              <w:rPr>
                <w:sz w:val="16"/>
                <w:szCs w:val="16"/>
                <w:vertAlign w:val="superscript"/>
              </w:rPr>
              <w:t>3</w:t>
            </w:r>
            <w:proofErr w:type="gramStart"/>
            <w:r>
              <w:rPr>
                <w:sz w:val="16"/>
                <w:szCs w:val="16"/>
              </w:rPr>
              <w:t>/(</w:t>
            </w:r>
            <w:proofErr w:type="gramEnd"/>
            <w:r>
              <w:rPr>
                <w:sz w:val="16"/>
                <w:szCs w:val="16"/>
              </w:rPr>
              <w:t>4</w:t>
            </w:r>
            <w:r>
              <w:rPr>
                <w:sz w:val="16"/>
                <w:szCs w:val="16"/>
              </w:rPr>
              <w:sym w:font="Symbol" w:char="F070"/>
            </w:r>
            <w:r>
              <w:rPr>
                <w:sz w:val="16"/>
                <w:szCs w:val="16"/>
              </w:rPr>
              <w:t>) A/m</w:t>
            </w:r>
          </w:p>
        </w:tc>
      </w:tr>
      <w:tr w:rsidR="00D45F11" w14:paraId="48DFA8DF" w14:textId="77777777" w:rsidTr="0001799E">
        <w:tc>
          <w:tcPr>
            <w:tcW w:w="720" w:type="dxa"/>
            <w:tcBorders>
              <w:top w:val="nil"/>
              <w:left w:val="nil"/>
              <w:bottom w:val="nil"/>
              <w:right w:val="nil"/>
            </w:tcBorders>
          </w:tcPr>
          <w:p w14:paraId="72A4198E" w14:textId="77777777" w:rsidR="00D45F11" w:rsidRPr="00856CFF" w:rsidRDefault="00D45F11" w:rsidP="0001799E">
            <w:pPr>
              <w:rPr>
                <w:sz w:val="16"/>
                <w:szCs w:val="16"/>
              </w:rPr>
            </w:pPr>
            <w:r w:rsidRPr="00856CFF">
              <w:rPr>
                <w:sz w:val="16"/>
                <w:szCs w:val="16"/>
              </w:rPr>
              <w:sym w:font="Symbol" w:char="F073"/>
            </w:r>
          </w:p>
        </w:tc>
        <w:tc>
          <w:tcPr>
            <w:tcW w:w="1710" w:type="dxa"/>
            <w:tcBorders>
              <w:top w:val="nil"/>
              <w:left w:val="nil"/>
              <w:bottom w:val="nil"/>
              <w:right w:val="nil"/>
            </w:tcBorders>
          </w:tcPr>
          <w:p w14:paraId="1C75640F" w14:textId="77777777" w:rsidR="00D45F11" w:rsidRDefault="00D45F11" w:rsidP="0001799E">
            <w:pPr>
              <w:rPr>
                <w:sz w:val="16"/>
                <w:szCs w:val="16"/>
              </w:rPr>
            </w:pPr>
            <w:r>
              <w:rPr>
                <w:sz w:val="16"/>
                <w:szCs w:val="16"/>
              </w:rPr>
              <w:t>specific magnetization</w:t>
            </w:r>
          </w:p>
        </w:tc>
        <w:tc>
          <w:tcPr>
            <w:tcW w:w="2394" w:type="dxa"/>
            <w:tcBorders>
              <w:top w:val="nil"/>
              <w:left w:val="nil"/>
              <w:bottom w:val="nil"/>
              <w:right w:val="nil"/>
            </w:tcBorders>
          </w:tcPr>
          <w:p w14:paraId="5E8C5682" w14:textId="77777777" w:rsidR="00D45F11" w:rsidRDefault="00D45F11" w:rsidP="0001799E">
            <w:pPr>
              <w:rPr>
                <w:sz w:val="16"/>
                <w:szCs w:val="16"/>
              </w:rPr>
            </w:pPr>
            <w:r>
              <w:rPr>
                <w:sz w:val="16"/>
                <w:szCs w:val="16"/>
              </w:rPr>
              <w:t>1 erg/(</w:t>
            </w:r>
            <w:proofErr w:type="spellStart"/>
            <w:r>
              <w:rPr>
                <w:sz w:val="16"/>
                <w:szCs w:val="16"/>
              </w:rPr>
              <w:t>G·g</w:t>
            </w:r>
            <w:proofErr w:type="spellEnd"/>
            <w:r>
              <w:rPr>
                <w:sz w:val="16"/>
                <w:szCs w:val="16"/>
              </w:rPr>
              <w:t xml:space="preserve">) = 1 emu/g </w:t>
            </w:r>
            <w:r>
              <w:rPr>
                <w:sz w:val="16"/>
                <w:szCs w:val="16"/>
              </w:rPr>
              <w:sym w:font="Symbol" w:char="F0AE"/>
            </w:r>
            <w:r>
              <w:rPr>
                <w:sz w:val="16"/>
                <w:szCs w:val="16"/>
              </w:rPr>
              <w:t xml:space="preserve"> 1 A·m</w:t>
            </w:r>
            <w:r>
              <w:rPr>
                <w:sz w:val="16"/>
                <w:szCs w:val="16"/>
                <w:vertAlign w:val="superscript"/>
              </w:rPr>
              <w:t>2</w:t>
            </w:r>
            <w:r>
              <w:rPr>
                <w:sz w:val="16"/>
                <w:szCs w:val="16"/>
              </w:rPr>
              <w:t>/kg</w:t>
            </w:r>
          </w:p>
        </w:tc>
      </w:tr>
      <w:tr w:rsidR="00D45F11" w14:paraId="4D91A1DA" w14:textId="77777777" w:rsidTr="0001799E">
        <w:tc>
          <w:tcPr>
            <w:tcW w:w="720" w:type="dxa"/>
            <w:tcBorders>
              <w:top w:val="nil"/>
              <w:left w:val="nil"/>
              <w:bottom w:val="nil"/>
              <w:right w:val="nil"/>
            </w:tcBorders>
          </w:tcPr>
          <w:p w14:paraId="475E3F37"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05ABF069" w14:textId="77777777" w:rsidR="00D45F11" w:rsidRDefault="00D45F11" w:rsidP="0001799E">
            <w:pPr>
              <w:rPr>
                <w:sz w:val="16"/>
                <w:szCs w:val="16"/>
              </w:rPr>
            </w:pPr>
            <w:r>
              <w:rPr>
                <w:sz w:val="16"/>
                <w:szCs w:val="16"/>
              </w:rPr>
              <w:t xml:space="preserve">magnetic dipole </w:t>
            </w:r>
          </w:p>
          <w:p w14:paraId="30328DF0" w14:textId="77777777" w:rsidR="00D45F11" w:rsidRDefault="00D45F11" w:rsidP="0001799E">
            <w:pPr>
              <w:rPr>
                <w:sz w:val="16"/>
                <w:szCs w:val="16"/>
              </w:rPr>
            </w:pPr>
            <w:r>
              <w:rPr>
                <w:sz w:val="16"/>
                <w:szCs w:val="16"/>
              </w:rPr>
              <w:t xml:space="preserve">  moment</w:t>
            </w:r>
          </w:p>
        </w:tc>
        <w:tc>
          <w:tcPr>
            <w:tcW w:w="2394" w:type="dxa"/>
            <w:tcBorders>
              <w:top w:val="nil"/>
              <w:left w:val="nil"/>
              <w:bottom w:val="nil"/>
              <w:right w:val="nil"/>
            </w:tcBorders>
          </w:tcPr>
          <w:p w14:paraId="1E7C06F5" w14:textId="77777777" w:rsidR="00D45F11" w:rsidRDefault="00D45F11" w:rsidP="0001799E">
            <w:pPr>
              <w:rPr>
                <w:sz w:val="16"/>
                <w:szCs w:val="16"/>
              </w:rPr>
            </w:pPr>
            <w:r>
              <w:rPr>
                <w:sz w:val="16"/>
                <w:szCs w:val="16"/>
              </w:rPr>
              <w:t xml:space="preserve">1 erg/G = 1 emu </w:t>
            </w:r>
          </w:p>
          <w:p w14:paraId="1723A585"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10</w:t>
            </w:r>
            <w:r>
              <w:rPr>
                <w:sz w:val="16"/>
                <w:szCs w:val="16"/>
              </w:rPr>
              <w:t xml:space="preserve"> </w:t>
            </w:r>
            <w:proofErr w:type="spellStart"/>
            <w:r>
              <w:rPr>
                <w:sz w:val="16"/>
                <w:szCs w:val="16"/>
              </w:rPr>
              <w:t>Wb·m</w:t>
            </w:r>
            <w:proofErr w:type="spellEnd"/>
          </w:p>
        </w:tc>
      </w:tr>
      <w:tr w:rsidR="00D45F11" w14:paraId="3E327722" w14:textId="77777777" w:rsidTr="0001799E">
        <w:tc>
          <w:tcPr>
            <w:tcW w:w="720" w:type="dxa"/>
            <w:tcBorders>
              <w:top w:val="nil"/>
              <w:left w:val="nil"/>
              <w:bottom w:val="nil"/>
              <w:right w:val="nil"/>
            </w:tcBorders>
          </w:tcPr>
          <w:p w14:paraId="66FB0D6C" w14:textId="77777777" w:rsidR="00D45F11" w:rsidRPr="00856CFF" w:rsidRDefault="00D45F11" w:rsidP="0001799E">
            <w:pPr>
              <w:rPr>
                <w:i/>
                <w:iCs/>
                <w:sz w:val="16"/>
                <w:szCs w:val="16"/>
              </w:rPr>
            </w:pPr>
            <w:r w:rsidRPr="00856CFF">
              <w:rPr>
                <w:i/>
                <w:iCs/>
                <w:sz w:val="16"/>
                <w:szCs w:val="16"/>
              </w:rPr>
              <w:t>J</w:t>
            </w:r>
          </w:p>
        </w:tc>
        <w:tc>
          <w:tcPr>
            <w:tcW w:w="1710" w:type="dxa"/>
            <w:tcBorders>
              <w:top w:val="nil"/>
              <w:left w:val="nil"/>
              <w:bottom w:val="nil"/>
              <w:right w:val="nil"/>
            </w:tcBorders>
          </w:tcPr>
          <w:p w14:paraId="483ED149" w14:textId="77777777" w:rsidR="00D45F11" w:rsidRDefault="00D45F11" w:rsidP="0001799E">
            <w:pPr>
              <w:rPr>
                <w:sz w:val="16"/>
                <w:szCs w:val="16"/>
              </w:rPr>
            </w:pPr>
            <w:r>
              <w:rPr>
                <w:sz w:val="16"/>
                <w:szCs w:val="16"/>
              </w:rPr>
              <w:t>magnetic polarization</w:t>
            </w:r>
          </w:p>
        </w:tc>
        <w:tc>
          <w:tcPr>
            <w:tcW w:w="2394" w:type="dxa"/>
            <w:tcBorders>
              <w:top w:val="nil"/>
              <w:left w:val="nil"/>
              <w:bottom w:val="nil"/>
              <w:right w:val="nil"/>
            </w:tcBorders>
          </w:tcPr>
          <w:p w14:paraId="2CEFAA53" w14:textId="77777777" w:rsidR="00D45F11" w:rsidRDefault="00D45F11" w:rsidP="0001799E">
            <w:pPr>
              <w:rPr>
                <w:sz w:val="16"/>
                <w:szCs w:val="16"/>
              </w:rPr>
            </w:pPr>
            <w:r>
              <w:rPr>
                <w:sz w:val="16"/>
                <w:szCs w:val="16"/>
              </w:rPr>
              <w:t>1 erg/(G·cm</w:t>
            </w:r>
            <w:r>
              <w:rPr>
                <w:sz w:val="16"/>
                <w:szCs w:val="16"/>
                <w:vertAlign w:val="superscript"/>
              </w:rPr>
              <w:t>3</w:t>
            </w:r>
            <w:r>
              <w:rPr>
                <w:sz w:val="16"/>
                <w:szCs w:val="16"/>
              </w:rPr>
              <w:t>) = 1 emu/cm</w:t>
            </w:r>
            <w:r>
              <w:rPr>
                <w:sz w:val="16"/>
                <w:szCs w:val="16"/>
                <w:vertAlign w:val="superscript"/>
              </w:rPr>
              <w:t>3</w:t>
            </w:r>
          </w:p>
          <w:p w14:paraId="0165EC9A" w14:textId="77777777" w:rsidR="00D45F11" w:rsidRDefault="00D45F11" w:rsidP="0001799E">
            <w:pPr>
              <w:rPr>
                <w:sz w:val="16"/>
                <w:szCs w:val="16"/>
              </w:rPr>
            </w:pPr>
            <w:r>
              <w:rPr>
                <w:sz w:val="16"/>
                <w:szCs w:val="16"/>
              </w:rPr>
              <w:t xml:space="preserve">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4</w:t>
            </w:r>
            <w:r>
              <w:rPr>
                <w:sz w:val="16"/>
                <w:szCs w:val="16"/>
              </w:rPr>
              <w:t xml:space="preserve"> T</w:t>
            </w:r>
          </w:p>
        </w:tc>
      </w:tr>
      <w:tr w:rsidR="00D45F11" w14:paraId="26FD5EB4" w14:textId="77777777" w:rsidTr="0001799E">
        <w:tc>
          <w:tcPr>
            <w:tcW w:w="720" w:type="dxa"/>
            <w:tcBorders>
              <w:top w:val="nil"/>
              <w:left w:val="nil"/>
              <w:bottom w:val="nil"/>
              <w:right w:val="nil"/>
            </w:tcBorders>
          </w:tcPr>
          <w:p w14:paraId="31112D1E" w14:textId="77777777" w:rsidR="00D45F11" w:rsidRPr="00856CFF" w:rsidRDefault="00D45F11" w:rsidP="0001799E">
            <w:pPr>
              <w:rPr>
                <w:sz w:val="16"/>
                <w:szCs w:val="16"/>
              </w:rPr>
            </w:pPr>
            <w:r w:rsidRPr="00856CFF">
              <w:rPr>
                <w:sz w:val="16"/>
                <w:szCs w:val="16"/>
              </w:rPr>
              <w:sym w:font="Symbol" w:char="F063"/>
            </w:r>
            <w:r w:rsidRPr="00856CFF">
              <w:rPr>
                <w:i/>
                <w:iCs/>
                <w:sz w:val="16"/>
                <w:szCs w:val="16"/>
              </w:rPr>
              <w:t>,</w:t>
            </w:r>
            <w:r w:rsidRPr="00856CFF">
              <w:rPr>
                <w:sz w:val="16"/>
                <w:szCs w:val="16"/>
              </w:rPr>
              <w:t xml:space="preserve"> </w:t>
            </w:r>
            <w:r w:rsidRPr="00856CFF">
              <w:rPr>
                <w:sz w:val="16"/>
                <w:szCs w:val="16"/>
              </w:rPr>
              <w:sym w:font="Symbol" w:char="F06B"/>
            </w:r>
          </w:p>
        </w:tc>
        <w:tc>
          <w:tcPr>
            <w:tcW w:w="1710" w:type="dxa"/>
            <w:tcBorders>
              <w:top w:val="nil"/>
              <w:left w:val="nil"/>
              <w:bottom w:val="nil"/>
              <w:right w:val="nil"/>
            </w:tcBorders>
          </w:tcPr>
          <w:p w14:paraId="7AFCAE10" w14:textId="77777777" w:rsidR="00D45F11" w:rsidRDefault="00D45F11" w:rsidP="0001799E">
            <w:pPr>
              <w:rPr>
                <w:sz w:val="16"/>
                <w:szCs w:val="16"/>
              </w:rPr>
            </w:pPr>
            <w:r>
              <w:rPr>
                <w:sz w:val="16"/>
                <w:szCs w:val="16"/>
              </w:rPr>
              <w:t>susceptibility</w:t>
            </w:r>
          </w:p>
        </w:tc>
        <w:tc>
          <w:tcPr>
            <w:tcW w:w="2394" w:type="dxa"/>
            <w:tcBorders>
              <w:top w:val="nil"/>
              <w:left w:val="nil"/>
              <w:bottom w:val="nil"/>
              <w:right w:val="nil"/>
            </w:tcBorders>
          </w:tcPr>
          <w:p w14:paraId="4AAE97AB"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p>
        </w:tc>
      </w:tr>
      <w:tr w:rsidR="00D45F11" w14:paraId="69C30380" w14:textId="77777777" w:rsidTr="0001799E">
        <w:tc>
          <w:tcPr>
            <w:tcW w:w="720" w:type="dxa"/>
            <w:tcBorders>
              <w:top w:val="nil"/>
              <w:left w:val="nil"/>
              <w:bottom w:val="nil"/>
              <w:right w:val="nil"/>
            </w:tcBorders>
          </w:tcPr>
          <w:p w14:paraId="6126E23A" w14:textId="77777777" w:rsidR="00D45F11" w:rsidRPr="00856CFF" w:rsidRDefault="00D45F11" w:rsidP="0001799E">
            <w:pPr>
              <w:rPr>
                <w:sz w:val="16"/>
                <w:szCs w:val="16"/>
                <w:vertAlign w:val="subscript"/>
              </w:rPr>
            </w:pPr>
            <w:r w:rsidRPr="00856CFF">
              <w:rPr>
                <w:sz w:val="16"/>
                <w:szCs w:val="16"/>
              </w:rPr>
              <w:sym w:font="Symbol" w:char="F063"/>
            </w:r>
            <w:r w:rsidRPr="00856CFF">
              <w:rPr>
                <w:sz w:val="16"/>
                <w:szCs w:val="16"/>
                <w:vertAlign w:val="subscript"/>
              </w:rPr>
              <w:sym w:font="Symbol" w:char="F072"/>
            </w:r>
          </w:p>
        </w:tc>
        <w:tc>
          <w:tcPr>
            <w:tcW w:w="1710" w:type="dxa"/>
            <w:tcBorders>
              <w:top w:val="nil"/>
              <w:left w:val="nil"/>
              <w:bottom w:val="nil"/>
              <w:right w:val="nil"/>
            </w:tcBorders>
          </w:tcPr>
          <w:p w14:paraId="2BC1A5CF" w14:textId="77777777" w:rsidR="00D45F11" w:rsidRDefault="00D45F11" w:rsidP="0001799E">
            <w:pPr>
              <w:rPr>
                <w:sz w:val="16"/>
                <w:szCs w:val="16"/>
              </w:rPr>
            </w:pPr>
            <w:r>
              <w:rPr>
                <w:sz w:val="16"/>
                <w:szCs w:val="16"/>
              </w:rPr>
              <w:t>mass susceptibility</w:t>
            </w:r>
          </w:p>
        </w:tc>
        <w:tc>
          <w:tcPr>
            <w:tcW w:w="2394" w:type="dxa"/>
            <w:tcBorders>
              <w:top w:val="nil"/>
              <w:left w:val="nil"/>
              <w:bottom w:val="nil"/>
              <w:right w:val="nil"/>
            </w:tcBorders>
          </w:tcPr>
          <w:p w14:paraId="3F02CEC4" w14:textId="77777777" w:rsidR="00D45F11" w:rsidRDefault="00D45F11" w:rsidP="0001799E">
            <w:pPr>
              <w:rPr>
                <w:sz w:val="16"/>
                <w:szCs w:val="16"/>
              </w:rPr>
            </w:pPr>
            <w:r>
              <w:rPr>
                <w:sz w:val="16"/>
                <w:szCs w:val="16"/>
              </w:rPr>
              <w:t>1 cm</w:t>
            </w:r>
            <w:r>
              <w:rPr>
                <w:sz w:val="16"/>
                <w:szCs w:val="16"/>
                <w:vertAlign w:val="superscript"/>
              </w:rPr>
              <w:t>3</w:t>
            </w:r>
            <w:r>
              <w:rPr>
                <w:sz w:val="16"/>
                <w:szCs w:val="16"/>
              </w:rPr>
              <w:t xml:space="preserve">/g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3</w:t>
            </w:r>
            <w:r>
              <w:rPr>
                <w:sz w:val="16"/>
                <w:szCs w:val="16"/>
              </w:rPr>
              <w:t xml:space="preserve"> m</w:t>
            </w:r>
            <w:r>
              <w:rPr>
                <w:sz w:val="16"/>
                <w:szCs w:val="16"/>
                <w:vertAlign w:val="superscript"/>
              </w:rPr>
              <w:t>3</w:t>
            </w:r>
            <w:r>
              <w:rPr>
                <w:sz w:val="16"/>
                <w:szCs w:val="16"/>
              </w:rPr>
              <w:t>/kg</w:t>
            </w:r>
          </w:p>
        </w:tc>
      </w:tr>
      <w:tr w:rsidR="00D45F11" w14:paraId="6B3C005B" w14:textId="77777777" w:rsidTr="0001799E">
        <w:tc>
          <w:tcPr>
            <w:tcW w:w="720" w:type="dxa"/>
            <w:tcBorders>
              <w:top w:val="nil"/>
              <w:left w:val="nil"/>
              <w:bottom w:val="nil"/>
              <w:right w:val="nil"/>
            </w:tcBorders>
          </w:tcPr>
          <w:p w14:paraId="796A3E95" w14:textId="77777777" w:rsidR="00D45F11" w:rsidRPr="00856CFF" w:rsidRDefault="00D45F11" w:rsidP="0001799E">
            <w:pPr>
              <w:rPr>
                <w:sz w:val="16"/>
                <w:szCs w:val="16"/>
              </w:rPr>
            </w:pPr>
            <w:r w:rsidRPr="00856CFF">
              <w:rPr>
                <w:sz w:val="16"/>
                <w:szCs w:val="16"/>
              </w:rPr>
              <w:sym w:font="Symbol" w:char="F06D"/>
            </w:r>
          </w:p>
        </w:tc>
        <w:tc>
          <w:tcPr>
            <w:tcW w:w="1710" w:type="dxa"/>
            <w:tcBorders>
              <w:top w:val="nil"/>
              <w:left w:val="nil"/>
              <w:bottom w:val="nil"/>
              <w:right w:val="nil"/>
            </w:tcBorders>
          </w:tcPr>
          <w:p w14:paraId="7BEFC858" w14:textId="77777777" w:rsidR="00D45F11" w:rsidRDefault="00D45F11" w:rsidP="0001799E">
            <w:pPr>
              <w:rPr>
                <w:sz w:val="16"/>
                <w:szCs w:val="16"/>
              </w:rPr>
            </w:pPr>
            <w:r>
              <w:rPr>
                <w:sz w:val="16"/>
                <w:szCs w:val="16"/>
              </w:rPr>
              <w:t>permeability</w:t>
            </w:r>
          </w:p>
        </w:tc>
        <w:tc>
          <w:tcPr>
            <w:tcW w:w="2394" w:type="dxa"/>
            <w:tcBorders>
              <w:top w:val="nil"/>
              <w:left w:val="nil"/>
              <w:bottom w:val="nil"/>
              <w:right w:val="nil"/>
            </w:tcBorders>
          </w:tcPr>
          <w:p w14:paraId="38E5DFAA"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H/m </w:t>
            </w:r>
          </w:p>
          <w:p w14:paraId="65C254CC" w14:textId="77777777" w:rsidR="00D45F11" w:rsidRDefault="00D45F11" w:rsidP="0001799E">
            <w:pPr>
              <w:rPr>
                <w:sz w:val="16"/>
                <w:szCs w:val="16"/>
              </w:rPr>
            </w:pPr>
            <w:r>
              <w:rPr>
                <w:sz w:val="16"/>
                <w:szCs w:val="16"/>
              </w:rPr>
              <w:t xml:space="preserve">  = 4</w:t>
            </w:r>
            <w:r>
              <w:rPr>
                <w:sz w:val="16"/>
                <w:szCs w:val="16"/>
              </w:rPr>
              <w:sym w:font="Symbol" w:char="F070"/>
            </w:r>
            <w:r>
              <w:rPr>
                <w:sz w:val="16"/>
                <w:szCs w:val="16"/>
              </w:rPr>
              <w:t xml:space="preserve"> </w:t>
            </w:r>
            <w:r>
              <w:rPr>
                <w:sz w:val="16"/>
                <w:szCs w:val="16"/>
              </w:rPr>
              <w:sym w:font="Symbol" w:char="F0B4"/>
            </w:r>
            <w:r>
              <w:rPr>
                <w:sz w:val="16"/>
                <w:szCs w:val="16"/>
              </w:rPr>
              <w:t xml:space="preserve"> 10</w:t>
            </w:r>
            <w:r>
              <w:rPr>
                <w:sz w:val="16"/>
                <w:szCs w:val="16"/>
                <w:vertAlign w:val="superscript"/>
              </w:rPr>
              <w:sym w:font="Symbol" w:char="F02D"/>
            </w:r>
            <w:r>
              <w:rPr>
                <w:sz w:val="16"/>
                <w:szCs w:val="16"/>
                <w:vertAlign w:val="superscript"/>
              </w:rPr>
              <w:t>7</w:t>
            </w:r>
            <w:r>
              <w:rPr>
                <w:sz w:val="16"/>
                <w:szCs w:val="16"/>
              </w:rPr>
              <w:t xml:space="preserve"> Wb/(</w:t>
            </w:r>
            <w:proofErr w:type="spellStart"/>
            <w:r>
              <w:rPr>
                <w:sz w:val="16"/>
                <w:szCs w:val="16"/>
              </w:rPr>
              <w:t>A·m</w:t>
            </w:r>
            <w:proofErr w:type="spellEnd"/>
            <w:r>
              <w:rPr>
                <w:sz w:val="16"/>
                <w:szCs w:val="16"/>
              </w:rPr>
              <w:t>)</w:t>
            </w:r>
          </w:p>
        </w:tc>
      </w:tr>
      <w:tr w:rsidR="00D45F11" w14:paraId="238F80A8" w14:textId="77777777" w:rsidTr="0001799E">
        <w:tc>
          <w:tcPr>
            <w:tcW w:w="720" w:type="dxa"/>
            <w:tcBorders>
              <w:top w:val="nil"/>
              <w:left w:val="nil"/>
              <w:bottom w:val="nil"/>
              <w:right w:val="nil"/>
            </w:tcBorders>
          </w:tcPr>
          <w:p w14:paraId="77E692A0" w14:textId="77777777" w:rsidR="00D45F11" w:rsidRPr="00856CFF" w:rsidRDefault="00D45F11" w:rsidP="0001799E">
            <w:pPr>
              <w:rPr>
                <w:sz w:val="16"/>
                <w:szCs w:val="16"/>
              </w:rPr>
            </w:pPr>
            <w:r w:rsidRPr="00856CFF">
              <w:rPr>
                <w:sz w:val="16"/>
                <w:szCs w:val="16"/>
              </w:rPr>
              <w:sym w:font="Symbol" w:char="F06D"/>
            </w:r>
            <w:r w:rsidRPr="00856CFF">
              <w:rPr>
                <w:sz w:val="16"/>
                <w:szCs w:val="16"/>
                <w:vertAlign w:val="subscript"/>
              </w:rPr>
              <w:t>r</w:t>
            </w:r>
          </w:p>
        </w:tc>
        <w:tc>
          <w:tcPr>
            <w:tcW w:w="1710" w:type="dxa"/>
            <w:tcBorders>
              <w:top w:val="nil"/>
              <w:left w:val="nil"/>
              <w:bottom w:val="nil"/>
              <w:right w:val="nil"/>
            </w:tcBorders>
          </w:tcPr>
          <w:p w14:paraId="6393EFCC" w14:textId="77777777" w:rsidR="00D45F11" w:rsidRDefault="00D45F11" w:rsidP="0001799E">
            <w:pPr>
              <w:rPr>
                <w:sz w:val="16"/>
                <w:szCs w:val="16"/>
              </w:rPr>
            </w:pPr>
            <w:r>
              <w:rPr>
                <w:sz w:val="16"/>
                <w:szCs w:val="16"/>
              </w:rPr>
              <w:t>relative permeability</w:t>
            </w:r>
          </w:p>
        </w:tc>
        <w:tc>
          <w:tcPr>
            <w:tcW w:w="2394" w:type="dxa"/>
            <w:tcBorders>
              <w:top w:val="nil"/>
              <w:left w:val="nil"/>
              <w:bottom w:val="nil"/>
              <w:right w:val="nil"/>
            </w:tcBorders>
          </w:tcPr>
          <w:p w14:paraId="3D633FB3" w14:textId="77777777" w:rsidR="00D45F11" w:rsidRDefault="00D45F11" w:rsidP="0001799E">
            <w:pPr>
              <w:rPr>
                <w:sz w:val="16"/>
                <w:szCs w:val="16"/>
              </w:rPr>
            </w:pPr>
            <w:r>
              <w:rPr>
                <w:sz w:val="16"/>
                <w:szCs w:val="16"/>
              </w:rPr>
              <w:sym w:font="Symbol" w:char="F06D"/>
            </w:r>
            <w:r>
              <w:rPr>
                <w:sz w:val="16"/>
                <w:szCs w:val="16"/>
              </w:rPr>
              <w:t xml:space="preserve"> </w:t>
            </w:r>
            <w:r>
              <w:rPr>
                <w:sz w:val="16"/>
                <w:szCs w:val="16"/>
              </w:rPr>
              <w:sym w:font="Symbol" w:char="F0AE"/>
            </w:r>
            <w:r>
              <w:rPr>
                <w:sz w:val="16"/>
                <w:szCs w:val="16"/>
              </w:rPr>
              <w:t xml:space="preserve"> </w:t>
            </w:r>
            <w:r>
              <w:rPr>
                <w:sz w:val="16"/>
                <w:szCs w:val="16"/>
              </w:rPr>
              <w:sym w:font="Symbol" w:char="F06D"/>
            </w:r>
            <w:r>
              <w:rPr>
                <w:sz w:val="16"/>
                <w:szCs w:val="16"/>
                <w:vertAlign w:val="subscript"/>
              </w:rPr>
              <w:t>r</w:t>
            </w:r>
          </w:p>
        </w:tc>
      </w:tr>
      <w:tr w:rsidR="00D45F11" w14:paraId="64A04D1B" w14:textId="77777777" w:rsidTr="0001799E">
        <w:tc>
          <w:tcPr>
            <w:tcW w:w="720" w:type="dxa"/>
            <w:tcBorders>
              <w:top w:val="nil"/>
              <w:left w:val="nil"/>
              <w:bottom w:val="nil"/>
              <w:right w:val="nil"/>
            </w:tcBorders>
          </w:tcPr>
          <w:p w14:paraId="53478393" w14:textId="77777777" w:rsidR="00D45F11" w:rsidRPr="00856CFF" w:rsidRDefault="00D45F11" w:rsidP="0001799E">
            <w:pPr>
              <w:rPr>
                <w:i/>
                <w:iCs/>
                <w:sz w:val="16"/>
                <w:szCs w:val="16"/>
              </w:rPr>
            </w:pPr>
            <w:r w:rsidRPr="00856CFF">
              <w:rPr>
                <w:i/>
                <w:iCs/>
                <w:sz w:val="16"/>
                <w:szCs w:val="16"/>
              </w:rPr>
              <w:t>w, W</w:t>
            </w:r>
          </w:p>
        </w:tc>
        <w:tc>
          <w:tcPr>
            <w:tcW w:w="1710" w:type="dxa"/>
            <w:tcBorders>
              <w:top w:val="nil"/>
              <w:left w:val="nil"/>
              <w:bottom w:val="nil"/>
              <w:right w:val="nil"/>
            </w:tcBorders>
          </w:tcPr>
          <w:p w14:paraId="798F705F" w14:textId="77777777" w:rsidR="00D45F11" w:rsidRDefault="00D45F11" w:rsidP="0001799E">
            <w:pPr>
              <w:rPr>
                <w:sz w:val="16"/>
                <w:szCs w:val="16"/>
              </w:rPr>
            </w:pPr>
            <w:r>
              <w:rPr>
                <w:sz w:val="16"/>
                <w:szCs w:val="16"/>
              </w:rPr>
              <w:t>energy density</w:t>
            </w:r>
          </w:p>
        </w:tc>
        <w:tc>
          <w:tcPr>
            <w:tcW w:w="2394" w:type="dxa"/>
            <w:tcBorders>
              <w:top w:val="nil"/>
              <w:left w:val="nil"/>
              <w:bottom w:val="nil"/>
              <w:right w:val="nil"/>
            </w:tcBorders>
          </w:tcPr>
          <w:p w14:paraId="0ED6E1C7" w14:textId="77777777" w:rsidR="00D45F11" w:rsidRDefault="00D45F11" w:rsidP="0001799E">
            <w:pPr>
              <w:rPr>
                <w:sz w:val="16"/>
                <w:szCs w:val="16"/>
                <w:vertAlign w:val="superscript"/>
              </w:rPr>
            </w:pPr>
            <w:r>
              <w:rPr>
                <w:sz w:val="16"/>
                <w:szCs w:val="16"/>
              </w:rPr>
              <w:t>1 erg/cm</w:t>
            </w:r>
            <w:r>
              <w:rPr>
                <w:sz w:val="16"/>
                <w:szCs w:val="16"/>
                <w:vertAlign w:val="superscript"/>
              </w:rPr>
              <w:t>3</w:t>
            </w:r>
            <w:r>
              <w:rPr>
                <w:sz w:val="16"/>
                <w:szCs w:val="16"/>
              </w:rPr>
              <w:t xml:space="preserve"> </w:t>
            </w:r>
            <w:r>
              <w:rPr>
                <w:sz w:val="16"/>
                <w:szCs w:val="16"/>
              </w:rPr>
              <w:sym w:font="Symbol" w:char="F0AE"/>
            </w:r>
            <w:r>
              <w:rPr>
                <w:sz w:val="16"/>
                <w:szCs w:val="16"/>
              </w:rPr>
              <w:t xml:space="preserve"> 10</w:t>
            </w:r>
            <w:r>
              <w:rPr>
                <w:sz w:val="16"/>
                <w:szCs w:val="16"/>
                <w:vertAlign w:val="superscript"/>
              </w:rPr>
              <w:sym w:font="Symbol" w:char="F02D"/>
            </w:r>
            <w:r>
              <w:rPr>
                <w:sz w:val="16"/>
                <w:szCs w:val="16"/>
                <w:vertAlign w:val="superscript"/>
              </w:rPr>
              <w:t>1</w:t>
            </w:r>
            <w:r>
              <w:rPr>
                <w:sz w:val="16"/>
                <w:szCs w:val="16"/>
              </w:rPr>
              <w:t xml:space="preserve"> J/m</w:t>
            </w:r>
            <w:r>
              <w:rPr>
                <w:sz w:val="16"/>
                <w:szCs w:val="16"/>
                <w:vertAlign w:val="superscript"/>
              </w:rPr>
              <w:t>3</w:t>
            </w:r>
          </w:p>
        </w:tc>
      </w:tr>
      <w:tr w:rsidR="00D45F11" w14:paraId="07DF0D53" w14:textId="77777777" w:rsidTr="00B61FC1">
        <w:trPr>
          <w:trHeight w:val="141"/>
        </w:trPr>
        <w:tc>
          <w:tcPr>
            <w:tcW w:w="720" w:type="dxa"/>
            <w:tcBorders>
              <w:top w:val="nil"/>
              <w:left w:val="nil"/>
              <w:bottom w:val="double" w:sz="6" w:space="0" w:color="auto"/>
              <w:right w:val="nil"/>
            </w:tcBorders>
          </w:tcPr>
          <w:p w14:paraId="74BAFF63" w14:textId="77777777" w:rsidR="00D45F11" w:rsidRPr="00856CFF" w:rsidRDefault="00D45F11" w:rsidP="0001799E">
            <w:pPr>
              <w:rPr>
                <w:i/>
                <w:iCs/>
                <w:sz w:val="16"/>
                <w:szCs w:val="16"/>
              </w:rPr>
            </w:pPr>
            <w:r w:rsidRPr="00856CFF">
              <w:rPr>
                <w:i/>
                <w:iCs/>
                <w:sz w:val="16"/>
                <w:szCs w:val="16"/>
              </w:rPr>
              <w:t>N, D</w:t>
            </w:r>
          </w:p>
        </w:tc>
        <w:tc>
          <w:tcPr>
            <w:tcW w:w="1710" w:type="dxa"/>
            <w:tcBorders>
              <w:top w:val="nil"/>
              <w:left w:val="nil"/>
              <w:bottom w:val="double" w:sz="6" w:space="0" w:color="auto"/>
              <w:right w:val="nil"/>
            </w:tcBorders>
          </w:tcPr>
          <w:p w14:paraId="44E47F76" w14:textId="77777777" w:rsidR="00D45F11" w:rsidRDefault="00D45F11" w:rsidP="0001799E">
            <w:pPr>
              <w:rPr>
                <w:sz w:val="16"/>
                <w:szCs w:val="16"/>
              </w:rPr>
            </w:pPr>
            <w:r>
              <w:rPr>
                <w:sz w:val="16"/>
                <w:szCs w:val="16"/>
              </w:rPr>
              <w:t>demagnetizing factor</w:t>
            </w:r>
          </w:p>
        </w:tc>
        <w:tc>
          <w:tcPr>
            <w:tcW w:w="2394" w:type="dxa"/>
            <w:tcBorders>
              <w:top w:val="nil"/>
              <w:left w:val="nil"/>
              <w:bottom w:val="double" w:sz="6" w:space="0" w:color="auto"/>
              <w:right w:val="nil"/>
            </w:tcBorders>
          </w:tcPr>
          <w:p w14:paraId="0CFAAD82" w14:textId="77777777" w:rsidR="00D45F11" w:rsidRDefault="00D45F11" w:rsidP="0001799E">
            <w:pPr>
              <w:rPr>
                <w:sz w:val="16"/>
                <w:szCs w:val="16"/>
              </w:rPr>
            </w:pPr>
            <w:r>
              <w:rPr>
                <w:sz w:val="16"/>
                <w:szCs w:val="16"/>
              </w:rPr>
              <w:t xml:space="preserve">1 </w:t>
            </w:r>
            <w:r>
              <w:rPr>
                <w:sz w:val="16"/>
                <w:szCs w:val="16"/>
              </w:rPr>
              <w:sym w:font="Symbol" w:char="F0AE"/>
            </w:r>
            <w:r>
              <w:rPr>
                <w:sz w:val="16"/>
                <w:szCs w:val="16"/>
              </w:rPr>
              <w:t xml:space="preserve"> 1</w:t>
            </w:r>
            <w:proofErr w:type="gramStart"/>
            <w:r>
              <w:rPr>
                <w:sz w:val="16"/>
                <w:szCs w:val="16"/>
              </w:rPr>
              <w:t>/(</w:t>
            </w:r>
            <w:proofErr w:type="gramEnd"/>
            <w:r>
              <w:rPr>
                <w:sz w:val="16"/>
                <w:szCs w:val="16"/>
              </w:rPr>
              <w:t>4</w:t>
            </w:r>
            <w:r>
              <w:rPr>
                <w:sz w:val="16"/>
                <w:szCs w:val="16"/>
              </w:rPr>
              <w:sym w:font="Symbol" w:char="F070"/>
            </w:r>
            <w:r>
              <w:rPr>
                <w:sz w:val="16"/>
                <w:szCs w:val="16"/>
              </w:rPr>
              <w:t>)</w:t>
            </w:r>
          </w:p>
        </w:tc>
      </w:tr>
    </w:tbl>
    <w:bookmarkEnd w:id="1"/>
    <w:p w14:paraId="130EEC5E" w14:textId="77777777" w:rsidR="00D45F11" w:rsidRDefault="00D45F11" w:rsidP="00D45F11">
      <w:pPr>
        <w:pStyle w:val="FootnoteText"/>
      </w:pPr>
      <w:r>
        <w:t xml:space="preserve">Vertical lines are optional in tables. Statements that serve as captions for the entire table do not need footnote letters. </w:t>
      </w:r>
    </w:p>
    <w:p w14:paraId="3E8E8301" w14:textId="77777777" w:rsidR="00D45F11" w:rsidRDefault="00D45F11" w:rsidP="00D45F11">
      <w:pPr>
        <w:pStyle w:val="FootnoteText"/>
      </w:pPr>
      <w:proofErr w:type="spellStart"/>
      <w:r w:rsidRPr="00D45F11">
        <w:rPr>
          <w:vertAlign w:val="superscript"/>
        </w:rPr>
        <w:t>a</w:t>
      </w:r>
      <w:r>
        <w:t>Gaussian</w:t>
      </w:r>
      <w:proofErr w:type="spellEnd"/>
      <w:r>
        <w:t xml:space="preserve"> units are the same as cg emu for magnetostatics; Mx = maxwell, G = gauss, Oe = oersted; Wb = weber, V = volt, s = second, T = tesla, m = meter, A = ampere, J = joule, kg = kilogram, H = henry.</w:t>
      </w:r>
    </w:p>
    <w:p w14:paraId="7C448152" w14:textId="77777777" w:rsidR="00BE0B38" w:rsidRPr="00565A4C" w:rsidRDefault="005C261D" w:rsidP="00E26C9C">
      <w:pPr>
        <w:pStyle w:val="H2Cont"/>
        <w:spacing w:before="530"/>
      </w:pPr>
      <w:r w:rsidRPr="00565A4C">
        <w:t>MULTIPART FIGURES</w:t>
      </w:r>
    </w:p>
    <w:p w14:paraId="6B221D53" w14:textId="77777777" w:rsidR="00F70DB5" w:rsidRPr="00F70DB5" w:rsidRDefault="00F70DB5" w:rsidP="00F70DB5">
      <w:pPr>
        <w:pStyle w:val="PARA"/>
      </w:pPr>
      <w:r w:rsidRPr="00F70DB5">
        <w:t xml:space="preserve">Figures compiled of more than one sub-figure presented side-by-side, or stacked. If a multipart figure is made up of multiple figure types (one part is </w:t>
      </w:r>
      <w:proofErr w:type="spellStart"/>
      <w:r w:rsidRPr="00F70DB5">
        <w:t>lineart</w:t>
      </w:r>
      <w:proofErr w:type="spellEnd"/>
      <w:r w:rsidRPr="00F70DB5">
        <w:t>, and another is grayscale or color) the figure should meet the stricter guidelines.</w:t>
      </w:r>
    </w:p>
    <w:p w14:paraId="16CBE0C8" w14:textId="77777777" w:rsidR="00D45F11" w:rsidRPr="00D45F11" w:rsidRDefault="005C261D" w:rsidP="00200B38">
      <w:pPr>
        <w:pStyle w:val="H2Cont"/>
        <w:spacing w:before="270"/>
      </w:pPr>
      <w:r w:rsidRPr="00D45F11">
        <w:t>FILE FORMATS FOR GRAPHICS</w:t>
      </w:r>
    </w:p>
    <w:p w14:paraId="267B143A" w14:textId="77777777" w:rsidR="00F70DB5" w:rsidRPr="00113F26" w:rsidRDefault="00D45F11" w:rsidP="00D45F11">
      <w:pPr>
        <w:pStyle w:val="PARA"/>
      </w:pPr>
      <w:r w:rsidRPr="00D45F11">
        <w:t>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14:paraId="5AC3B80E" w14:textId="77777777" w:rsidR="00BC4302" w:rsidRPr="00040C78" w:rsidRDefault="00BC4302" w:rsidP="00565A4C">
      <w:pPr>
        <w:pStyle w:val="H2AfterH1"/>
        <w:numPr>
          <w:ilvl w:val="0"/>
          <w:numId w:val="38"/>
        </w:numPr>
        <w:sectPr w:rsidR="00BC4302" w:rsidRPr="00040C78" w:rsidSect="00CB2DB1">
          <w:footerReference w:type="default" r:id="rId14"/>
          <w:type w:val="continuous"/>
          <w:pgSz w:w="11520" w:h="15660" w:code="1"/>
          <w:pgMar w:top="1300" w:right="740" w:bottom="1040" w:left="740" w:header="360" w:footer="640" w:gutter="0"/>
          <w:cols w:num="2" w:space="400"/>
          <w:docGrid w:linePitch="360"/>
        </w:sectPr>
      </w:pPr>
    </w:p>
    <w:p w14:paraId="2178D9C3" w14:textId="77777777" w:rsidR="00457310" w:rsidRPr="005902A9" w:rsidRDefault="00457310" w:rsidP="005902A9">
      <w:pPr>
        <w:pStyle w:val="H2Cont"/>
        <w:spacing w:before="0"/>
      </w:pPr>
      <w:r w:rsidRPr="005902A9">
        <w:br w:type="page"/>
      </w:r>
      <w:r w:rsidR="005C261D" w:rsidRPr="005902A9">
        <w:lastRenderedPageBreak/>
        <w:t>SIZING OF GRAPHICS</w:t>
      </w:r>
    </w:p>
    <w:p w14:paraId="3446DE2A" w14:textId="77777777" w:rsidR="00F70DB5" w:rsidRPr="00113F26" w:rsidRDefault="00457310" w:rsidP="00457310">
      <w:pPr>
        <w:pStyle w:val="PARA"/>
      </w:pPr>
      <w:r w:rsidRPr="00457310">
        <w:t>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w:t>
      </w:r>
    </w:p>
    <w:p w14:paraId="1DC5C04F" w14:textId="77777777" w:rsidR="00457310" w:rsidRPr="00457310" w:rsidRDefault="00457310" w:rsidP="00457310">
      <w:pPr>
        <w:pStyle w:val="PARAIndent"/>
      </w:pPr>
      <w:r w:rsidRPr="00457310">
        <w:t xml:space="preserve">There is currently one publication with column measurements that do not coincide with those listed above. Proceedings of the IEEE has a column measurement of 3.25 inches (82.5 millimeters / 19.5 picas). </w:t>
      </w:r>
    </w:p>
    <w:p w14:paraId="466F6260" w14:textId="77777777" w:rsidR="00457310" w:rsidRPr="00457310" w:rsidRDefault="00457310" w:rsidP="00457310">
      <w:pPr>
        <w:pStyle w:val="PARAIndent"/>
      </w:pPr>
      <w:r w:rsidRPr="00457310">
        <w:t xml:space="preserve">The final printed size of author photographs is exactly </w:t>
      </w:r>
      <w:r w:rsidRPr="00457310">
        <w:br/>
        <w:t>1 inch wide by 1.25 inches tall (25.4 millimeters x 31.75 millimeters / 6 picas x 7.5 picas). Author photos printed in editorials measure 1.59 inches wide by 2 inches tall (40 millimeters x 50 millimeters / 9.5 picas x 12 picas).</w:t>
      </w:r>
    </w:p>
    <w:p w14:paraId="3A1DE83F" w14:textId="77777777" w:rsidR="00457310" w:rsidRPr="005902A9" w:rsidRDefault="005C261D" w:rsidP="005902A9">
      <w:pPr>
        <w:pStyle w:val="H2Cont"/>
      </w:pPr>
      <w:r w:rsidRPr="005902A9">
        <w:t>RESOLUTION</w:t>
      </w:r>
    </w:p>
    <w:p w14:paraId="28639DE4" w14:textId="77777777" w:rsidR="00457310" w:rsidRPr="00457310" w:rsidRDefault="00457310" w:rsidP="00457310">
      <w:pPr>
        <w:pStyle w:val="PARA"/>
      </w:pPr>
      <w:r w:rsidRPr="00457310">
        <w:t>The proper resolution of your figures will depend on the type of figure it is as defined in the “Types of Figures” section. Author photographs, color, and grayscale figures should be at least 300dpi. Line art, including tables should be a minimum of 600dpi.</w:t>
      </w:r>
    </w:p>
    <w:p w14:paraId="10AD07FA" w14:textId="77777777" w:rsidR="00457310" w:rsidRPr="005902A9" w:rsidRDefault="00034A7F" w:rsidP="005902A9">
      <w:pPr>
        <w:pStyle w:val="H2Cont"/>
      </w:pPr>
      <w:r w:rsidRPr="005902A9">
        <w:t>VECTOR ART</w:t>
      </w:r>
    </w:p>
    <w:p w14:paraId="5917B49F" w14:textId="77777777" w:rsidR="00457310" w:rsidRPr="00457310" w:rsidRDefault="00457310" w:rsidP="00457310">
      <w:pPr>
        <w:pStyle w:val="PARA"/>
      </w:pPr>
      <w:r w:rsidRPr="00457310">
        <w:t>In order to preserve the figures’ integrity across multiple computer platforms, we accept files in the following formats: .EPS/.PDF/.PS. All fonts must be embedded or text converted to outlines in order to achieve the best-quality results.</w:t>
      </w:r>
    </w:p>
    <w:p w14:paraId="7D791771" w14:textId="77777777" w:rsidR="00457310" w:rsidRPr="005902A9" w:rsidRDefault="00034A7F" w:rsidP="005902A9">
      <w:pPr>
        <w:pStyle w:val="H2Cont"/>
      </w:pPr>
      <w:r w:rsidRPr="005902A9">
        <w:t>COLOR SPACE</w:t>
      </w:r>
    </w:p>
    <w:p w14:paraId="29854888" w14:textId="77777777" w:rsidR="00457310" w:rsidRPr="00457310" w:rsidRDefault="00457310" w:rsidP="00457310">
      <w:pPr>
        <w:pStyle w:val="PARA"/>
      </w:pPr>
      <w:r w:rsidRPr="00457310">
        <w:t>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14:paraId="793C5442" w14:textId="77777777" w:rsidR="00457310" w:rsidRPr="00457310" w:rsidRDefault="00457310" w:rsidP="00457310">
      <w:pPr>
        <w:pStyle w:val="PARAIndent"/>
      </w:pPr>
      <w:r w:rsidRPr="00457310">
        <w:t xml:space="preserve">All color figures should be generated in RGB or CMYK color space. Grayscale images should be submitted in Grayscale color space. Line art may be provided in grayscale OR bitmap </w:t>
      </w:r>
      <w:proofErr w:type="spellStart"/>
      <w:r w:rsidRPr="00457310">
        <w:t>colorspace</w:t>
      </w:r>
      <w:proofErr w:type="spellEnd"/>
      <w:r w:rsidRPr="00457310">
        <w:t xml:space="preserve">. Note that “bitmap </w:t>
      </w:r>
      <w:proofErr w:type="spellStart"/>
      <w:r w:rsidRPr="00457310">
        <w:t>colorspace</w:t>
      </w:r>
      <w:proofErr w:type="spellEnd"/>
      <w:r w:rsidRPr="00457310">
        <w:t>” and “bitmap file format” are not the same thing. When bitmap color space is selected, .TIF/.TIFF/.PNG are the recommended file formats.</w:t>
      </w:r>
    </w:p>
    <w:p w14:paraId="1A79536D" w14:textId="77777777" w:rsidR="00457310" w:rsidRPr="005902A9" w:rsidRDefault="005C261D" w:rsidP="005902A9">
      <w:pPr>
        <w:pStyle w:val="H2Cont"/>
      </w:pPr>
      <w:r w:rsidRPr="005902A9">
        <w:t>ACCEPTED FONTS WITHIN FIGURES</w:t>
      </w:r>
    </w:p>
    <w:p w14:paraId="3B82425B" w14:textId="77777777" w:rsidR="00457310" w:rsidRPr="00457310" w:rsidRDefault="00457310" w:rsidP="00457310">
      <w:pPr>
        <w:pStyle w:val="PARA"/>
      </w:pPr>
      <w:r w:rsidRPr="00457310">
        <w:t xml:space="preserve">When preparing your graphics IEEE suggests that you use of one of the following Open Type fonts: Times New Roman, Helvetica, Arial, Cambria, and Symbol. If you are supplying EPS, PS, or PDF files all fonts must be embedded. Some fonts </w:t>
      </w:r>
      <w:r w:rsidRPr="00457310">
        <w:t>may only be native to your operating system; without the fonts embedded, parts of the graphic may be distorted or missing.</w:t>
      </w:r>
    </w:p>
    <w:p w14:paraId="0F387B06" w14:textId="77777777" w:rsidR="00457310" w:rsidRPr="00457310" w:rsidRDefault="00457310" w:rsidP="00457310">
      <w:pPr>
        <w:pStyle w:val="PARAIndent"/>
      </w:pPr>
      <w:r w:rsidRPr="00457310">
        <w:t>A safe option when finalizing your figures is to strip out the fonts before you save the files, creating “outline” type. This converts fonts to artwork what will appear uniformly on any screen.</w:t>
      </w:r>
    </w:p>
    <w:p w14:paraId="04D4401E" w14:textId="77777777" w:rsidR="002F1D45" w:rsidRPr="005902A9" w:rsidRDefault="005C261D" w:rsidP="00E26C9C">
      <w:pPr>
        <w:pStyle w:val="H2Cont"/>
        <w:spacing w:before="240"/>
      </w:pPr>
      <w:r w:rsidRPr="005902A9">
        <w:t>USING LABELS WITHIN FIGURES</w:t>
      </w:r>
    </w:p>
    <w:p w14:paraId="5DAC7572" w14:textId="77777777" w:rsidR="007E44F5" w:rsidRPr="007E44F5" w:rsidRDefault="002F1D45" w:rsidP="00D96EEF">
      <w:pPr>
        <w:pStyle w:val="H3"/>
        <w:numPr>
          <w:ilvl w:val="0"/>
          <w:numId w:val="17"/>
        </w:numPr>
        <w:spacing w:before="120"/>
      </w:pPr>
      <w:r w:rsidRPr="002F1D45">
        <w:t>Figure Axis labels</w:t>
      </w:r>
    </w:p>
    <w:p w14:paraId="3C22793F" w14:textId="77777777" w:rsidR="002F1D45" w:rsidRPr="00E857A2" w:rsidRDefault="002F1D45" w:rsidP="002F1D45">
      <w:pPr>
        <w:pStyle w:val="PARA"/>
        <w:rPr>
          <w:b/>
        </w:rPr>
      </w:pPr>
      <w:r w:rsidRPr="00E857A2">
        <w:t xml:space="preserve">Figure axis labels are often a source of confusion. Use words rather than symbols. As an example, write the quantity “Magnetization,” or “Magnetization </w:t>
      </w:r>
      <w:r w:rsidRPr="002F1D45">
        <w:rPr>
          <w:rStyle w:val="ITAL"/>
        </w:rPr>
        <w:t>M</w:t>
      </w:r>
      <w:r w:rsidRPr="00E857A2">
        <w:t>,” not just “</w:t>
      </w:r>
      <w:r w:rsidRPr="002F1D45">
        <w:rPr>
          <w:rStyle w:val="ITAL"/>
        </w:rPr>
        <w:t>M</w:t>
      </w:r>
      <w:r w:rsidRPr="00E857A2">
        <w:t>.” Put units in parentheses. Do not label axes only with units. As in Fig. 1, for example, write “Magnetization (A/m)” or “Magnetization (A</w:t>
      </w:r>
      <w:r w:rsidRPr="00E857A2">
        <w:rPr>
          <w:position w:val="-2"/>
        </w:rPr>
        <w:object w:dxaOrig="100" w:dyaOrig="120" w14:anchorId="12D88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5.25pt" o:ole="" fillcolor="window">
            <v:imagedata r:id="rId15" o:title=""/>
          </v:shape>
          <o:OLEObject Type="Embed" ProgID="Equation.3" ShapeID="_x0000_i1025" DrawAspect="Content" ObjectID="_1835294901" r:id="rId16"/>
        </w:object>
      </w:r>
      <w:r w:rsidRPr="00E857A2">
        <w:t>m</w:t>
      </w:r>
      <w:r w:rsidRPr="00E857A2">
        <w:rPr>
          <w:vertAlign w:val="superscript"/>
        </w:rPr>
        <w:sym w:font="Symbol" w:char="F02D"/>
      </w:r>
      <w:r w:rsidRPr="00E857A2">
        <w:rPr>
          <w:vertAlign w:val="superscript"/>
        </w:rPr>
        <w:t>1</w:t>
      </w:r>
      <w:r w:rsidRPr="00E857A2">
        <w:t xml:space="preserve">),” not just “A/m.” Do not label axes with a ratio of quantities and units. For example, write “Temperature (K),” not “Temperature/K.” </w:t>
      </w:r>
    </w:p>
    <w:p w14:paraId="11922FC5" w14:textId="77777777" w:rsidR="002F1D45" w:rsidRPr="00E857A2" w:rsidRDefault="002F1D45" w:rsidP="002F1D45">
      <w:pPr>
        <w:pStyle w:val="PARAIndent"/>
      </w:pPr>
      <w:r w:rsidRPr="00E857A2">
        <w:t>Multipliers can be especially confusing. Write “Magnetization (kA/m)” or “Magnetization (10</w:t>
      </w:r>
      <w:r w:rsidRPr="00E857A2">
        <w:rPr>
          <w:vertAlign w:val="superscript"/>
        </w:rPr>
        <w:t>3</w:t>
      </w:r>
      <w:r w:rsidRPr="00E857A2">
        <w:t xml:space="preserve"> A/m).” Do not write “Magnetization (A/m) </w:t>
      </w:r>
      <w:r w:rsidRPr="00E857A2">
        <w:sym w:font="Symbol" w:char="F0B4"/>
      </w:r>
      <w:r w:rsidRPr="00E857A2">
        <w:t xml:space="preserve"> 1000” because the reader would not know whether the top axis label in Fig. 1 meant 16000 A/m or 0.016 A/m. Figure labels should be legible, approximately </w:t>
      </w:r>
      <w:proofErr w:type="gramStart"/>
      <w:r w:rsidRPr="00E857A2">
        <w:t>8 to 10 point</w:t>
      </w:r>
      <w:proofErr w:type="gramEnd"/>
      <w:r w:rsidRPr="00E857A2">
        <w:t xml:space="preserve"> type.</w:t>
      </w:r>
    </w:p>
    <w:p w14:paraId="303F4FCA" w14:textId="77777777" w:rsidR="00594D78" w:rsidRPr="00594D78" w:rsidRDefault="00594D78" w:rsidP="00D96EEF">
      <w:pPr>
        <w:pStyle w:val="H3"/>
        <w:spacing w:before="120"/>
      </w:pPr>
      <w:r w:rsidRPr="00594D78">
        <w:t>Subfigure Labels in Multipart Figures and Tables</w:t>
      </w:r>
    </w:p>
    <w:p w14:paraId="07E4CD35" w14:textId="77777777" w:rsidR="00594D78" w:rsidRPr="00E857A2" w:rsidRDefault="00594D78" w:rsidP="00594D78">
      <w:pPr>
        <w:pStyle w:val="PARA"/>
      </w:pPr>
      <w:r w:rsidRPr="00113F26">
        <w:t xml:space="preserve">Multipart figures should be combined and labeled before final submission. Labels should appear centered below each subfigure in </w:t>
      </w:r>
      <w:proofErr w:type="gramStart"/>
      <w:r w:rsidRPr="00113F26">
        <w:t>8 point</w:t>
      </w:r>
      <w:proofErr w:type="gramEnd"/>
      <w:r w:rsidRPr="00113F26">
        <w:t xml:space="preserve"> Times New Roman font in the format of (a) (b) (c). </w:t>
      </w:r>
    </w:p>
    <w:p w14:paraId="6FA10F0B" w14:textId="77777777" w:rsidR="00594D78" w:rsidRPr="005902A9" w:rsidRDefault="005C261D" w:rsidP="00E26C9C">
      <w:pPr>
        <w:pStyle w:val="H2Cont"/>
        <w:spacing w:before="280"/>
      </w:pPr>
      <w:r w:rsidRPr="005902A9">
        <w:t>FILE NAMING</w:t>
      </w:r>
    </w:p>
    <w:p w14:paraId="10CAF9F5" w14:textId="77777777" w:rsidR="00594D78" w:rsidRPr="00594D78" w:rsidRDefault="00594D78" w:rsidP="00594D78">
      <w:pPr>
        <w:pStyle w:val="PARA"/>
      </w:pPr>
      <w:r w:rsidRPr="00594D78">
        <w:t>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w:t>
      </w:r>
    </w:p>
    <w:p w14:paraId="55E3E147" w14:textId="77777777" w:rsidR="00594D78" w:rsidRPr="00731485" w:rsidRDefault="00594D78" w:rsidP="00594D78">
      <w:pPr>
        <w:pStyle w:val="PARAIndent"/>
        <w:rPr>
          <w:spacing w:val="0"/>
        </w:rPr>
      </w:pPr>
      <w:r w:rsidRPr="00731485">
        <w:rPr>
          <w:spacing w:val="0"/>
        </w:rPr>
        <w:t>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14:paraId="22464041" w14:textId="77777777" w:rsidR="00594D78" w:rsidRPr="00594D78" w:rsidRDefault="00594D78" w:rsidP="00594D78">
      <w:pPr>
        <w:pStyle w:val="PARAIndent"/>
      </w:pPr>
      <w:r w:rsidRPr="00594D78">
        <w:t xml:space="preserve">Author photographs should be named using the first five characters of the pictured author’s last name. For example, four author photographs for a paper may be named: oppen.ps, </w:t>
      </w:r>
      <w:proofErr w:type="spellStart"/>
      <w:r w:rsidRPr="00594D78">
        <w:t>moshc.tif</w:t>
      </w:r>
      <w:proofErr w:type="spellEnd"/>
      <w:r w:rsidRPr="00594D78">
        <w:t xml:space="preserve">, </w:t>
      </w:r>
      <w:proofErr w:type="spellStart"/>
      <w:r w:rsidRPr="00594D78">
        <w:t>chen.eps</w:t>
      </w:r>
      <w:proofErr w:type="spellEnd"/>
      <w:r w:rsidRPr="00594D78">
        <w:t>, and duran.pdf.</w:t>
      </w:r>
    </w:p>
    <w:p w14:paraId="7C1BC0D2" w14:textId="77777777" w:rsidR="00594D78" w:rsidRPr="00594D78" w:rsidRDefault="00594D78" w:rsidP="00594D78">
      <w:pPr>
        <w:pStyle w:val="PARAIndent"/>
      </w:pPr>
      <w:r w:rsidRPr="00594D78">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w:t>
      </w:r>
      <w:proofErr w:type="spellStart"/>
      <w:r w:rsidRPr="00594D78">
        <w:t>oppmi.tif</w:t>
      </w:r>
      <w:proofErr w:type="spellEnd"/>
      <w:r w:rsidRPr="00594D78">
        <w:t xml:space="preserve">, and </w:t>
      </w:r>
      <w:proofErr w:type="spellStart"/>
      <w:r w:rsidRPr="00594D78">
        <w:t>oppmo.eps</w:t>
      </w:r>
      <w:proofErr w:type="spellEnd"/>
      <w:r w:rsidRPr="00594D78">
        <w:t>.</w:t>
      </w:r>
    </w:p>
    <w:p w14:paraId="4FC135DE" w14:textId="77777777" w:rsidR="00BC4302" w:rsidRDefault="00BC4302" w:rsidP="00040C78">
      <w:pPr>
        <w:pStyle w:val="H2ConSpaceBefore12pt"/>
        <w:spacing w:before="0"/>
        <w:sectPr w:rsidR="00BC4302" w:rsidSect="00CB2DB1">
          <w:footerReference w:type="default" r:id="rId17"/>
          <w:type w:val="continuous"/>
          <w:pgSz w:w="11520" w:h="15660" w:code="1"/>
          <w:pgMar w:top="1300" w:right="740" w:bottom="1040" w:left="740" w:header="360" w:footer="640" w:gutter="0"/>
          <w:cols w:num="2" w:space="400"/>
          <w:docGrid w:linePitch="360"/>
        </w:sectPr>
      </w:pPr>
    </w:p>
    <w:p w14:paraId="423C6FF9" w14:textId="77777777" w:rsidR="00767D54" w:rsidRPr="005902A9" w:rsidRDefault="00767D54" w:rsidP="005902A9">
      <w:pPr>
        <w:pStyle w:val="H2Cont"/>
        <w:spacing w:before="0"/>
      </w:pPr>
      <w:r w:rsidRPr="005902A9">
        <w:br w:type="page"/>
      </w:r>
      <w:r w:rsidR="005C261D" w:rsidRPr="005902A9">
        <w:lastRenderedPageBreak/>
        <w:t>REFERENCING A FIGURE OR TABLE WITHIN YOUR PAPER</w:t>
      </w:r>
    </w:p>
    <w:p w14:paraId="23A073A2" w14:textId="62AC0DF0" w:rsidR="00594D78" w:rsidRPr="00242D8A" w:rsidRDefault="00AD0FD6" w:rsidP="00767D54">
      <w:pPr>
        <w:pStyle w:val="PARA"/>
        <w:rPr>
          <w:rStyle w:val="BodyText2"/>
          <w:rFonts w:ascii="Times New Roman" w:hAnsi="Times New Roman" w:cs="TimesLTStd-Roman"/>
          <w:color w:val="auto"/>
          <w:sz w:val="20"/>
        </w:rPr>
      </w:pPr>
      <w:r w:rsidRPr="00AD0FD6">
        <w:t xml:space="preserve">When referencing your figures and tables within your paper, use the abbreviation “Fig.” even at the beginning of a sentence. Do not abbreviate “Table.” Tables should be numbered with </w:t>
      </w:r>
      <w:r w:rsidR="00990F3D" w:rsidRPr="00990F3D">
        <w:t>Roman Numerals</w:t>
      </w:r>
      <w:r w:rsidRPr="00AD0FD6">
        <w:t>.</w:t>
      </w:r>
    </w:p>
    <w:p w14:paraId="6137A724" w14:textId="77777777" w:rsidR="001C597C" w:rsidRPr="00594D78" w:rsidRDefault="005C261D" w:rsidP="005902A9">
      <w:pPr>
        <w:pStyle w:val="H2Cont"/>
      </w:pPr>
      <w:r w:rsidRPr="005902A9">
        <w:t>SUBMITTING</w:t>
      </w:r>
      <w:r w:rsidRPr="001C597C">
        <w:t xml:space="preserve"> YOUR GRAPHICS</w:t>
      </w:r>
    </w:p>
    <w:p w14:paraId="2F5430BE" w14:textId="7E49BF4D" w:rsidR="001C597C" w:rsidRPr="00242D8A" w:rsidRDefault="00FB1155" w:rsidP="001C597C">
      <w:pPr>
        <w:pStyle w:val="PARA"/>
        <w:rPr>
          <w:rStyle w:val="BodyText2"/>
          <w:rFonts w:ascii="Times New Roman" w:hAnsi="Times New Roman" w:cs="TimesLTStd-Roman"/>
          <w:color w:val="auto"/>
          <w:sz w:val="20"/>
        </w:rPr>
      </w:pPr>
      <w:r>
        <w:t>Figures</w:t>
      </w:r>
      <w:r w:rsidR="001C597C">
        <w:t xml:space="preserve"> should be submitted individually, separate from the manuscript in one of the file formats listed above in section VI-J. Place figure captions below the figures; place table titles above the tables. Please do not include captions as part of the figures, or put them in “text boxes” linked to the figures. Also, do not place borders around the outside of your figures.</w:t>
      </w:r>
    </w:p>
    <w:p w14:paraId="4BDEC58F" w14:textId="77777777" w:rsidR="001C597C" w:rsidRPr="00594D78" w:rsidRDefault="005C261D" w:rsidP="005902A9">
      <w:pPr>
        <w:pStyle w:val="H2Cont"/>
      </w:pPr>
      <w:r w:rsidRPr="001C597C">
        <w:t xml:space="preserve">COLOR </w:t>
      </w:r>
      <w:r w:rsidRPr="005902A9">
        <w:t>PROCESSING</w:t>
      </w:r>
      <w:r w:rsidRPr="001C597C">
        <w:t xml:space="preserve"> / PRINTING IN IEEE JOURNALS</w:t>
      </w:r>
    </w:p>
    <w:p w14:paraId="3C4DE54D" w14:textId="77777777" w:rsidR="001C597C" w:rsidRPr="00C957D8" w:rsidRDefault="001C597C" w:rsidP="001C597C">
      <w:pPr>
        <w:pStyle w:val="PARA"/>
        <w:rPr>
          <w:rStyle w:val="BodyText2"/>
          <w:rFonts w:ascii="Times New Roman" w:hAnsi="Times New Roman" w:cs="TimesLTStd-Roman"/>
          <w:color w:val="auto"/>
          <w:spacing w:val="-4"/>
          <w:sz w:val="20"/>
        </w:rPr>
      </w:pPr>
      <w:r w:rsidRPr="00C957D8">
        <w:rPr>
          <w:spacing w:val="-4"/>
        </w:rPr>
        <w:t xml:space="preserve">All IEEE Transactions, Journals, and Letters allow an author to publish color figures on IEEE </w:t>
      </w:r>
      <w:r w:rsidRPr="00C957D8">
        <w:rPr>
          <w:rStyle w:val="ITAL"/>
          <w:spacing w:val="-4"/>
        </w:rPr>
        <w:t>Xplore</w:t>
      </w:r>
      <w:r w:rsidRPr="00C957D8">
        <w:rPr>
          <w:spacing w:val="-4"/>
        </w:rPr>
        <w:t>® at no charge, and automatically convert them to grayscale for print versions. In most journals, figures and tables may alternatively be printed in color if an author chooses to do so. Please note that this service comes at an extra expense to the author. If you intend to have print color graphics, include a note with your final paper indicating which figures or tables you would like to be handled that way, and stating that you are willing to pay the additional fee.</w:t>
      </w:r>
    </w:p>
    <w:p w14:paraId="13629976" w14:textId="77777777" w:rsidR="00486E60" w:rsidRPr="00E91452" w:rsidRDefault="001C597C" w:rsidP="00165F70">
      <w:pPr>
        <w:pStyle w:val="H1ListSpace"/>
      </w:pPr>
      <w:r w:rsidRPr="00165F70">
        <w:t>CONCLUSION</w:t>
      </w:r>
    </w:p>
    <w:p w14:paraId="48A5F937" w14:textId="77777777" w:rsidR="00BA7B2F" w:rsidRPr="00A8467A" w:rsidRDefault="001C597C" w:rsidP="001C597C">
      <w:pPr>
        <w:pStyle w:val="PARA"/>
        <w:rPr>
          <w:spacing w:val="0"/>
        </w:rPr>
      </w:pPr>
      <w:r w:rsidRPr="00A8467A">
        <w:rPr>
          <w:spacing w:val="0"/>
        </w:rPr>
        <w:t>A conclusion section is not required. Although a conclusion may review the main points of the paper, do not replicate the abstract as the conclusion. A conclusion might elaborate on the importance of the work or suggest applications and extensions.</w:t>
      </w:r>
    </w:p>
    <w:p w14:paraId="22569969" w14:textId="460C8E8F" w:rsidR="001C597C" w:rsidRPr="001C597C" w:rsidRDefault="001C597C" w:rsidP="001C597C">
      <w:pPr>
        <w:pStyle w:val="H1"/>
      </w:pPr>
      <w:r w:rsidRPr="001C597C">
        <w:t>APPENDIX</w:t>
      </w:r>
      <w:r w:rsidR="00BA31AE">
        <w:t xml:space="preserve"> A</w:t>
      </w:r>
    </w:p>
    <w:p w14:paraId="45D6B73D" w14:textId="77777777" w:rsidR="001C597C" w:rsidRPr="001C597C" w:rsidRDefault="005C261D" w:rsidP="00F62DC5">
      <w:pPr>
        <w:pStyle w:val="H1"/>
        <w:spacing w:before="0"/>
      </w:pPr>
      <w:r w:rsidRPr="00F62DC5">
        <w:t>FOOTNOTES</w:t>
      </w:r>
    </w:p>
    <w:p w14:paraId="594078EC" w14:textId="17A119B0" w:rsidR="001C597C" w:rsidRPr="00C276C8" w:rsidRDefault="001C597C" w:rsidP="001C597C">
      <w:pPr>
        <w:pStyle w:val="PARA"/>
        <w:rPr>
          <w:spacing w:val="0"/>
        </w:rPr>
      </w:pPr>
      <w:r w:rsidRPr="00C276C8">
        <w:rPr>
          <w:spacing w:val="0"/>
        </w:rPr>
        <w:t xml:space="preserve">Number footnotes separately in superscripts </w:t>
      </w:r>
      <w:r w:rsidR="00F62DC5" w:rsidRPr="00C276C8">
        <w:rPr>
          <w:spacing w:val="0"/>
        </w:rPr>
        <w:t>numbers.</w:t>
      </w:r>
      <w:r w:rsidR="00F62DC5" w:rsidRPr="00C276C8">
        <w:rPr>
          <w:rStyle w:val="FootnoteReference"/>
          <w:spacing w:val="0"/>
          <w:vertAlign w:val="baseline"/>
        </w:rPr>
        <w:t xml:space="preserve"> </w:t>
      </w:r>
      <w:r w:rsidRPr="00C276C8">
        <w:rPr>
          <w:rStyle w:val="FootnoteReference"/>
          <w:spacing w:val="0"/>
        </w:rPr>
        <w:footnoteReference w:id="1"/>
      </w:r>
      <w:r w:rsidRPr="00C276C8">
        <w:rPr>
          <w:spacing w:val="0"/>
        </w:rPr>
        <w:t xml:space="preserve"> Place the actua</w:t>
      </w:r>
      <w:r w:rsidR="005C261D" w:rsidRPr="00C276C8">
        <w:rPr>
          <w:spacing w:val="0"/>
        </w:rPr>
        <w:t xml:space="preserve">l footnote at the bottom of the </w:t>
      </w:r>
      <w:r w:rsidRPr="00C276C8">
        <w:rPr>
          <w:spacing w:val="0"/>
        </w:rPr>
        <w:t xml:space="preserve">column in which it is cited; do not put footnotes in the reference list (endnotes). Use letters for table footnotes (see Table I). </w:t>
      </w:r>
    </w:p>
    <w:p w14:paraId="33B3C84D" w14:textId="6563F980" w:rsidR="00D56AAE" w:rsidRPr="001C597C" w:rsidRDefault="00D56AAE" w:rsidP="00D56AAE">
      <w:pPr>
        <w:pStyle w:val="H1"/>
      </w:pPr>
      <w:r w:rsidRPr="00D56AAE">
        <w:t>APPENDIX</w:t>
      </w:r>
      <w:r>
        <w:t xml:space="preserve"> B</w:t>
      </w:r>
    </w:p>
    <w:p w14:paraId="131802E6" w14:textId="3DD37532" w:rsidR="00D56AAE" w:rsidRPr="001C597C" w:rsidRDefault="00D56AAE" w:rsidP="00D56AAE">
      <w:pPr>
        <w:pStyle w:val="H1"/>
        <w:spacing w:before="0"/>
      </w:pPr>
      <w:r w:rsidRPr="00D56AAE">
        <w:t>SUBMITTING YOUR PAPER FOR REVIEW</w:t>
      </w:r>
    </w:p>
    <w:p w14:paraId="5B8223FB" w14:textId="72740864" w:rsidR="00D11438" w:rsidRPr="00ED0A07" w:rsidRDefault="00D332C1" w:rsidP="0036342D">
      <w:pPr>
        <w:pStyle w:val="H2AfterH1"/>
        <w:numPr>
          <w:ilvl w:val="0"/>
          <w:numId w:val="8"/>
        </w:numPr>
        <w:spacing w:before="0"/>
      </w:pPr>
      <w:r w:rsidRPr="00D332C1">
        <w:t>FINAL STAGE</w:t>
      </w:r>
    </w:p>
    <w:p w14:paraId="46816D7C" w14:textId="52EBA1F5" w:rsidR="00D11438" w:rsidRDefault="00753AD5" w:rsidP="00753AD5">
      <w:pPr>
        <w:pStyle w:val="PARA"/>
      </w:pPr>
      <w:r>
        <w:t xml:space="preserve">When your article is accepted, you can submit the final files, including figures, tables, and photos, per the journal’s guidelines through the submission system used to submit the </w:t>
      </w:r>
      <w:proofErr w:type="spellStart"/>
      <w:r>
        <w:t>articlle</w:t>
      </w:r>
      <w:proofErr w:type="spellEnd"/>
      <w:r>
        <w:t xml:space="preserve">. You may use </w:t>
      </w:r>
      <w:r w:rsidRPr="00753AD5">
        <w:rPr>
          <w:i/>
        </w:rPr>
        <w:t>Zip</w:t>
      </w:r>
      <w:r>
        <w:t xml:space="preserve"> for large files, or compress files using </w:t>
      </w:r>
      <w:r w:rsidRPr="00753AD5">
        <w:rPr>
          <w:i/>
        </w:rPr>
        <w:t>Compress</w:t>
      </w:r>
      <w:r>
        <w:t xml:space="preserve">, </w:t>
      </w:r>
      <w:proofErr w:type="spellStart"/>
      <w:r w:rsidRPr="00753AD5">
        <w:rPr>
          <w:i/>
        </w:rPr>
        <w:t>Pkzip</w:t>
      </w:r>
      <w:proofErr w:type="spellEnd"/>
      <w:r>
        <w:t xml:space="preserve">, </w:t>
      </w:r>
      <w:r w:rsidRPr="00753AD5">
        <w:rPr>
          <w:i/>
        </w:rPr>
        <w:t>Stuffit</w:t>
      </w:r>
      <w:r>
        <w:t xml:space="preserve">, or </w:t>
      </w:r>
      <w:proofErr w:type="spellStart"/>
      <w:r w:rsidRPr="00753AD5">
        <w:rPr>
          <w:i/>
        </w:rPr>
        <w:t>Gzip</w:t>
      </w:r>
      <w:proofErr w:type="spellEnd"/>
      <w:r>
        <w:t>.</w:t>
      </w:r>
    </w:p>
    <w:p w14:paraId="0CCAF1B9" w14:textId="7902AE8E" w:rsidR="00BE1BCC" w:rsidRDefault="00BE1BCC" w:rsidP="00BE1BCC">
      <w:pPr>
        <w:pStyle w:val="PARAIndent"/>
      </w:pPr>
      <w:r>
        <w:rPr>
          <w:lang w:eastAsia="en-IN"/>
        </w:rPr>
        <w:t>In addition, designate one author as the “corresponding author.” This is the author to whom proofs of the paper will be sent. Proofs are sent to the corresponding author only.</w:t>
      </w:r>
    </w:p>
    <w:p w14:paraId="6E51F7A0" w14:textId="30BA9FBB" w:rsidR="00D11438" w:rsidRPr="00594D78" w:rsidRDefault="00185AFE" w:rsidP="00A8467A">
      <w:pPr>
        <w:pStyle w:val="H2Cont"/>
        <w:numPr>
          <w:ilvl w:val="0"/>
          <w:numId w:val="41"/>
        </w:numPr>
        <w:spacing w:before="370"/>
      </w:pPr>
      <w:r w:rsidRPr="004B7C73">
        <w:t>REVIEW</w:t>
      </w:r>
      <w:r w:rsidRPr="00185AFE">
        <w:t xml:space="preserve"> STAGE USING IEEE AUTHOR PORTAL</w:t>
      </w:r>
    </w:p>
    <w:p w14:paraId="59959D33" w14:textId="64196836" w:rsidR="00D11438" w:rsidRDefault="003469D0" w:rsidP="003469D0">
      <w:pPr>
        <w:pStyle w:val="PARA"/>
      </w:pPr>
      <w:r>
        <w:t xml:space="preserve">Article contributions to IEEE Access should be submitted electronically on the IEEE Author Portal. For more information, please visit </w:t>
      </w:r>
      <w:r w:rsidRPr="003469D0">
        <w:rPr>
          <w:u w:val="single"/>
        </w:rPr>
        <w:t>https://ieeeaccess.ieee.org/</w:t>
      </w:r>
      <w:r>
        <w:t>.</w:t>
      </w:r>
    </w:p>
    <w:p w14:paraId="60FF8FBC" w14:textId="6E3ACFF0" w:rsidR="00D11438" w:rsidRPr="00601262" w:rsidRDefault="004B7C73" w:rsidP="004B7C73">
      <w:pPr>
        <w:pStyle w:val="PARAIndent"/>
        <w:rPr>
          <w:spacing w:val="0"/>
        </w:rPr>
      </w:pPr>
      <w:r w:rsidRPr="00601262">
        <w:rPr>
          <w:spacing w:val="0"/>
        </w:rPr>
        <w:t>Along with other information, you will be asked to select the subject from a pull-down list. There are various steps to the submission process; you must complete all steps for a complete submission. At the end of each step you must click “Save and Continue”; just uploading the paper is not sufficient. After the last step, you should see a confirmation that the submission is complete. You should also receive an e-mail confirmation. For inquiries regarding the submission of your article, please contact ieeeaccess@ieee.org.</w:t>
      </w:r>
    </w:p>
    <w:p w14:paraId="19FCF883" w14:textId="3199D640" w:rsidR="00D11438" w:rsidRPr="001C50D7" w:rsidRDefault="004B7C73" w:rsidP="004B7C73">
      <w:pPr>
        <w:pStyle w:val="PARAIndent"/>
      </w:pPr>
      <w:r>
        <w:t>The manuscript should be prepared in a double column, single-spaced format using a required IEEE Access template. A Word or LaTeX file and a PDF file are both required upon submission in the IEEE Author Portal.</w:t>
      </w:r>
    </w:p>
    <w:p w14:paraId="18D6886B" w14:textId="52C52A2C" w:rsidR="00D11438" w:rsidRPr="004B7C73" w:rsidRDefault="00762309" w:rsidP="00A8467A">
      <w:pPr>
        <w:pStyle w:val="H2Cont"/>
        <w:spacing w:before="370"/>
      </w:pPr>
      <w:r w:rsidRPr="00762309">
        <w:t>FINAL STAGE USING IEEE AUTHOR PORTAL</w:t>
      </w:r>
    </w:p>
    <w:p w14:paraId="793C27A4" w14:textId="093B3C9F" w:rsidR="00D11438" w:rsidRPr="001C50D7" w:rsidRDefault="00416D80" w:rsidP="00416D80">
      <w:pPr>
        <w:pStyle w:val="PARA"/>
      </w:pPr>
      <w:r>
        <w:t>Upon acceptance, you will receive an email with specific instructions</w:t>
      </w:r>
    </w:p>
    <w:p w14:paraId="13C9B651" w14:textId="556D32F4" w:rsidR="00D11438" w:rsidRPr="002B0C37" w:rsidRDefault="00416D80" w:rsidP="00416D80">
      <w:pPr>
        <w:pStyle w:val="PARAIndent"/>
        <w:rPr>
          <w:spacing w:val="2"/>
        </w:rPr>
      </w:pPr>
      <w:r w:rsidRPr="002B0C37">
        <w:rPr>
          <w:spacing w:val="2"/>
        </w:rPr>
        <w:t xml:space="preserve">Designate the author who submitted the manuscript </w:t>
      </w:r>
      <w:r w:rsidR="002B0C37">
        <w:rPr>
          <w:spacing w:val="2"/>
        </w:rPr>
        <w:br/>
      </w:r>
      <w:r w:rsidRPr="002B0C37">
        <w:rPr>
          <w:spacing w:val="2"/>
        </w:rPr>
        <w:t>on IEEE Author Portal as the “corresponding author.” This is the only author to whom proofs of the paper will be sent.</w:t>
      </w:r>
    </w:p>
    <w:p w14:paraId="3C63FF18" w14:textId="77777777" w:rsidR="0001799E" w:rsidRPr="00D11438" w:rsidRDefault="00EC5C8C" w:rsidP="00A8467A">
      <w:pPr>
        <w:pStyle w:val="H2Cont"/>
        <w:spacing w:before="370"/>
      </w:pPr>
      <w:r w:rsidRPr="00D11438">
        <w:t>COPYRIGHT FORM</w:t>
      </w:r>
    </w:p>
    <w:p w14:paraId="633E0200" w14:textId="77777777" w:rsidR="0001799E" w:rsidRDefault="0001799E" w:rsidP="0001799E">
      <w:pPr>
        <w:pStyle w:val="PARA"/>
      </w:pPr>
      <w:r w:rsidRPr="00342BE1">
        <w:rPr>
          <w:shd w:val="clear" w:color="auto" w:fill="FFFFFF"/>
        </w:rPr>
        <w:t>Authors must submit an electronic IEEE Copyright Form (</w:t>
      </w:r>
      <w:proofErr w:type="spellStart"/>
      <w:r w:rsidRPr="00342BE1">
        <w:rPr>
          <w:shd w:val="clear" w:color="auto" w:fill="FFFFFF"/>
        </w:rPr>
        <w:t>eCF</w:t>
      </w:r>
      <w:proofErr w:type="spellEnd"/>
      <w:r w:rsidRPr="00342BE1">
        <w:rPr>
          <w:shd w:val="clear" w:color="auto" w:fill="FFFFFF"/>
        </w:rPr>
        <w:t>) upon submitting their final manuscript files.</w:t>
      </w:r>
      <w:r w:rsidR="0035702D">
        <w:rPr>
          <w:shd w:val="clear" w:color="auto" w:fill="FFFFFF"/>
        </w:rPr>
        <w:t xml:space="preserve"> </w:t>
      </w:r>
      <w:r>
        <w:rPr>
          <w:shd w:val="clear" w:color="auto" w:fill="FFFFFF"/>
        </w:rPr>
        <w:t>You</w:t>
      </w:r>
      <w:r w:rsidRPr="00342BE1">
        <w:rPr>
          <w:shd w:val="clear" w:color="auto" w:fill="FFFFFF"/>
        </w:rPr>
        <w:t xml:space="preserve"> can a</w:t>
      </w:r>
      <w:r>
        <w:rPr>
          <w:shd w:val="clear" w:color="auto" w:fill="FFFFFF"/>
        </w:rPr>
        <w:t xml:space="preserve">ccess the </w:t>
      </w:r>
      <w:proofErr w:type="spellStart"/>
      <w:r>
        <w:rPr>
          <w:shd w:val="clear" w:color="auto" w:fill="FFFFFF"/>
        </w:rPr>
        <w:t>eCF</w:t>
      </w:r>
      <w:proofErr w:type="spellEnd"/>
      <w:r>
        <w:rPr>
          <w:shd w:val="clear" w:color="auto" w:fill="FFFFFF"/>
        </w:rPr>
        <w:t xml:space="preserve"> system through your</w:t>
      </w:r>
      <w:r w:rsidRPr="00342BE1">
        <w:rPr>
          <w:shd w:val="clear" w:color="auto" w:fill="FFFFFF"/>
        </w:rPr>
        <w:t xml:space="preserve"> manuscript submission system or through the Author Gateway.</w:t>
      </w:r>
      <w:r>
        <w:rPr>
          <w:shd w:val="clear" w:color="auto" w:fill="FFFFFF"/>
        </w:rPr>
        <w:t xml:space="preserve"> You</w:t>
      </w:r>
      <w:r w:rsidRPr="00342BE1">
        <w:rPr>
          <w:shd w:val="clear" w:color="auto" w:fill="FFFFFF"/>
        </w:rPr>
        <w:t xml:space="preserve"> are responsible for obtaining any necessary approvals and/or security clearances.</w:t>
      </w:r>
      <w:r>
        <w:rPr>
          <w:shd w:val="clear" w:color="auto" w:fill="FFFFFF"/>
        </w:rPr>
        <w:t xml:space="preserve"> For additional information on intellectual property rights, visit the IEEE Intellectual Property Rights department web page at </w:t>
      </w:r>
      <w:r w:rsidRPr="00416D80">
        <w:rPr>
          <w:u w:val="single"/>
          <w:shd w:val="clear" w:color="auto" w:fill="FFFFFF"/>
        </w:rPr>
        <w:t>http://www.ieee.org/publications</w:t>
      </w:r>
      <w:r w:rsidRPr="00336145">
        <w:rPr>
          <w:u w:val="single"/>
          <w:shd w:val="clear" w:color="auto" w:fill="FFFFFF"/>
        </w:rPr>
        <w:t>_</w:t>
      </w:r>
      <w:r w:rsidRPr="00416D80">
        <w:rPr>
          <w:u w:val="single"/>
          <w:shd w:val="clear" w:color="auto" w:fill="FFFFFF"/>
        </w:rPr>
        <w:br/>
        <w:t>standards/publications/rights/index.html</w:t>
      </w:r>
      <w:r>
        <w:rPr>
          <w:shd w:val="clear" w:color="auto" w:fill="FFFFFF"/>
        </w:rPr>
        <w:t xml:space="preserve">. </w:t>
      </w:r>
    </w:p>
    <w:p w14:paraId="78680223" w14:textId="1266C99C" w:rsidR="00174D84" w:rsidRPr="001C597C" w:rsidRDefault="00174D84" w:rsidP="00A8467A">
      <w:pPr>
        <w:pStyle w:val="H1"/>
        <w:spacing w:before="370"/>
      </w:pPr>
      <w:r w:rsidRPr="00D56AAE">
        <w:t>APPENDIX</w:t>
      </w:r>
      <w:r>
        <w:t xml:space="preserve"> C</w:t>
      </w:r>
    </w:p>
    <w:p w14:paraId="492702F5" w14:textId="7F9AF7D5" w:rsidR="00174D84" w:rsidRPr="001C597C" w:rsidRDefault="00174D84" w:rsidP="00174D84">
      <w:pPr>
        <w:pStyle w:val="H1"/>
        <w:spacing w:before="0"/>
      </w:pPr>
      <w:r w:rsidRPr="00174D84">
        <w:t>IEEE PUBLISHING POLICY</w:t>
      </w:r>
    </w:p>
    <w:p w14:paraId="42DC2BD2" w14:textId="77777777" w:rsidR="007250AC" w:rsidRDefault="00E87D96" w:rsidP="00A45310">
      <w:pPr>
        <w:pStyle w:val="PARA"/>
      </w:pPr>
      <w:r>
        <w:t>The general IEEE policy requires that authors should only submit original work that has neither appeared elsewhere</w:t>
      </w:r>
      <w:r w:rsidR="0001799E" w:rsidRPr="00BC4302">
        <w:t xml:space="preserve"> </w:t>
      </w:r>
      <w:r w:rsidR="00E33CF9">
        <w:t>for publication, nor is under review for another refereed publication. The submitting author must disclose all prior publication(s) and current submissions when submitting a manuscript. Do not publish “preliminary” data or results. To avoid any delays in publication, please be sure to follow these instructions. Final submissions should include source</w:t>
      </w:r>
    </w:p>
    <w:p w14:paraId="7AE82BE3" w14:textId="2BA70B2C" w:rsidR="00A45310" w:rsidRPr="00BC4302" w:rsidRDefault="00A45310" w:rsidP="00A45310">
      <w:pPr>
        <w:pStyle w:val="PARA"/>
        <w:sectPr w:rsidR="00A45310" w:rsidRPr="00BC4302" w:rsidSect="00CB2DB1">
          <w:footerReference w:type="default" r:id="rId18"/>
          <w:type w:val="continuous"/>
          <w:pgSz w:w="11520" w:h="15660" w:code="1"/>
          <w:pgMar w:top="1300" w:right="740" w:bottom="1040" w:left="740" w:header="360" w:footer="640" w:gutter="0"/>
          <w:pgNumType w:start="4"/>
          <w:cols w:num="2" w:space="400"/>
          <w:docGrid w:linePitch="360"/>
        </w:sectPr>
      </w:pPr>
    </w:p>
    <w:p w14:paraId="0A6517B1" w14:textId="4BE9437F" w:rsidR="00BC4302" w:rsidRDefault="00E33CF9" w:rsidP="00E33CF9">
      <w:pPr>
        <w:pStyle w:val="PARA"/>
      </w:pPr>
      <w:r>
        <w:lastRenderedPageBreak/>
        <w:t>files of your accepted manuscript, high quality graphic files, and a formatted pdf file. If you have any questions regarding the final submission process, please contact the administrative contact for the journal. author is responsible for obtaining agreement of all coauthors and any consent required from employers or sponsors before submitting an article.</w:t>
      </w:r>
    </w:p>
    <w:p w14:paraId="4ECF4AA9" w14:textId="558CB93C" w:rsidR="00E33CF9" w:rsidRDefault="00E33CF9" w:rsidP="00974712">
      <w:pPr>
        <w:pStyle w:val="PARAIndent"/>
      </w:pPr>
      <w:r>
        <w:t>The IEEE Access Editorial Office does not publish conference records or proceedings, but can publish articles related to conferences that have undergone rigorous peer review. Minimally, two reviews are required for every article submitted for peer review.</w:t>
      </w:r>
    </w:p>
    <w:p w14:paraId="4EB799D4" w14:textId="55CB6D04" w:rsidR="009261C4" w:rsidRPr="001C597C" w:rsidRDefault="009261C4" w:rsidP="001A4A79">
      <w:pPr>
        <w:pStyle w:val="H1"/>
        <w:spacing w:before="340"/>
      </w:pPr>
      <w:r w:rsidRPr="00D56AAE">
        <w:t>APPENDIX</w:t>
      </w:r>
      <w:r>
        <w:t xml:space="preserve"> D</w:t>
      </w:r>
    </w:p>
    <w:p w14:paraId="749546F5" w14:textId="08940F69" w:rsidR="009261C4" w:rsidRPr="001C597C" w:rsidRDefault="009261C4" w:rsidP="009261C4">
      <w:pPr>
        <w:pStyle w:val="H1"/>
        <w:spacing w:before="0"/>
      </w:pPr>
      <w:r w:rsidRPr="009261C4">
        <w:t>PUBLICATION PRINCIPLES</w:t>
      </w:r>
    </w:p>
    <w:p w14:paraId="798A6AE5" w14:textId="68B5A282" w:rsidR="0001799E" w:rsidRDefault="00C13F1C" w:rsidP="0001799E">
      <w:pPr>
        <w:pStyle w:val="PARA"/>
      </w:pPr>
      <w:r w:rsidRPr="00C13F1C">
        <w:t>Authors should consider the following points:</w:t>
      </w:r>
    </w:p>
    <w:p w14:paraId="3347B233" w14:textId="282E5952" w:rsidR="0001799E" w:rsidRDefault="00B1340A" w:rsidP="0095097F">
      <w:pPr>
        <w:pStyle w:val="Text"/>
        <w:numPr>
          <w:ilvl w:val="0"/>
          <w:numId w:val="2"/>
        </w:numPr>
        <w:ind w:left="560"/>
      </w:pPr>
      <w:r>
        <w:t>Technical papers submitted for publication must advance the state of knowledge and must cite relevant prior work.</w:t>
      </w:r>
    </w:p>
    <w:p w14:paraId="608C2B49" w14:textId="11C04572" w:rsidR="0001799E" w:rsidRDefault="00B1340A" w:rsidP="0095097F">
      <w:pPr>
        <w:pStyle w:val="Text"/>
        <w:numPr>
          <w:ilvl w:val="0"/>
          <w:numId w:val="2"/>
        </w:numPr>
        <w:ind w:left="560"/>
      </w:pPr>
      <w:r>
        <w:t>The length of a submitted paper should be commensurate with the importance, or appropriate to the complexity, of the work. For example, an obvious extension of previously published work might not be appropriate for publication or might be adequately treated in just a few pages.</w:t>
      </w:r>
    </w:p>
    <w:p w14:paraId="7C658AC6" w14:textId="306202E9" w:rsidR="0001799E" w:rsidRDefault="00B1340A" w:rsidP="0095097F">
      <w:pPr>
        <w:pStyle w:val="Text"/>
        <w:numPr>
          <w:ilvl w:val="0"/>
          <w:numId w:val="2"/>
        </w:numPr>
        <w:ind w:left="560"/>
      </w:pPr>
      <w:r>
        <w:t>Authors must convince both peer reviewers and the editors of the scientific and technical merit of a paper; the standards of proof are higher when extraordinary or unexpected results are reported.</w:t>
      </w:r>
    </w:p>
    <w:p w14:paraId="5E89C66A" w14:textId="6A886646" w:rsidR="0001799E" w:rsidRPr="001C495F" w:rsidRDefault="00B1340A" w:rsidP="0095097F">
      <w:pPr>
        <w:pStyle w:val="Text"/>
        <w:numPr>
          <w:ilvl w:val="0"/>
          <w:numId w:val="2"/>
        </w:numPr>
        <w:ind w:left="560"/>
      </w:pPr>
      <w:r w:rsidRPr="001C495F">
        <w:t>Because replication is required for scientific progress, papers submitted for publication must provide sufficient information to allow readers to perform similar experiments or calculations and use the reported results. Although not everything need be disclosed, a paper must contain new, useable, and fully described information. For example, a specimen’s chemical composition need not be reported if the main purpose of a paper is to introduce a new measurement technique. Authors should expect to be challenged by reviewers if the results are not supported by adequate data and critical details.</w:t>
      </w:r>
    </w:p>
    <w:p w14:paraId="668DAD58" w14:textId="77777777" w:rsidR="0001799E" w:rsidRDefault="0001799E" w:rsidP="0095097F">
      <w:pPr>
        <w:pStyle w:val="Text"/>
        <w:numPr>
          <w:ilvl w:val="0"/>
          <w:numId w:val="2"/>
        </w:numPr>
        <w:ind w:left="560"/>
      </w:pPr>
      <w:r>
        <w:t>Papers that describe ongoing work or announce the latest technical achievement, which are suitable for presentation at a professional conference, may not be appropriate for publication.</w:t>
      </w:r>
    </w:p>
    <w:p w14:paraId="30751A3C" w14:textId="256EA889" w:rsidR="007E4ED6" w:rsidRPr="0086796B" w:rsidRDefault="007E4ED6" w:rsidP="001A4A79">
      <w:pPr>
        <w:pStyle w:val="H1"/>
        <w:spacing w:before="340"/>
      </w:pPr>
      <w:r w:rsidRPr="00D56AAE">
        <w:t>APPENDIX</w:t>
      </w:r>
      <w:r>
        <w:t xml:space="preserve"> E</w:t>
      </w:r>
    </w:p>
    <w:p w14:paraId="177C4CA3" w14:textId="79482112" w:rsidR="007E4ED6" w:rsidRPr="001C597C" w:rsidRDefault="007E4ED6" w:rsidP="007E4ED6">
      <w:pPr>
        <w:pStyle w:val="H1"/>
        <w:spacing w:before="0"/>
      </w:pPr>
      <w:r w:rsidRPr="007E4ED6">
        <w:t>REFERENCE EXAMPLES</w:t>
      </w:r>
    </w:p>
    <w:p w14:paraId="023A8D62" w14:textId="77777777" w:rsidR="0001799E" w:rsidRPr="000F33CB" w:rsidRDefault="0001799E" w:rsidP="001C495F">
      <w:pPr>
        <w:pStyle w:val="REFBUL"/>
      </w:pPr>
      <w:r w:rsidRPr="000F33CB">
        <w:t>Basic format for books:</w:t>
      </w:r>
    </w:p>
    <w:p w14:paraId="1B4E9F74" w14:textId="77777777" w:rsidR="0001799E" w:rsidRDefault="0001799E" w:rsidP="001C495F">
      <w:pPr>
        <w:pStyle w:val="REFTxt"/>
        <w:rPr>
          <w:rFonts w:cs="TimesNewRomanPS-ItalicMT"/>
          <w:i/>
          <w:iCs/>
        </w:rPr>
      </w:pPr>
      <w:r w:rsidRPr="0001799E">
        <w:t xml:space="preserve">J. K. Author, “Title of chapter in the book,” in </w:t>
      </w:r>
      <w:r w:rsidRPr="0001799E">
        <w:rPr>
          <w:rFonts w:cs="TimesNewRomanPS-ItalicMT"/>
          <w:i/>
          <w:iCs/>
        </w:rPr>
        <w:t xml:space="preserve">Title of His Published Book, </w:t>
      </w:r>
      <w:proofErr w:type="spellStart"/>
      <w:r w:rsidRPr="0001799E">
        <w:rPr>
          <w:rFonts w:cs="TimesNewRomanPS-ItalicMT"/>
          <w:i/>
          <w:iCs/>
        </w:rPr>
        <w:t>x</w:t>
      </w:r>
      <w:r w:rsidRPr="0001799E">
        <w:t>th</w:t>
      </w:r>
      <w:proofErr w:type="spellEnd"/>
      <w:r w:rsidRPr="0001799E">
        <w:t xml:space="preserve"> ed. City of Publisher, (only U.S. State), Country: Abbrev. of Publisher, year, </w:t>
      </w:r>
      <w:proofErr w:type="spellStart"/>
      <w:r w:rsidRPr="0001799E">
        <w:t>ch.</w:t>
      </w:r>
      <w:proofErr w:type="spellEnd"/>
      <w:r w:rsidRPr="0001799E">
        <w:t xml:space="preserve"> </w:t>
      </w:r>
      <w:r w:rsidRPr="0001799E">
        <w:rPr>
          <w:rFonts w:cs="TimesNewRomanPS-ItalicMT"/>
          <w:i/>
          <w:iCs/>
        </w:rPr>
        <w:t>x</w:t>
      </w:r>
      <w:r w:rsidRPr="0001799E">
        <w:t xml:space="preserve">, sec. </w:t>
      </w:r>
      <w:r w:rsidRPr="0001799E">
        <w:rPr>
          <w:rFonts w:cs="TimesNewRomanPS-ItalicMT"/>
          <w:i/>
          <w:iCs/>
        </w:rPr>
        <w:t>x</w:t>
      </w:r>
      <w:r w:rsidRPr="0001799E">
        <w:t xml:space="preserve">, pp. </w:t>
      </w:r>
      <w:r w:rsidRPr="0001799E">
        <w:rPr>
          <w:rFonts w:cs="TimesNewRomanPS-ItalicMT"/>
          <w:i/>
          <w:iCs/>
        </w:rPr>
        <w:t>xxx–xxx.</w:t>
      </w:r>
    </w:p>
    <w:p w14:paraId="29235102" w14:textId="6D80D125" w:rsidR="006E3B17" w:rsidRPr="006E3B17" w:rsidRDefault="006E3B17" w:rsidP="000844AB">
      <w:pPr>
        <w:pStyle w:val="REFTxt"/>
      </w:pPr>
      <w:r w:rsidRPr="006E3B17">
        <w:t>See [1], [2].</w:t>
      </w:r>
    </w:p>
    <w:p w14:paraId="3247D71F" w14:textId="2C9E3AAC" w:rsidR="0001799E" w:rsidRDefault="006E3B17" w:rsidP="006E3B17">
      <w:pPr>
        <w:pStyle w:val="REFBUL"/>
      </w:pPr>
      <w:r w:rsidRPr="006E3B17">
        <w:t>Basic format for periodicals:</w:t>
      </w:r>
    </w:p>
    <w:p w14:paraId="29636EE8" w14:textId="7EFB9281" w:rsidR="001316F6" w:rsidRDefault="001316F6" w:rsidP="004D0E4A">
      <w:pPr>
        <w:pStyle w:val="REFTxt"/>
        <w:rPr>
          <w:lang w:eastAsia="en-IN"/>
        </w:rPr>
      </w:pPr>
      <w:r>
        <w:rPr>
          <w:lang w:eastAsia="en-IN"/>
        </w:rPr>
        <w:t xml:space="preserve">J. K. Author, “Name of paper,” </w:t>
      </w:r>
      <w:r w:rsidRPr="001316F6">
        <w:rPr>
          <w:rFonts w:eastAsia="NimbusRomNo9L-ReguItal"/>
          <w:i/>
          <w:iCs/>
        </w:rPr>
        <w:t>Abbrev. Title of Periodical</w:t>
      </w:r>
      <w:r>
        <w:rPr>
          <w:lang w:eastAsia="en-IN"/>
        </w:rPr>
        <w:t xml:space="preserve">, vol. </w:t>
      </w:r>
      <w:r w:rsidRPr="00B313EF">
        <w:rPr>
          <w:rFonts w:eastAsia="NimbusRomNo9L-ReguItal"/>
          <w:i/>
        </w:rPr>
        <w:t>x</w:t>
      </w:r>
      <w:r w:rsidRPr="009116B8">
        <w:rPr>
          <w:rFonts w:eastAsia="NimbusRomNo9L-ReguItal"/>
        </w:rPr>
        <w:t>, no</w:t>
      </w:r>
      <w:r>
        <w:rPr>
          <w:lang w:eastAsia="en-IN"/>
        </w:rPr>
        <w:t xml:space="preserve">. </w:t>
      </w:r>
      <w:r w:rsidRPr="00B313EF">
        <w:rPr>
          <w:rFonts w:eastAsia="CMMI10"/>
          <w:i/>
        </w:rPr>
        <w:t>x</w:t>
      </w:r>
      <w:r w:rsidRPr="009116B8">
        <w:rPr>
          <w:rFonts w:eastAsia="CMMI10"/>
        </w:rPr>
        <w:t>,</w:t>
      </w:r>
      <w:r>
        <w:rPr>
          <w:rFonts w:eastAsia="CMMI10"/>
          <w:i/>
          <w:iCs/>
        </w:rPr>
        <w:t xml:space="preserve"> </w:t>
      </w:r>
      <w:r>
        <w:rPr>
          <w:lang w:eastAsia="en-IN"/>
        </w:rPr>
        <w:t>pp</w:t>
      </w:r>
      <w:r w:rsidRPr="009116B8">
        <w:rPr>
          <w:rFonts w:eastAsia="NimbusRomNo9L-ReguItal"/>
        </w:rPr>
        <w:t xml:space="preserve">. </w:t>
      </w:r>
      <w:r w:rsidRPr="00B313EF">
        <w:rPr>
          <w:rFonts w:eastAsia="NimbusRomNo9L-ReguItal"/>
          <w:i/>
        </w:rPr>
        <w:t>xxx</w:t>
      </w:r>
      <w:r w:rsidR="00EC2CC3">
        <w:rPr>
          <w:lang w:eastAsia="en-IN"/>
        </w:rPr>
        <w:t>–</w:t>
      </w:r>
      <w:r w:rsidRPr="00B313EF">
        <w:rPr>
          <w:rFonts w:eastAsia="NimbusRomNo9L-ReguItal"/>
          <w:i/>
        </w:rPr>
        <w:t>xxx</w:t>
      </w:r>
      <w:r w:rsidRPr="009116B8">
        <w:rPr>
          <w:rFonts w:eastAsia="NimbusRomNo9L-ReguItal"/>
        </w:rPr>
        <w:t xml:space="preserve">, </w:t>
      </w:r>
      <w:r>
        <w:rPr>
          <w:lang w:eastAsia="en-IN"/>
        </w:rPr>
        <w:t>Abbrev. Month, year, DOI. 10.1109.</w:t>
      </w:r>
      <w:r w:rsidRPr="00B313EF">
        <w:rPr>
          <w:rFonts w:eastAsia="NimbusRomNo9L-ReguItal"/>
          <w:i/>
        </w:rPr>
        <w:t>XXX</w:t>
      </w:r>
      <w:r>
        <w:rPr>
          <w:lang w:eastAsia="en-IN"/>
        </w:rPr>
        <w:t>.123456.</w:t>
      </w:r>
    </w:p>
    <w:p w14:paraId="01F1401C" w14:textId="4C9BF7C0" w:rsidR="001316F6" w:rsidRDefault="001316F6" w:rsidP="001316F6">
      <w:pPr>
        <w:pStyle w:val="REFTxt"/>
        <w:rPr>
          <w:lang w:eastAsia="en-IN"/>
        </w:rPr>
      </w:pPr>
      <w:r>
        <w:rPr>
          <w:lang w:eastAsia="en-IN"/>
        </w:rPr>
        <w:t>See [3]</w:t>
      </w:r>
      <w:proofErr w:type="gramStart"/>
      <w:r>
        <w:rPr>
          <w:lang w:eastAsia="en-IN"/>
        </w:rPr>
        <w:t>–[</w:t>
      </w:r>
      <w:proofErr w:type="gramEnd"/>
      <w:r>
        <w:rPr>
          <w:lang w:eastAsia="en-IN"/>
        </w:rPr>
        <w:t>5].</w:t>
      </w:r>
    </w:p>
    <w:p w14:paraId="7B44719F" w14:textId="639ACB4F" w:rsidR="00B313EF" w:rsidRDefault="00B313EF" w:rsidP="00B313EF">
      <w:pPr>
        <w:pStyle w:val="REFBUL"/>
      </w:pPr>
      <w:r w:rsidRPr="00B313EF">
        <w:t>Basic format for reports:</w:t>
      </w:r>
    </w:p>
    <w:p w14:paraId="7CC57EF1" w14:textId="15F8E17A" w:rsidR="00B313EF" w:rsidRDefault="00B313EF" w:rsidP="00B313EF">
      <w:pPr>
        <w:pStyle w:val="REFTxt"/>
        <w:rPr>
          <w:lang w:eastAsia="en-IN"/>
        </w:rPr>
      </w:pPr>
      <w:r>
        <w:rPr>
          <w:lang w:eastAsia="en-IN"/>
        </w:rPr>
        <w:t xml:space="preserve">J. K. Author, “Title of report,” Abbrev. Name of Co., City of Co., Abbrev. State, Country, Rep. </w:t>
      </w:r>
      <w:r w:rsidRPr="00B313EF">
        <w:rPr>
          <w:i/>
          <w:lang w:eastAsia="en-IN"/>
        </w:rPr>
        <w:t>xxx</w:t>
      </w:r>
      <w:r>
        <w:rPr>
          <w:lang w:eastAsia="en-IN"/>
        </w:rPr>
        <w:t>, year.</w:t>
      </w:r>
    </w:p>
    <w:p w14:paraId="0C3F6A3A" w14:textId="3FA3F0A4" w:rsidR="00B313EF" w:rsidRPr="0001799E" w:rsidRDefault="00B313EF" w:rsidP="00B313EF">
      <w:pPr>
        <w:pStyle w:val="REFTxt"/>
      </w:pPr>
      <w:r>
        <w:rPr>
          <w:lang w:eastAsia="en-IN"/>
        </w:rPr>
        <w:t>See [6], [7].</w:t>
      </w:r>
    </w:p>
    <w:p w14:paraId="257D73A5" w14:textId="4FE76F2F" w:rsidR="00B313EF" w:rsidRDefault="00B313EF" w:rsidP="00B313EF">
      <w:pPr>
        <w:pStyle w:val="REFBUL"/>
      </w:pPr>
      <w:r w:rsidRPr="00B313EF">
        <w:t>Basic format for handbooks:</w:t>
      </w:r>
    </w:p>
    <w:p w14:paraId="3D1B5291" w14:textId="24727C4F" w:rsidR="00B313EF" w:rsidRPr="001C495F" w:rsidRDefault="00B313EF" w:rsidP="00B313EF">
      <w:pPr>
        <w:pStyle w:val="REFTxt"/>
        <w:rPr>
          <w:lang w:eastAsia="en-IN"/>
        </w:rPr>
      </w:pPr>
      <w:r w:rsidRPr="001C495F">
        <w:rPr>
          <w:i/>
          <w:lang w:eastAsia="en-IN"/>
        </w:rPr>
        <w:t>Name of Manual/Handbook</w:t>
      </w:r>
      <w:r w:rsidRPr="001C495F">
        <w:rPr>
          <w:lang w:eastAsia="en-IN"/>
        </w:rPr>
        <w:t xml:space="preserve">, </w:t>
      </w:r>
      <w:r w:rsidRPr="001C495F">
        <w:rPr>
          <w:i/>
          <w:lang w:eastAsia="en-IN"/>
        </w:rPr>
        <w:t>x</w:t>
      </w:r>
      <w:r w:rsidRPr="001C495F">
        <w:rPr>
          <w:lang w:eastAsia="en-IN"/>
        </w:rPr>
        <w:t xml:space="preserve"> ed., Abbrev. Name of Co., City of Co., Abbrev. State, Country, year, pp. </w:t>
      </w:r>
      <w:r w:rsidRPr="001C495F">
        <w:rPr>
          <w:i/>
          <w:lang w:eastAsia="en-IN"/>
        </w:rPr>
        <w:t>xxx</w:t>
      </w:r>
      <w:r w:rsidRPr="001C495F">
        <w:rPr>
          <w:lang w:eastAsia="en-IN"/>
        </w:rPr>
        <w:t>–</w:t>
      </w:r>
      <w:r w:rsidRPr="001C495F">
        <w:rPr>
          <w:i/>
          <w:lang w:eastAsia="en-IN"/>
        </w:rPr>
        <w:t>xxx</w:t>
      </w:r>
      <w:r w:rsidRPr="001C495F">
        <w:rPr>
          <w:lang w:eastAsia="en-IN"/>
        </w:rPr>
        <w:t>.</w:t>
      </w:r>
    </w:p>
    <w:p w14:paraId="612154D7" w14:textId="5C3B676E" w:rsidR="00B313EF" w:rsidRPr="0001799E" w:rsidRDefault="00B313EF" w:rsidP="00B313EF">
      <w:pPr>
        <w:pStyle w:val="REFTxt"/>
      </w:pPr>
      <w:r>
        <w:rPr>
          <w:lang w:eastAsia="en-IN"/>
        </w:rPr>
        <w:t>See [8], [9].</w:t>
      </w:r>
    </w:p>
    <w:p w14:paraId="6751ED22" w14:textId="55254573" w:rsidR="00E90A8F" w:rsidRDefault="00E90A8F" w:rsidP="00E90A8F">
      <w:pPr>
        <w:pStyle w:val="REFBUL"/>
      </w:pPr>
      <w:r w:rsidRPr="00E90A8F">
        <w:t>Basic format for books (when available online):</w:t>
      </w:r>
    </w:p>
    <w:p w14:paraId="18EC208B" w14:textId="000633D4" w:rsidR="00E90A8F" w:rsidRDefault="00E90A8F" w:rsidP="00E90A8F">
      <w:pPr>
        <w:pStyle w:val="REFTxt"/>
        <w:rPr>
          <w:lang w:eastAsia="en-IN"/>
        </w:rPr>
      </w:pPr>
      <w:r>
        <w:rPr>
          <w:lang w:eastAsia="en-IN"/>
        </w:rPr>
        <w:t xml:space="preserve">J. K. Author, “Title of chapter in the book,” in </w:t>
      </w:r>
      <w:r w:rsidRPr="00E90A8F">
        <w:rPr>
          <w:i/>
          <w:lang w:eastAsia="en-IN"/>
        </w:rPr>
        <w:t>Title of Published Book</w:t>
      </w:r>
      <w:r>
        <w:rPr>
          <w:lang w:eastAsia="en-IN"/>
        </w:rPr>
        <w:t xml:space="preserve">, </w:t>
      </w:r>
      <w:proofErr w:type="spellStart"/>
      <w:r w:rsidRPr="00E90A8F">
        <w:rPr>
          <w:i/>
          <w:lang w:eastAsia="en-IN"/>
        </w:rPr>
        <w:t>x</w:t>
      </w:r>
      <w:r>
        <w:rPr>
          <w:lang w:eastAsia="en-IN"/>
        </w:rPr>
        <w:t>th</w:t>
      </w:r>
      <w:proofErr w:type="spellEnd"/>
      <w:r>
        <w:rPr>
          <w:lang w:eastAsia="en-IN"/>
        </w:rPr>
        <w:t xml:space="preserve"> ed. City of Publisher, </w:t>
      </w:r>
      <w:proofErr w:type="gramStart"/>
      <w:r>
        <w:rPr>
          <w:lang w:eastAsia="en-IN"/>
        </w:rPr>
        <w:t>State,  Country</w:t>
      </w:r>
      <w:proofErr w:type="gramEnd"/>
      <w:r>
        <w:rPr>
          <w:lang w:eastAsia="en-IN"/>
        </w:rPr>
        <w:t xml:space="preserve">: Abbrev. of Publisher, year, </w:t>
      </w:r>
      <w:proofErr w:type="spellStart"/>
      <w:r>
        <w:rPr>
          <w:lang w:eastAsia="en-IN"/>
        </w:rPr>
        <w:t>ch.</w:t>
      </w:r>
      <w:proofErr w:type="spellEnd"/>
      <w:r>
        <w:rPr>
          <w:lang w:eastAsia="en-IN"/>
        </w:rPr>
        <w:t xml:space="preserve"> </w:t>
      </w:r>
      <w:r w:rsidRPr="00E90A8F">
        <w:rPr>
          <w:i/>
          <w:lang w:eastAsia="en-IN"/>
        </w:rPr>
        <w:t>x</w:t>
      </w:r>
      <w:r>
        <w:rPr>
          <w:lang w:eastAsia="en-IN"/>
        </w:rPr>
        <w:t xml:space="preserve">, sec. </w:t>
      </w:r>
      <w:r w:rsidRPr="00E90A8F">
        <w:rPr>
          <w:i/>
          <w:lang w:eastAsia="en-IN"/>
        </w:rPr>
        <w:t>x</w:t>
      </w:r>
      <w:r>
        <w:rPr>
          <w:lang w:eastAsia="en-IN"/>
        </w:rPr>
        <w:t xml:space="preserve">, pp. </w:t>
      </w:r>
      <w:r w:rsidRPr="00E90A8F">
        <w:rPr>
          <w:i/>
          <w:lang w:eastAsia="en-IN"/>
        </w:rPr>
        <w:t>xxx</w:t>
      </w:r>
      <w:r>
        <w:rPr>
          <w:lang w:eastAsia="en-IN"/>
        </w:rPr>
        <w:t>–</w:t>
      </w:r>
      <w:r w:rsidRPr="00E90A8F">
        <w:rPr>
          <w:i/>
          <w:lang w:eastAsia="en-IN"/>
        </w:rPr>
        <w:t>xxx</w:t>
      </w:r>
      <w:r>
        <w:rPr>
          <w:lang w:eastAsia="en-IN"/>
        </w:rPr>
        <w:t xml:space="preserve">. [Online]. Available: </w:t>
      </w:r>
      <w:r w:rsidRPr="00E90A8F">
        <w:rPr>
          <w:u w:val="single"/>
          <w:lang w:eastAsia="en-IN"/>
        </w:rPr>
        <w:t>http://www.web.com</w:t>
      </w:r>
    </w:p>
    <w:p w14:paraId="0B972888" w14:textId="1F5C13AD" w:rsidR="00E90A8F" w:rsidRPr="0001799E" w:rsidRDefault="002D54D7" w:rsidP="00E90A8F">
      <w:pPr>
        <w:pStyle w:val="REFTxt"/>
      </w:pPr>
      <w:r>
        <w:rPr>
          <w:lang w:eastAsia="en-IN"/>
        </w:rPr>
        <w:t>See [10]</w:t>
      </w:r>
      <w:proofErr w:type="gramStart"/>
      <w:r>
        <w:rPr>
          <w:lang w:eastAsia="en-IN"/>
        </w:rPr>
        <w:t>–</w:t>
      </w:r>
      <w:r w:rsidR="00E90A8F">
        <w:rPr>
          <w:lang w:eastAsia="en-IN"/>
        </w:rPr>
        <w:t>[</w:t>
      </w:r>
      <w:proofErr w:type="gramEnd"/>
      <w:r w:rsidR="00E90A8F">
        <w:rPr>
          <w:lang w:eastAsia="en-IN"/>
        </w:rPr>
        <w:t>13].</w:t>
      </w:r>
    </w:p>
    <w:p w14:paraId="77F32156" w14:textId="45ADBE86" w:rsidR="00A4099B" w:rsidRDefault="00A4099B" w:rsidP="00A4099B">
      <w:pPr>
        <w:pStyle w:val="REFBUL"/>
      </w:pPr>
      <w:r w:rsidRPr="00A4099B">
        <w:t>Basic format for journals (when available online):</w:t>
      </w:r>
    </w:p>
    <w:p w14:paraId="4552CD90" w14:textId="77F5676C" w:rsidR="00A4099B" w:rsidRDefault="002D54D7" w:rsidP="002D54D7">
      <w:pPr>
        <w:pStyle w:val="REFTxt"/>
        <w:rPr>
          <w:lang w:eastAsia="en-IN"/>
        </w:rPr>
      </w:pPr>
      <w:r>
        <w:rPr>
          <w:lang w:eastAsia="en-IN"/>
        </w:rPr>
        <w:t xml:space="preserve">J. K. Author, “Name of paper,” </w:t>
      </w:r>
      <w:r w:rsidRPr="002D54D7">
        <w:rPr>
          <w:i/>
          <w:lang w:eastAsia="en-IN"/>
        </w:rPr>
        <w:t>Abbrev. Title of</w:t>
      </w:r>
      <w:r>
        <w:rPr>
          <w:i/>
          <w:lang w:eastAsia="en-IN"/>
        </w:rPr>
        <w:t xml:space="preserve"> </w:t>
      </w:r>
      <w:r w:rsidRPr="002D54D7">
        <w:rPr>
          <w:i/>
          <w:lang w:eastAsia="en-IN"/>
        </w:rPr>
        <w:t>Periodical</w:t>
      </w:r>
      <w:r>
        <w:rPr>
          <w:lang w:eastAsia="en-IN"/>
        </w:rPr>
        <w:t xml:space="preserve">, vol. </w:t>
      </w:r>
      <w:r w:rsidRPr="002D54D7">
        <w:rPr>
          <w:i/>
          <w:lang w:eastAsia="en-IN"/>
        </w:rPr>
        <w:t>x</w:t>
      </w:r>
      <w:r>
        <w:rPr>
          <w:lang w:eastAsia="en-IN"/>
        </w:rPr>
        <w:t xml:space="preserve">, no. </w:t>
      </w:r>
      <w:r w:rsidRPr="002D54D7">
        <w:rPr>
          <w:i/>
          <w:lang w:eastAsia="en-IN"/>
        </w:rPr>
        <w:t>x</w:t>
      </w:r>
      <w:r>
        <w:rPr>
          <w:lang w:eastAsia="en-IN"/>
        </w:rPr>
        <w:t xml:space="preserve">, pp. </w:t>
      </w:r>
      <w:r w:rsidRPr="002D54D7">
        <w:rPr>
          <w:i/>
          <w:lang w:eastAsia="en-IN"/>
        </w:rPr>
        <w:t>xxx</w:t>
      </w:r>
      <w:r>
        <w:rPr>
          <w:lang w:eastAsia="en-IN"/>
        </w:rPr>
        <w:t>–</w:t>
      </w:r>
      <w:r w:rsidRPr="002D54D7">
        <w:rPr>
          <w:i/>
          <w:lang w:eastAsia="en-IN"/>
        </w:rPr>
        <w:t>xxx</w:t>
      </w:r>
      <w:r>
        <w:rPr>
          <w:lang w:eastAsia="en-IN"/>
        </w:rPr>
        <w:t>, Abbrev. Month, year. Accessed on: Month, Day, year, DOI: 10.1109.</w:t>
      </w:r>
      <w:r w:rsidRPr="002D54D7">
        <w:rPr>
          <w:i/>
          <w:lang w:eastAsia="en-IN"/>
        </w:rPr>
        <w:t>XXX</w:t>
      </w:r>
      <w:r>
        <w:rPr>
          <w:lang w:eastAsia="en-IN"/>
        </w:rPr>
        <w:t>.123456, [Online].</w:t>
      </w:r>
    </w:p>
    <w:p w14:paraId="14A4E7C1" w14:textId="74A6B59E" w:rsidR="00A4099B" w:rsidRPr="0001799E" w:rsidRDefault="00A4099B" w:rsidP="00A4099B">
      <w:pPr>
        <w:pStyle w:val="REFTxt"/>
      </w:pPr>
      <w:r>
        <w:rPr>
          <w:lang w:eastAsia="en-IN"/>
        </w:rPr>
        <w:t>See [1</w:t>
      </w:r>
      <w:r w:rsidR="002D54D7">
        <w:rPr>
          <w:lang w:eastAsia="en-IN"/>
        </w:rPr>
        <w:t>4]</w:t>
      </w:r>
      <w:proofErr w:type="gramStart"/>
      <w:r w:rsidR="002D54D7">
        <w:rPr>
          <w:lang w:eastAsia="en-IN"/>
        </w:rPr>
        <w:t>–</w:t>
      </w:r>
      <w:r>
        <w:rPr>
          <w:lang w:eastAsia="en-IN"/>
        </w:rPr>
        <w:t>[</w:t>
      </w:r>
      <w:proofErr w:type="gramEnd"/>
      <w:r>
        <w:rPr>
          <w:lang w:eastAsia="en-IN"/>
        </w:rPr>
        <w:t>1</w:t>
      </w:r>
      <w:r w:rsidR="002D54D7">
        <w:rPr>
          <w:lang w:eastAsia="en-IN"/>
        </w:rPr>
        <w:t>6</w:t>
      </w:r>
      <w:r>
        <w:rPr>
          <w:lang w:eastAsia="en-IN"/>
        </w:rPr>
        <w:t>].</w:t>
      </w:r>
    </w:p>
    <w:p w14:paraId="15E1284A" w14:textId="3C0D098B" w:rsidR="002D54D7" w:rsidRDefault="002D54D7" w:rsidP="002D54D7">
      <w:pPr>
        <w:pStyle w:val="REFBUL"/>
      </w:pPr>
      <w:r>
        <w:t>Basic format for papers presented at conferences (when</w:t>
      </w:r>
      <w:r w:rsidR="008C4341">
        <w:t xml:space="preserve"> </w:t>
      </w:r>
      <w:r>
        <w:t>available online):</w:t>
      </w:r>
    </w:p>
    <w:p w14:paraId="26629B99" w14:textId="22F140E1" w:rsidR="002D54D7" w:rsidRPr="00DC1FAF" w:rsidRDefault="002D54D7" w:rsidP="002D54D7">
      <w:pPr>
        <w:pStyle w:val="REFTxt"/>
        <w:rPr>
          <w:spacing w:val="-2"/>
          <w:lang w:eastAsia="en-IN"/>
        </w:rPr>
      </w:pPr>
      <w:r w:rsidRPr="00DC1FAF">
        <w:rPr>
          <w:spacing w:val="-2"/>
          <w:lang w:eastAsia="en-IN"/>
        </w:rPr>
        <w:t>J.K. Author. (year, month). Title. presented at abbrev. conference title. [Type of Medium]. Available: site/path/file</w:t>
      </w:r>
    </w:p>
    <w:p w14:paraId="3B368328" w14:textId="2FF80FFB" w:rsidR="002D54D7" w:rsidRPr="0001799E" w:rsidRDefault="002D54D7" w:rsidP="002D54D7">
      <w:pPr>
        <w:pStyle w:val="REFTxt"/>
      </w:pPr>
      <w:r>
        <w:rPr>
          <w:lang w:eastAsia="en-IN"/>
        </w:rPr>
        <w:t>See [17].</w:t>
      </w:r>
    </w:p>
    <w:p w14:paraId="123C3130" w14:textId="4BB3277E" w:rsidR="008C4341" w:rsidRDefault="008C4341" w:rsidP="008C4341">
      <w:pPr>
        <w:pStyle w:val="REFBUL"/>
      </w:pPr>
      <w:r>
        <w:t>Basic format for reports and handbooks (when available</w:t>
      </w:r>
      <w:r w:rsidR="004360DF">
        <w:t xml:space="preserve"> </w:t>
      </w:r>
      <w:r>
        <w:t>online):</w:t>
      </w:r>
    </w:p>
    <w:p w14:paraId="2A37B656" w14:textId="0DE24B06" w:rsidR="008C4341" w:rsidRDefault="003412F9" w:rsidP="003412F9">
      <w:pPr>
        <w:pStyle w:val="REFTxt"/>
        <w:rPr>
          <w:lang w:eastAsia="en-IN"/>
        </w:rPr>
      </w:pPr>
      <w:r>
        <w:rPr>
          <w:lang w:eastAsia="en-IN"/>
        </w:rPr>
        <w:t>J. K. Author. “Title of report,” Company. City, State, Country. Rep. no., (optional: vol./issue), Date. [Online] Available: site/path/file</w:t>
      </w:r>
    </w:p>
    <w:p w14:paraId="365AC80D" w14:textId="6CE13AAE" w:rsidR="008C4341" w:rsidRPr="0001799E" w:rsidRDefault="003412F9" w:rsidP="008C4341">
      <w:pPr>
        <w:pStyle w:val="REFTxt"/>
      </w:pPr>
      <w:r w:rsidRPr="003412F9">
        <w:rPr>
          <w:lang w:eastAsia="en-IN"/>
        </w:rPr>
        <w:t>See [18], [19].</w:t>
      </w:r>
    </w:p>
    <w:p w14:paraId="01B7BDE0" w14:textId="0D3D027C" w:rsidR="004C1DD3" w:rsidRDefault="004C1DD3" w:rsidP="004C1DD3">
      <w:pPr>
        <w:pStyle w:val="REFBUL"/>
      </w:pPr>
      <w:r>
        <w:t>Basic format for computer programs and electronic</w:t>
      </w:r>
      <w:r w:rsidR="00E77E5A">
        <w:t xml:space="preserve"> </w:t>
      </w:r>
      <w:r>
        <w:t>documents (when available online):</w:t>
      </w:r>
    </w:p>
    <w:p w14:paraId="00FBE3F7" w14:textId="2BD6EE29" w:rsidR="004C1DD3" w:rsidRDefault="00E77E5A" w:rsidP="00E77E5A">
      <w:pPr>
        <w:pStyle w:val="REFTxt"/>
        <w:rPr>
          <w:lang w:eastAsia="en-IN"/>
        </w:rPr>
      </w:pPr>
      <w:r>
        <w:rPr>
          <w:lang w:eastAsia="en-IN"/>
        </w:rPr>
        <w:t xml:space="preserve">Legislative body. Number of Congress, Session. (year, month day). </w:t>
      </w:r>
      <w:r w:rsidRPr="00F74621">
        <w:rPr>
          <w:i/>
          <w:lang w:eastAsia="en-IN"/>
        </w:rPr>
        <w:t>Number of bill or resolution</w:t>
      </w:r>
      <w:r>
        <w:rPr>
          <w:lang w:eastAsia="en-IN"/>
        </w:rPr>
        <w:t xml:space="preserve">, </w:t>
      </w:r>
      <w:r w:rsidRPr="00F74621">
        <w:rPr>
          <w:i/>
          <w:lang w:eastAsia="en-IN"/>
        </w:rPr>
        <w:t>Title</w:t>
      </w:r>
      <w:r>
        <w:rPr>
          <w:lang w:eastAsia="en-IN"/>
        </w:rPr>
        <w:t>. [Type of medium]. Available: site/path/file</w:t>
      </w:r>
    </w:p>
    <w:p w14:paraId="5A6526F0" w14:textId="129CA9A3" w:rsidR="004C1DD3" w:rsidRDefault="00F74621" w:rsidP="004C1DD3">
      <w:pPr>
        <w:pStyle w:val="REFTxt"/>
        <w:rPr>
          <w:lang w:eastAsia="en-IN"/>
        </w:rPr>
      </w:pPr>
      <w:r w:rsidRPr="00F74621">
        <w:rPr>
          <w:lang w:eastAsia="en-IN"/>
        </w:rPr>
        <w:t>See [20].</w:t>
      </w:r>
    </w:p>
    <w:p w14:paraId="5DCCFB6C" w14:textId="1738E3A7" w:rsidR="00C4392E" w:rsidRDefault="00C4392E" w:rsidP="00C4392E">
      <w:pPr>
        <w:pStyle w:val="REFBUL"/>
      </w:pPr>
      <w:r>
        <w:t xml:space="preserve">Basic format for patents (when available online): </w:t>
      </w:r>
    </w:p>
    <w:p w14:paraId="51DE6086" w14:textId="1B6E00FD" w:rsidR="00C4392E" w:rsidRDefault="00C4392E" w:rsidP="00C4392E">
      <w:pPr>
        <w:pStyle w:val="REFTxt"/>
      </w:pPr>
      <w:r>
        <w:t>Name of the invention, by inventor’s name. (year, month day). Patent Number [Type of medium]. Available: site/path/file</w:t>
      </w:r>
    </w:p>
    <w:p w14:paraId="5B29D2F0" w14:textId="77777777" w:rsidR="00C4392E" w:rsidRDefault="00C4392E" w:rsidP="00C4392E">
      <w:pPr>
        <w:pStyle w:val="REFTxt"/>
      </w:pPr>
      <w:r>
        <w:t>See [21].</w:t>
      </w:r>
    </w:p>
    <w:p w14:paraId="6E8E2E5B" w14:textId="3FFFA401" w:rsidR="00C4392E" w:rsidRDefault="00C4392E" w:rsidP="00C4392E">
      <w:pPr>
        <w:pStyle w:val="REFBUL"/>
      </w:pPr>
      <w:r>
        <w:t>Basic format</w:t>
      </w:r>
      <w:r w:rsidR="00472E27">
        <w:t xml:space="preserve"> </w:t>
      </w:r>
      <w:r>
        <w:t>for conference proceedings (published):</w:t>
      </w:r>
    </w:p>
    <w:p w14:paraId="6A207E94" w14:textId="2EB69A0B" w:rsidR="00C4392E" w:rsidRPr="0001799E" w:rsidRDefault="00C4392E" w:rsidP="00C4392E">
      <w:pPr>
        <w:pStyle w:val="REFTxt"/>
      </w:pPr>
      <w:r>
        <w:t xml:space="preserve">J. K. Author, “Title of paper,” in </w:t>
      </w:r>
      <w:r w:rsidRPr="00C4392E">
        <w:rPr>
          <w:i/>
        </w:rPr>
        <w:t>Abbreviated Name of Conf</w:t>
      </w:r>
      <w:r>
        <w:t xml:space="preserve">., City of Conf., Abbrev. State (if given), Country, year, pp. </w:t>
      </w:r>
      <w:proofErr w:type="spellStart"/>
      <w:r w:rsidRPr="00C4392E">
        <w:rPr>
          <w:i/>
        </w:rPr>
        <w:t>xxxxxx</w:t>
      </w:r>
      <w:proofErr w:type="spellEnd"/>
      <w:r>
        <w:t>.</w:t>
      </w:r>
    </w:p>
    <w:p w14:paraId="1E0339E5" w14:textId="71BCC0C5" w:rsidR="00EA2030" w:rsidRDefault="00EA2030" w:rsidP="00EA2030">
      <w:pPr>
        <w:pStyle w:val="REFTxt"/>
      </w:pPr>
      <w:r>
        <w:t>See [22].</w:t>
      </w:r>
    </w:p>
    <w:p w14:paraId="2CE38FA1" w14:textId="77777777" w:rsidR="00EA2030" w:rsidRDefault="00EA2030" w:rsidP="00EA2030">
      <w:pPr>
        <w:pStyle w:val="REFBUL"/>
        <w:rPr>
          <w:rFonts w:eastAsia="NimbusRomNo9L-ReguItal"/>
          <w:lang w:eastAsia="en-IN"/>
        </w:rPr>
      </w:pPr>
      <w:r>
        <w:rPr>
          <w:rFonts w:eastAsia="NimbusRomNo9L-ReguItal"/>
          <w:lang w:eastAsia="en-IN"/>
        </w:rPr>
        <w:t>Example for papers presented at conferences (unpublished):</w:t>
      </w:r>
    </w:p>
    <w:p w14:paraId="25B84D37" w14:textId="3109E6BC" w:rsidR="00B313EF" w:rsidRDefault="00EA2030" w:rsidP="00EA2030">
      <w:pPr>
        <w:pStyle w:val="REFTxt"/>
        <w:rPr>
          <w:rFonts w:eastAsia="NimbusRomNo9L-ReguItal"/>
          <w:lang w:eastAsia="en-IN"/>
        </w:rPr>
      </w:pPr>
      <w:r>
        <w:rPr>
          <w:rFonts w:eastAsia="NimbusRomNo9L-ReguItal"/>
          <w:lang w:eastAsia="en-IN"/>
        </w:rPr>
        <w:t>See [23].</w:t>
      </w:r>
    </w:p>
    <w:p w14:paraId="0C0372F8" w14:textId="77777777" w:rsidR="005C7DF8" w:rsidRDefault="005C7DF8" w:rsidP="00C71521">
      <w:pPr>
        <w:pStyle w:val="REFBUL"/>
        <w:rPr>
          <w:rFonts w:eastAsia="NimbusRomNo9L-ReguItal"/>
          <w:lang w:eastAsia="en-IN"/>
        </w:rPr>
        <w:sectPr w:rsidR="005C7DF8" w:rsidSect="00CB2DB1">
          <w:footerReference w:type="default" r:id="rId19"/>
          <w:type w:val="continuous"/>
          <w:pgSz w:w="11520" w:h="15660" w:code="1"/>
          <w:pgMar w:top="1300" w:right="740" w:bottom="1040" w:left="740" w:header="360" w:footer="640" w:gutter="0"/>
          <w:cols w:num="2" w:space="400"/>
          <w:docGrid w:linePitch="360"/>
        </w:sectPr>
      </w:pPr>
    </w:p>
    <w:p w14:paraId="4101D4A8" w14:textId="1A74C056" w:rsidR="00C71521" w:rsidRDefault="00C71521" w:rsidP="00C71521">
      <w:pPr>
        <w:pStyle w:val="REFBUL"/>
        <w:rPr>
          <w:rFonts w:ascii="CMR10" w:eastAsia="CMR10" w:cs="CMR10"/>
          <w:lang w:eastAsia="en-IN"/>
        </w:rPr>
      </w:pPr>
      <w:r>
        <w:rPr>
          <w:rFonts w:eastAsia="NimbusRomNo9L-ReguItal"/>
          <w:lang w:eastAsia="en-IN"/>
        </w:rPr>
        <w:t>Basic format for patents</w:t>
      </w:r>
      <w:r>
        <w:rPr>
          <w:rFonts w:ascii="CMR10" w:eastAsia="CMR10" w:cs="CMR10"/>
          <w:lang w:eastAsia="en-IN"/>
        </w:rPr>
        <w:t>:</w:t>
      </w:r>
    </w:p>
    <w:p w14:paraId="2E542D7C" w14:textId="6E540419" w:rsidR="00C71521" w:rsidRDefault="00C71521" w:rsidP="00C71521">
      <w:pPr>
        <w:pStyle w:val="REFTxt"/>
        <w:rPr>
          <w:rFonts w:eastAsia="CMSY7"/>
          <w:lang w:eastAsia="en-IN"/>
        </w:rPr>
      </w:pPr>
      <w:r w:rsidRPr="00C71521">
        <w:rPr>
          <w:rFonts w:eastAsia="CMSY7"/>
        </w:rPr>
        <w:lastRenderedPageBreak/>
        <w:t xml:space="preserve">J. K. Author, “Title of patent,” U.S. Patent </w:t>
      </w:r>
      <w:r w:rsidRPr="00C71521">
        <w:rPr>
          <w:rFonts w:eastAsia="NimbusRomNo9L-ReguItal"/>
          <w:i/>
        </w:rPr>
        <w:t xml:space="preserve">x xxx </w:t>
      </w:r>
      <w:proofErr w:type="spellStart"/>
      <w:r w:rsidRPr="00C71521">
        <w:rPr>
          <w:rFonts w:eastAsia="NimbusRomNo9L-ReguItal"/>
          <w:i/>
        </w:rPr>
        <w:t>xxx</w:t>
      </w:r>
      <w:proofErr w:type="spellEnd"/>
      <w:r w:rsidRPr="00C71521">
        <w:rPr>
          <w:rFonts w:eastAsia="CMSY7"/>
        </w:rPr>
        <w:t>,</w:t>
      </w:r>
      <w:r w:rsidR="00DC1FAF">
        <w:rPr>
          <w:rFonts w:eastAsia="CMSY7"/>
        </w:rPr>
        <w:t xml:space="preserve"> </w:t>
      </w:r>
      <w:r>
        <w:rPr>
          <w:rFonts w:eastAsia="CMSY7"/>
          <w:lang w:eastAsia="en-IN"/>
        </w:rPr>
        <w:t>Abbrev. Month, day, year.</w:t>
      </w:r>
    </w:p>
    <w:p w14:paraId="6E61BC7F" w14:textId="77777777" w:rsidR="00C71521" w:rsidRDefault="00C71521" w:rsidP="00C71521">
      <w:pPr>
        <w:pStyle w:val="REFTxt"/>
        <w:rPr>
          <w:rFonts w:eastAsia="CMSY7"/>
          <w:lang w:eastAsia="en-IN"/>
        </w:rPr>
      </w:pPr>
      <w:r>
        <w:rPr>
          <w:rFonts w:eastAsia="CMSY7"/>
          <w:lang w:eastAsia="en-IN"/>
        </w:rPr>
        <w:t>See [24].</w:t>
      </w:r>
    </w:p>
    <w:p w14:paraId="4DC75C14" w14:textId="46E5756E" w:rsidR="00C71521" w:rsidRPr="00E90168" w:rsidRDefault="00C71521" w:rsidP="00C71521">
      <w:pPr>
        <w:pStyle w:val="REFBUL"/>
        <w:rPr>
          <w:spacing w:val="-4"/>
        </w:rPr>
      </w:pPr>
      <w:r w:rsidRPr="00E90168">
        <w:rPr>
          <w:rFonts w:eastAsia="NimbusRomNo9L-ReguItal"/>
          <w:spacing w:val="-4"/>
          <w:lang w:eastAsia="en-IN"/>
        </w:rPr>
        <w:t xml:space="preserve">Basic </w:t>
      </w:r>
      <w:r w:rsidRPr="00E90168">
        <w:rPr>
          <w:rFonts w:eastAsia="NimbusRomNo9L-ReguItal"/>
          <w:spacing w:val="-4"/>
        </w:rPr>
        <w:t>format</w:t>
      </w:r>
      <w:r w:rsidRPr="00E90168">
        <w:rPr>
          <w:rFonts w:eastAsia="NimbusRomNo9L-ReguItal"/>
          <w:spacing w:val="-4"/>
          <w:lang w:eastAsia="en-IN"/>
        </w:rPr>
        <w:t xml:space="preserve"> for theses (M.S.) and dissertations (Ph.D.):</w:t>
      </w:r>
    </w:p>
    <w:p w14:paraId="3B1686F0" w14:textId="241ACEEC" w:rsidR="0063306E" w:rsidRPr="0063306E" w:rsidRDefault="0063306E" w:rsidP="00E74E1D">
      <w:pPr>
        <w:pStyle w:val="REFTxt"/>
        <w:ind w:left="960" w:hanging="240"/>
      </w:pPr>
      <w:r w:rsidRPr="0063306E">
        <w:t>1)</w:t>
      </w:r>
      <w:r w:rsidRPr="0063306E">
        <w:tab/>
        <w:t>J. K. Author, “Title of thesis,” M.S. thesis, Abbrev. Dept., Abbrev. Univ., City of Univ., Abbrev. State, year.</w:t>
      </w:r>
    </w:p>
    <w:p w14:paraId="2A76F433" w14:textId="5AAE8184" w:rsidR="00B313EF" w:rsidRPr="0063306E" w:rsidRDefault="0063306E" w:rsidP="00E74E1D">
      <w:pPr>
        <w:pStyle w:val="REFTxt"/>
        <w:ind w:left="960" w:hanging="240"/>
      </w:pPr>
      <w:r w:rsidRPr="0063306E">
        <w:t>2)</w:t>
      </w:r>
      <w:r w:rsidRPr="0063306E">
        <w:tab/>
        <w:t>J. K. Author, “Title of dissertation,” Ph.D. dissertation, Abbrev. Dept., Abbrev. Univ., City of Univ., Abbrev. State, year.</w:t>
      </w:r>
    </w:p>
    <w:p w14:paraId="30830B5D" w14:textId="2F26D3EE" w:rsidR="00B313EF" w:rsidRDefault="0063306E" w:rsidP="001316F6">
      <w:pPr>
        <w:pStyle w:val="REFTxt"/>
        <w:rPr>
          <w:lang w:eastAsia="en-IN"/>
        </w:rPr>
      </w:pPr>
      <w:r w:rsidRPr="0063306E">
        <w:rPr>
          <w:rFonts w:eastAsia="CMSY7"/>
          <w:lang w:eastAsia="en-IN"/>
        </w:rPr>
        <w:t>See [25], [26].</w:t>
      </w:r>
    </w:p>
    <w:p w14:paraId="3187D636" w14:textId="2A37C267" w:rsidR="002A4118" w:rsidRPr="00D504EF" w:rsidRDefault="002A4118" w:rsidP="002A4118">
      <w:pPr>
        <w:pStyle w:val="REFBUL"/>
        <w:rPr>
          <w:spacing w:val="-4"/>
        </w:rPr>
      </w:pPr>
      <w:r w:rsidRPr="00D504EF">
        <w:rPr>
          <w:rFonts w:eastAsia="NimbusRomNo9L-ReguItal"/>
          <w:spacing w:val="-4"/>
          <w:lang w:eastAsia="en-IN"/>
        </w:rPr>
        <w:t>Basic format for the most common types of unpublished references:</w:t>
      </w:r>
    </w:p>
    <w:p w14:paraId="5B811F7E" w14:textId="4E3E66E3" w:rsidR="002A4118" w:rsidRDefault="002A4118" w:rsidP="00E74E1D">
      <w:pPr>
        <w:pStyle w:val="REFTxt"/>
        <w:ind w:left="960" w:hanging="240"/>
      </w:pPr>
      <w:r>
        <w:t>1)</w:t>
      </w:r>
      <w:r>
        <w:tab/>
        <w:t>J. K. Author, private communication, Abbrev. Month, year.</w:t>
      </w:r>
    </w:p>
    <w:p w14:paraId="03A1FD58" w14:textId="0CD4C1B0" w:rsidR="002A4118" w:rsidRDefault="002A4118" w:rsidP="00E74E1D">
      <w:pPr>
        <w:pStyle w:val="REFTxt"/>
        <w:ind w:left="960" w:hanging="240"/>
      </w:pPr>
      <w:r>
        <w:t>2)</w:t>
      </w:r>
      <w:r>
        <w:tab/>
        <w:t>J. K. Author, “Title of paper,” unpublished.</w:t>
      </w:r>
    </w:p>
    <w:p w14:paraId="43319DA0" w14:textId="6C526587" w:rsidR="002A4118" w:rsidRPr="0063306E" w:rsidRDefault="002A4118" w:rsidP="00E74E1D">
      <w:pPr>
        <w:pStyle w:val="REFTxt"/>
        <w:ind w:left="960" w:hanging="240"/>
      </w:pPr>
      <w:r>
        <w:t>3)</w:t>
      </w:r>
      <w:r>
        <w:tab/>
        <w:t>J. K. Author, “Title of paper,” to be published.</w:t>
      </w:r>
    </w:p>
    <w:p w14:paraId="7D4AF2E0" w14:textId="31DC4BB8" w:rsidR="00E43819" w:rsidRDefault="00B220B5" w:rsidP="00E43819">
      <w:pPr>
        <w:pStyle w:val="REFTxt"/>
        <w:rPr>
          <w:lang w:eastAsia="en-IN"/>
        </w:rPr>
      </w:pPr>
      <w:r>
        <w:rPr>
          <w:rFonts w:eastAsia="CMSY7"/>
          <w:lang w:eastAsia="en-IN"/>
        </w:rPr>
        <w:t>See [27]</w:t>
      </w:r>
      <w:proofErr w:type="gramStart"/>
      <w:r>
        <w:rPr>
          <w:rFonts w:eastAsia="CMSY7"/>
          <w:lang w:eastAsia="en-IN"/>
        </w:rPr>
        <w:t>–</w:t>
      </w:r>
      <w:r w:rsidR="00E43819" w:rsidRPr="00E43819">
        <w:rPr>
          <w:rFonts w:eastAsia="CMSY7"/>
          <w:lang w:eastAsia="en-IN"/>
        </w:rPr>
        <w:t>[</w:t>
      </w:r>
      <w:proofErr w:type="gramEnd"/>
      <w:r w:rsidR="00E43819" w:rsidRPr="00E43819">
        <w:rPr>
          <w:rFonts w:eastAsia="CMSY7"/>
          <w:lang w:eastAsia="en-IN"/>
        </w:rPr>
        <w:t>29].</w:t>
      </w:r>
    </w:p>
    <w:p w14:paraId="64C6B0E3" w14:textId="55559CCB" w:rsidR="004511F5" w:rsidRPr="00EA2030" w:rsidRDefault="004511F5" w:rsidP="004511F5">
      <w:pPr>
        <w:pStyle w:val="REFBUL"/>
      </w:pPr>
      <w:r w:rsidRPr="004511F5">
        <w:rPr>
          <w:rFonts w:eastAsia="NimbusRomNo9L-ReguItal"/>
          <w:lang w:eastAsia="en-IN"/>
        </w:rPr>
        <w:t>Basic formats for standards:</w:t>
      </w:r>
    </w:p>
    <w:p w14:paraId="458D24A6" w14:textId="63348ED2" w:rsidR="00076966" w:rsidRDefault="00076966" w:rsidP="00E74E1D">
      <w:pPr>
        <w:pStyle w:val="REFTxt"/>
        <w:ind w:left="960" w:hanging="240"/>
      </w:pPr>
      <w:r>
        <w:t>1)</w:t>
      </w:r>
      <w:r>
        <w:tab/>
      </w:r>
      <w:r w:rsidRPr="00B220B5">
        <w:rPr>
          <w:i/>
        </w:rPr>
        <w:t>Title of Standard</w:t>
      </w:r>
      <w:r>
        <w:t>, Standard number, date.</w:t>
      </w:r>
    </w:p>
    <w:p w14:paraId="357CEFB9" w14:textId="57231799" w:rsidR="004511F5" w:rsidRDefault="00076966" w:rsidP="00E74E1D">
      <w:pPr>
        <w:pStyle w:val="REFTxt"/>
        <w:ind w:left="960" w:hanging="240"/>
      </w:pPr>
      <w:r>
        <w:t>2)</w:t>
      </w:r>
      <w:r>
        <w:tab/>
      </w:r>
      <w:r w:rsidRPr="00B220B5">
        <w:rPr>
          <w:i/>
        </w:rPr>
        <w:t>Title of Standard</w:t>
      </w:r>
      <w:r>
        <w:t xml:space="preserve">, Standard number, </w:t>
      </w:r>
      <w:proofErr w:type="gramStart"/>
      <w:r>
        <w:t>Corporate</w:t>
      </w:r>
      <w:proofErr w:type="gramEnd"/>
      <w:r>
        <w:t xml:space="preserve"> author, location, date.</w:t>
      </w:r>
    </w:p>
    <w:p w14:paraId="6B518CF6" w14:textId="3FAE9636" w:rsidR="00B220B5" w:rsidRDefault="00B220B5" w:rsidP="00B220B5">
      <w:pPr>
        <w:pStyle w:val="REFTxt"/>
        <w:rPr>
          <w:lang w:eastAsia="en-IN"/>
        </w:rPr>
      </w:pPr>
      <w:r w:rsidRPr="00B220B5">
        <w:rPr>
          <w:rFonts w:eastAsia="CMSY7"/>
          <w:lang w:eastAsia="en-IN"/>
        </w:rPr>
        <w:t>See [30], [31].</w:t>
      </w:r>
    </w:p>
    <w:p w14:paraId="59A6083E" w14:textId="00CE7212" w:rsidR="00090D81" w:rsidRPr="00EA2030" w:rsidRDefault="00090D81" w:rsidP="00090D81">
      <w:pPr>
        <w:pStyle w:val="REFBUL"/>
      </w:pPr>
      <w:r w:rsidRPr="00090D81">
        <w:rPr>
          <w:rFonts w:eastAsia="NimbusRomNo9L-ReguItal"/>
          <w:lang w:eastAsia="en-IN"/>
        </w:rPr>
        <w:t>Article number in reference examples:</w:t>
      </w:r>
    </w:p>
    <w:p w14:paraId="6E5618CD" w14:textId="45AB62F3" w:rsidR="00FA1CDC" w:rsidRDefault="00FA1CDC" w:rsidP="00FA1CDC">
      <w:pPr>
        <w:pStyle w:val="REFTxt"/>
        <w:rPr>
          <w:lang w:eastAsia="en-IN"/>
        </w:rPr>
      </w:pPr>
      <w:r w:rsidRPr="00FA1CDC">
        <w:rPr>
          <w:rFonts w:eastAsia="CMSY7"/>
          <w:lang w:eastAsia="en-IN"/>
        </w:rPr>
        <w:t>See [32], [33].</w:t>
      </w:r>
    </w:p>
    <w:p w14:paraId="49BFD498" w14:textId="27ABCF18" w:rsidR="002D7313" w:rsidRPr="00EA2030" w:rsidRDefault="002D7313" w:rsidP="002D7313">
      <w:pPr>
        <w:pStyle w:val="REFBUL"/>
      </w:pPr>
      <w:r w:rsidRPr="002D7313">
        <w:rPr>
          <w:rFonts w:eastAsia="NimbusRomNo9L-ReguItal"/>
          <w:lang w:eastAsia="en-IN"/>
        </w:rPr>
        <w:t>Example when using et al.:</w:t>
      </w:r>
    </w:p>
    <w:p w14:paraId="5F4BA7E7" w14:textId="734D7ADD" w:rsidR="002D7313" w:rsidRDefault="00B80094" w:rsidP="002D7313">
      <w:pPr>
        <w:pStyle w:val="REFTxt"/>
        <w:rPr>
          <w:lang w:eastAsia="en-IN"/>
        </w:rPr>
      </w:pPr>
      <w:r w:rsidRPr="00B80094">
        <w:rPr>
          <w:rFonts w:eastAsia="CMSY7"/>
          <w:lang w:eastAsia="en-IN"/>
        </w:rPr>
        <w:t>See [34].</w:t>
      </w:r>
    </w:p>
    <w:p w14:paraId="59AAA22F" w14:textId="47075BC2" w:rsidR="00EC7F67" w:rsidRPr="001C597C" w:rsidRDefault="00EC7F67" w:rsidP="001E4083">
      <w:pPr>
        <w:pStyle w:val="H1"/>
        <w:spacing w:before="300"/>
      </w:pPr>
      <w:r w:rsidRPr="00EC7F67">
        <w:t>ACKNOWLEDGMENT</w:t>
      </w:r>
    </w:p>
    <w:p w14:paraId="2E57C986" w14:textId="40F1945E" w:rsidR="00B313EF" w:rsidRDefault="00B71D96" w:rsidP="00067C21">
      <w:pPr>
        <w:pStyle w:val="PARA"/>
        <w:rPr>
          <w:lang w:eastAsia="en-IN"/>
        </w:rPr>
      </w:pPr>
      <w:r>
        <w:t xml:space="preserve">The preferred spelling of the word “acknowledgment” in American English is without an “e” after the “g.” Use the singular heading even if you have many acknowledgments. Avoid expressions such as “One of us (S.B.A.) would like to thank </w:t>
      </w:r>
      <w:proofErr w:type="gramStart"/>
      <w:r>
        <w:t>. . . .</w:t>
      </w:r>
      <w:proofErr w:type="gramEnd"/>
      <w:r>
        <w:t xml:space="preserve">” Instead, write “F. A. Author thanks </w:t>
      </w:r>
      <w:proofErr w:type="gramStart"/>
      <w:r>
        <w:t>. . . .</w:t>
      </w:r>
      <w:proofErr w:type="gramEnd"/>
      <w:r>
        <w:t>” In most cases, sponsor and financial support acknowledgments are placed in the unnumbered footnote on the first page, not here.</w:t>
      </w:r>
    </w:p>
    <w:p w14:paraId="7CD699F9" w14:textId="11B3F755" w:rsidR="00067C21" w:rsidRPr="001C597C" w:rsidRDefault="00067C21" w:rsidP="001E4083">
      <w:pPr>
        <w:pStyle w:val="H1"/>
        <w:spacing w:before="300"/>
      </w:pPr>
      <w:r w:rsidRPr="00067C21">
        <w:t>REFERENCES</w:t>
      </w:r>
    </w:p>
    <w:p w14:paraId="332CC709" w14:textId="77777777" w:rsidR="002A24AD" w:rsidRDefault="002A24AD" w:rsidP="002A24AD">
      <w:pPr>
        <w:pStyle w:val="References"/>
      </w:pPr>
      <w:r>
        <w:t xml:space="preserve">G. O. Young, “Synthetic structure of industrial plastics,” in </w:t>
      </w:r>
      <w:r w:rsidRPr="00F65DD1">
        <w:rPr>
          <w:rFonts w:eastAsia="NimbusRomNo9L-ReguItal"/>
          <w:i/>
        </w:rPr>
        <w:t xml:space="preserve">Plastics, </w:t>
      </w:r>
      <w:r>
        <w:t>2</w:t>
      </w:r>
      <w:r w:rsidRPr="003036BA">
        <w:rPr>
          <w:vertAlign w:val="superscript"/>
        </w:rPr>
        <w:t>nd</w:t>
      </w:r>
      <w:r w:rsidRPr="003036BA">
        <w:t xml:space="preserve"> </w:t>
      </w:r>
      <w:r>
        <w:t>ed., vol. 3, J. Peters, Ed. New York, NY, USA: McGraw-Hill, 1964, pp.15–64.</w:t>
      </w:r>
    </w:p>
    <w:p w14:paraId="57DC7C02" w14:textId="77777777" w:rsidR="002A24AD" w:rsidRDefault="002A24AD" w:rsidP="002A24AD">
      <w:pPr>
        <w:pStyle w:val="References"/>
      </w:pPr>
      <w:r>
        <w:t xml:space="preserve">W.-K. Chen, </w:t>
      </w:r>
      <w:r w:rsidRPr="00F65DD1">
        <w:rPr>
          <w:rFonts w:eastAsia="NimbusRomNo9L-ReguItal"/>
          <w:i/>
        </w:rPr>
        <w:t xml:space="preserve">Linear Networks and Systems. </w:t>
      </w:r>
      <w:r>
        <w:t>Belmont, CA, USA: Wadsworth, 1993, pp. 123–135.</w:t>
      </w:r>
    </w:p>
    <w:p w14:paraId="408E4D77" w14:textId="77777777" w:rsidR="002A24AD" w:rsidRDefault="002A24AD" w:rsidP="002A24AD">
      <w:pPr>
        <w:pStyle w:val="References"/>
      </w:pPr>
      <w:r>
        <w:t xml:space="preserve">J. U. Duncombe, “Infrared navigation—Part I: An assessment of feasibility,” </w:t>
      </w:r>
      <w:r w:rsidRPr="00F65DD1">
        <w:rPr>
          <w:rFonts w:eastAsia="NimbusRomNo9L-ReguItal"/>
          <w:i/>
        </w:rPr>
        <w:t>IEEE Trans. Electron Devices</w:t>
      </w:r>
      <w:r>
        <w:t>, vol. ED-11, no. 1, pp. 34–39, Jan. 1959, 10.1109/TED.2016.2628402.</w:t>
      </w:r>
    </w:p>
    <w:p w14:paraId="2E3EA7EC" w14:textId="77777777" w:rsidR="002A24AD" w:rsidRDefault="002A24AD" w:rsidP="002A24AD">
      <w:pPr>
        <w:pStyle w:val="References"/>
      </w:pPr>
      <w:r>
        <w:t xml:space="preserve">E. P. Wigner, “Theory of traveling-wave optical laser,” </w:t>
      </w:r>
      <w:r w:rsidRPr="00F65DD1">
        <w:rPr>
          <w:rFonts w:eastAsia="NimbusRomNo9L-ReguItal"/>
          <w:i/>
        </w:rPr>
        <w:t>Phys. Rev</w:t>
      </w:r>
      <w:r>
        <w:t>., vol. 134, pp. A635–A646, Dec. 1965.</w:t>
      </w:r>
    </w:p>
    <w:p w14:paraId="34BCCC78" w14:textId="77777777" w:rsidR="002A24AD" w:rsidRDefault="002A24AD" w:rsidP="002A24AD">
      <w:pPr>
        <w:pStyle w:val="References"/>
      </w:pPr>
      <w:r>
        <w:t xml:space="preserve">E. H. Miller, “A note on reflector arrays,” </w:t>
      </w:r>
      <w:r w:rsidRPr="00F65DD1">
        <w:rPr>
          <w:rFonts w:eastAsia="NimbusRomNo9L-ReguItal"/>
          <w:i/>
        </w:rPr>
        <w:t xml:space="preserve">IEEE Trans. Antennas </w:t>
      </w:r>
      <w:proofErr w:type="spellStart"/>
      <w:r w:rsidRPr="00F65DD1">
        <w:rPr>
          <w:rFonts w:eastAsia="NimbusRomNo9L-ReguItal"/>
          <w:i/>
        </w:rPr>
        <w:t>Propagat</w:t>
      </w:r>
      <w:proofErr w:type="spellEnd"/>
      <w:r>
        <w:t>., to be published.</w:t>
      </w:r>
    </w:p>
    <w:p w14:paraId="49FCF93A" w14:textId="77777777" w:rsidR="002A24AD" w:rsidRDefault="002A24AD" w:rsidP="002A24AD">
      <w:pPr>
        <w:pStyle w:val="References"/>
      </w:pPr>
      <w:r>
        <w:t>E. E. Reber, R. L. Michell, and C. J. Carter, “Oxygen absorption in the earth’s atmosphere,” Aerospace Corp., Los Angeles, CA, USA, Tech. Rep. TR-0200 (4230-46)-3, Nov. 1988.</w:t>
      </w:r>
    </w:p>
    <w:p w14:paraId="08F1F38D" w14:textId="77777777" w:rsidR="002A24AD" w:rsidRDefault="002A24AD" w:rsidP="002A24AD">
      <w:pPr>
        <w:pStyle w:val="References"/>
      </w:pPr>
      <w:r>
        <w:t>J. H. Davis and J. R. Cogdell, “Calibration program for the 16-foot antenna,” Elect. Eng. Res. Lab., Univ. Texas, Austin, TX, USA, Tech. Memo. NGL-006-69-3, Nov. 15, 1987.</w:t>
      </w:r>
    </w:p>
    <w:p w14:paraId="451914A8" w14:textId="77777777" w:rsidR="002A24AD" w:rsidRDefault="002A24AD" w:rsidP="002A24AD">
      <w:pPr>
        <w:pStyle w:val="References"/>
      </w:pPr>
      <w:r w:rsidRPr="00F65DD1">
        <w:rPr>
          <w:rFonts w:eastAsia="NimbusRomNo9L-ReguItal"/>
          <w:i/>
        </w:rPr>
        <w:t>Transmission Systems for Communications</w:t>
      </w:r>
      <w:r>
        <w:t>, 3</w:t>
      </w:r>
      <w:r w:rsidRPr="003036BA">
        <w:rPr>
          <w:vertAlign w:val="superscript"/>
        </w:rPr>
        <w:t xml:space="preserve">rd </w:t>
      </w:r>
      <w:r>
        <w:t>ed., Western Electric Co., Winston-Salem, NC, USA, 1985, pp. 44–60.</w:t>
      </w:r>
    </w:p>
    <w:p w14:paraId="6E3A3FDA" w14:textId="77777777" w:rsidR="002A24AD" w:rsidRDefault="002A24AD" w:rsidP="002A24AD">
      <w:pPr>
        <w:pStyle w:val="References"/>
      </w:pPr>
      <w:r w:rsidRPr="00F65DD1">
        <w:rPr>
          <w:rFonts w:eastAsia="NimbusRomNo9L-ReguItal"/>
          <w:i/>
        </w:rPr>
        <w:t>Motorola Semiconductor Data Manual</w:t>
      </w:r>
      <w:r>
        <w:t>, Motorola Semiconductor Products Inc., Phoenix, AZ, USA, 1989.</w:t>
      </w:r>
    </w:p>
    <w:p w14:paraId="4BB091B2" w14:textId="77777777" w:rsidR="002A24AD" w:rsidRDefault="002A24AD" w:rsidP="002A24AD">
      <w:pPr>
        <w:pStyle w:val="References"/>
      </w:pPr>
      <w:r>
        <w:t xml:space="preserve">G. O. Young, “Synthetic structure of industrial plastics,” in Plastics, vol. 3, Polymers of </w:t>
      </w:r>
      <w:proofErr w:type="spellStart"/>
      <w:r>
        <w:t>Hexadromicon</w:t>
      </w:r>
      <w:proofErr w:type="spellEnd"/>
      <w:r>
        <w:t>, J. Peters, Ed., 2</w:t>
      </w:r>
      <w:r w:rsidRPr="003036BA">
        <w:rPr>
          <w:vertAlign w:val="superscript"/>
        </w:rPr>
        <w:t xml:space="preserve">nd </w:t>
      </w:r>
      <w:r>
        <w:t xml:space="preserve">ed. New York, NY, USA: McGraw-Hill, 1964, pp. 15-64. [Online]. Available: </w:t>
      </w:r>
      <w:r w:rsidRPr="00B262E4">
        <w:rPr>
          <w:u w:val="single"/>
        </w:rPr>
        <w:t>http://www.bookref.com</w:t>
      </w:r>
      <w:r>
        <w:t>.</w:t>
      </w:r>
    </w:p>
    <w:p w14:paraId="4FD22B1C" w14:textId="77777777" w:rsidR="002A24AD" w:rsidRDefault="002A24AD" w:rsidP="002A24AD">
      <w:pPr>
        <w:pStyle w:val="References"/>
      </w:pPr>
      <w:r w:rsidRPr="00F65DD1">
        <w:rPr>
          <w:rFonts w:eastAsia="NimbusRomNo9L-ReguItal"/>
          <w:i/>
        </w:rPr>
        <w:t>The Founders’ Constitution</w:t>
      </w:r>
      <w:r>
        <w:t xml:space="preserve">, Philip B. Kurland and Ralph Lerner, eds., Chicago, IL, USA: Univ. Chicago Press, 1987. [Online]. Available: </w:t>
      </w:r>
      <w:r w:rsidRPr="00B262E4">
        <w:rPr>
          <w:u w:val="single"/>
        </w:rPr>
        <w:t>http://press-pubs.uchicago.edu/founders/</w:t>
      </w:r>
    </w:p>
    <w:p w14:paraId="4CCCBC05" w14:textId="3194A27B" w:rsidR="002A24AD" w:rsidRDefault="002A24AD" w:rsidP="002A24AD">
      <w:pPr>
        <w:pStyle w:val="References"/>
      </w:pPr>
      <w:r>
        <w:t xml:space="preserve">The Terahertz Wave eBook. </w:t>
      </w:r>
      <w:proofErr w:type="spellStart"/>
      <w:r>
        <w:t>ZOmega</w:t>
      </w:r>
      <w:proofErr w:type="spellEnd"/>
      <w:r>
        <w:t xml:space="preserve"> Terahertz Corp., 2014. [Online]. Available: </w:t>
      </w:r>
      <w:r w:rsidRPr="00B262E4">
        <w:rPr>
          <w:u w:val="single"/>
        </w:rPr>
        <w:t>http://dl.z-thz.com/eBook/zomega_ebook_pdf_1206_sr.pdf</w:t>
      </w:r>
      <w:r>
        <w:t>. Accessed on: May 19, 2014.</w:t>
      </w:r>
    </w:p>
    <w:p w14:paraId="6555E667" w14:textId="77777777" w:rsidR="002A24AD" w:rsidRDefault="002A24AD" w:rsidP="002A24AD">
      <w:pPr>
        <w:pStyle w:val="References"/>
      </w:pPr>
      <w:r>
        <w:t xml:space="preserve">Philip B. Kurland and Ralph Lerner, eds., </w:t>
      </w:r>
      <w:r w:rsidRPr="00F65DD1">
        <w:rPr>
          <w:rFonts w:eastAsia="NimbusRomNo9L-ReguItal"/>
          <w:i/>
        </w:rPr>
        <w:t xml:space="preserve">The Founders’ Constitution. </w:t>
      </w:r>
      <w:r>
        <w:t xml:space="preserve">Chicago, IL, USA: Univ. of Chicago Press, 1987, Accessed on: Feb. 28, 2010, [Online] Available: </w:t>
      </w:r>
      <w:r w:rsidRPr="00B262E4">
        <w:rPr>
          <w:u w:val="single"/>
        </w:rPr>
        <w:t>http://press-pubs.uchicago.edu/founders/</w:t>
      </w:r>
    </w:p>
    <w:p w14:paraId="2B74EE69" w14:textId="77777777" w:rsidR="002A24AD" w:rsidRDefault="002A24AD" w:rsidP="002A24AD">
      <w:pPr>
        <w:pStyle w:val="References"/>
      </w:pPr>
      <w:r>
        <w:t xml:space="preserve">J. S. Turner, “New directions in communications,” </w:t>
      </w:r>
      <w:r w:rsidRPr="00F65DD1">
        <w:rPr>
          <w:rFonts w:eastAsia="NimbusRomNo9L-ReguItal"/>
          <w:i/>
        </w:rPr>
        <w:t>IEEE J. Sel. Areas Commun</w:t>
      </w:r>
      <w:r>
        <w:t>., vol. 13, no. 1, pp. 11-23, Jan. 1995.</w:t>
      </w:r>
    </w:p>
    <w:p w14:paraId="3FEB08B0" w14:textId="77777777" w:rsidR="002A24AD" w:rsidRDefault="002A24AD" w:rsidP="002A24AD">
      <w:pPr>
        <w:pStyle w:val="References"/>
      </w:pPr>
      <w:r>
        <w:t xml:space="preserve">W. P. Risk, G. S. Kino, and H. J. Shaw, “Fiber-optic frequency shifter using a surface acoustic wave incident at an oblique angle,” </w:t>
      </w:r>
      <w:r w:rsidRPr="00F65DD1">
        <w:rPr>
          <w:rFonts w:eastAsia="NimbusRomNo9L-ReguItal"/>
          <w:i/>
        </w:rPr>
        <w:t>Opt. Lett.</w:t>
      </w:r>
      <w:r>
        <w:t>, vol. 11, no. 2, pp. 115–117, Feb. 1986.</w:t>
      </w:r>
    </w:p>
    <w:p w14:paraId="36B919E9" w14:textId="77777777" w:rsidR="002A24AD" w:rsidRDefault="002A24AD" w:rsidP="002A24AD">
      <w:pPr>
        <w:pStyle w:val="References"/>
      </w:pPr>
      <w:r>
        <w:t xml:space="preserve">P. </w:t>
      </w:r>
      <w:proofErr w:type="spellStart"/>
      <w:r>
        <w:t>Kopyt</w:t>
      </w:r>
      <w:proofErr w:type="spellEnd"/>
      <w:r>
        <w:t xml:space="preserve"> </w:t>
      </w:r>
      <w:r w:rsidRPr="00F65DD1">
        <w:rPr>
          <w:rFonts w:eastAsia="NimbusRomNo9L-ReguItal"/>
          <w:i/>
        </w:rPr>
        <w:t>et al., “</w:t>
      </w:r>
      <w:r>
        <w:t xml:space="preserve">Electric properties of graphene-based conductive layers from DC up to terahertz range,” </w:t>
      </w:r>
      <w:r w:rsidRPr="00F65DD1">
        <w:rPr>
          <w:rFonts w:eastAsia="NimbusRomNo9L-ReguItal"/>
          <w:i/>
        </w:rPr>
        <w:t xml:space="preserve">IEEE THz Sci. Technol., </w:t>
      </w:r>
      <w:r>
        <w:t>to be published. DOI: 10.1109/TTHZ.2016.2544142.</w:t>
      </w:r>
    </w:p>
    <w:p w14:paraId="7623CE8B" w14:textId="77777777" w:rsidR="002A24AD" w:rsidRDefault="002A24AD" w:rsidP="002A24AD">
      <w:pPr>
        <w:pStyle w:val="References"/>
      </w:pPr>
      <w:r>
        <w:t xml:space="preserve">PROCESS Corporation, Boston, MA, USA. Intranets: Internet technologies deployed behind the firewall for corporate productivity. Presented at INET96 Annual Meeting. [Online]. Available: </w:t>
      </w:r>
      <w:r w:rsidRPr="00B262E4">
        <w:rPr>
          <w:u w:val="single"/>
        </w:rPr>
        <w:t>http://home.process.com/Intranets/wp2.htp</w:t>
      </w:r>
    </w:p>
    <w:p w14:paraId="56B78E99" w14:textId="696A57E7" w:rsidR="002A24AD" w:rsidRPr="009D3510" w:rsidRDefault="002A24AD" w:rsidP="002A24AD">
      <w:pPr>
        <w:pStyle w:val="References"/>
        <w:rPr>
          <w:spacing w:val="2"/>
        </w:rPr>
      </w:pPr>
      <w:r w:rsidRPr="009D3510">
        <w:rPr>
          <w:spacing w:val="2"/>
        </w:rPr>
        <w:t xml:space="preserve">R. J. </w:t>
      </w:r>
      <w:proofErr w:type="spellStart"/>
      <w:r w:rsidRPr="009D3510">
        <w:rPr>
          <w:spacing w:val="2"/>
        </w:rPr>
        <w:t>Hijmans</w:t>
      </w:r>
      <w:proofErr w:type="spellEnd"/>
      <w:r w:rsidRPr="009D3510">
        <w:rPr>
          <w:spacing w:val="2"/>
        </w:rPr>
        <w:t xml:space="preserve"> and J. van Etten, “Raster: Geographic analysis and modeling with raster data,” R Package Version 2.0-12, Jan. 12, 2012. [Online]. Available: </w:t>
      </w:r>
      <w:r w:rsidRPr="009D3510">
        <w:rPr>
          <w:spacing w:val="2"/>
          <w:u w:val="single"/>
        </w:rPr>
        <w:t>http://CRAN.R-project.org/package=</w:t>
      </w:r>
      <w:r w:rsidR="009D3510">
        <w:rPr>
          <w:spacing w:val="2"/>
          <w:u w:val="single"/>
        </w:rPr>
        <w:br/>
      </w:r>
      <w:r w:rsidRPr="009D3510">
        <w:rPr>
          <w:spacing w:val="2"/>
          <w:u w:val="single"/>
        </w:rPr>
        <w:t>raster</w:t>
      </w:r>
    </w:p>
    <w:p w14:paraId="5AE67732" w14:textId="30B4994B" w:rsidR="002A24AD" w:rsidRDefault="002A24AD" w:rsidP="002A24AD">
      <w:pPr>
        <w:pStyle w:val="References"/>
      </w:pPr>
      <w:proofErr w:type="spellStart"/>
      <w:r>
        <w:t>Teralyzer</w:t>
      </w:r>
      <w:proofErr w:type="spellEnd"/>
      <w:r>
        <w:t xml:space="preserve">. </w:t>
      </w:r>
      <w:proofErr w:type="spellStart"/>
      <w:r>
        <w:t>Lytera</w:t>
      </w:r>
      <w:proofErr w:type="spellEnd"/>
      <w:r>
        <w:t xml:space="preserve"> UG, </w:t>
      </w:r>
      <w:proofErr w:type="spellStart"/>
      <w:r>
        <w:t>Kirchhain</w:t>
      </w:r>
      <w:proofErr w:type="spellEnd"/>
      <w:r>
        <w:t xml:space="preserve">, Germany [Online]. Available: </w:t>
      </w:r>
      <w:r w:rsidRPr="00B262E4">
        <w:rPr>
          <w:u w:val="single"/>
        </w:rPr>
        <w:t>http://www.lytera.de/Terahertz_THz_Spectroscopy.php?id=home</w:t>
      </w:r>
      <w:r>
        <w:t>, Accessed on: Jun. 5, 2014</w:t>
      </w:r>
    </w:p>
    <w:p w14:paraId="56779D6B" w14:textId="77777777" w:rsidR="002A24AD" w:rsidRDefault="002A24AD" w:rsidP="002A24AD">
      <w:pPr>
        <w:pStyle w:val="References"/>
      </w:pPr>
      <w:r>
        <w:t>U.S. House. 102</w:t>
      </w:r>
      <w:r w:rsidRPr="003036BA">
        <w:rPr>
          <w:vertAlign w:val="superscript"/>
        </w:rPr>
        <w:t xml:space="preserve">nd </w:t>
      </w:r>
      <w:r>
        <w:t>Congress, 1</w:t>
      </w:r>
      <w:r w:rsidRPr="003036BA">
        <w:rPr>
          <w:vertAlign w:val="superscript"/>
        </w:rPr>
        <w:t xml:space="preserve">st </w:t>
      </w:r>
      <w:r>
        <w:t xml:space="preserve">Session. (1991, Jan. 11). </w:t>
      </w:r>
      <w:r w:rsidRPr="00F65DD1">
        <w:rPr>
          <w:rFonts w:eastAsia="NimbusRomNo9L-ReguItal"/>
          <w:i/>
        </w:rPr>
        <w:t>H. Con. Res. 1, Sense of the Congress on Approval of Military Action</w:t>
      </w:r>
      <w:r>
        <w:t>. [Online]. Available: LEXIS Library: GENFED File: BILLS</w:t>
      </w:r>
    </w:p>
    <w:p w14:paraId="45DEED0F" w14:textId="77777777" w:rsidR="002A24AD" w:rsidRDefault="002A24AD" w:rsidP="002A24AD">
      <w:pPr>
        <w:pStyle w:val="References"/>
      </w:pPr>
      <w:r>
        <w:t>Musical toothbrush with mirror, by L.M.R. Brooks. (1992, May 19). Patent D 326 189 [Online]. Available: NEXIS Library: LEXPAT File: DES</w:t>
      </w:r>
    </w:p>
    <w:p w14:paraId="14393477" w14:textId="77777777" w:rsidR="002A24AD" w:rsidRDefault="002A24AD" w:rsidP="002A24AD">
      <w:pPr>
        <w:pStyle w:val="References"/>
      </w:pPr>
      <w:r>
        <w:t xml:space="preserve">D. B. Payne and J. R. Stern, “Wavelength-switched pas- </w:t>
      </w:r>
      <w:proofErr w:type="spellStart"/>
      <w:r>
        <w:t>sively</w:t>
      </w:r>
      <w:proofErr w:type="spellEnd"/>
      <w:r>
        <w:t xml:space="preserve"> coupled single-mode optical network,” in </w:t>
      </w:r>
      <w:r w:rsidRPr="00F65DD1">
        <w:rPr>
          <w:rFonts w:eastAsia="NimbusRomNo9L-ReguItal"/>
          <w:i/>
        </w:rPr>
        <w:t xml:space="preserve">Proc. IOOC-ECOC, </w:t>
      </w:r>
      <w:r>
        <w:t>Boston, MA, USA, 1985, pp. 585–590.</w:t>
      </w:r>
    </w:p>
    <w:p w14:paraId="719E6ECD" w14:textId="77777777" w:rsidR="002A24AD" w:rsidRDefault="002A24AD" w:rsidP="002A24AD">
      <w:pPr>
        <w:pStyle w:val="References"/>
      </w:pPr>
      <w:r>
        <w:t xml:space="preserve">D. </w:t>
      </w:r>
      <w:proofErr w:type="spellStart"/>
      <w:r>
        <w:t>Ebehard</w:t>
      </w:r>
      <w:proofErr w:type="spellEnd"/>
      <w:r>
        <w:t xml:space="preserve"> and E. Voges, “Digital single sideband detection for interferometric sensors,” presented at the </w:t>
      </w:r>
      <w:r w:rsidRPr="00F65DD1">
        <w:rPr>
          <w:rFonts w:eastAsia="NimbusRomNo9L-ReguItal"/>
          <w:i/>
        </w:rPr>
        <w:t>2</w:t>
      </w:r>
      <w:r w:rsidRPr="003036BA">
        <w:rPr>
          <w:rFonts w:eastAsia="NimbusRomNo9L-ReguItal"/>
          <w:i/>
          <w:vertAlign w:val="superscript"/>
        </w:rPr>
        <w:t>nd</w:t>
      </w:r>
      <w:r w:rsidRPr="003036BA">
        <w:rPr>
          <w:rFonts w:eastAsia="NimbusRomNo9L-ReguItal"/>
        </w:rPr>
        <w:t xml:space="preserve"> </w:t>
      </w:r>
      <w:r w:rsidRPr="00F65DD1">
        <w:rPr>
          <w:rFonts w:eastAsia="NimbusRomNo9L-ReguItal"/>
          <w:i/>
        </w:rPr>
        <w:t xml:space="preserve">Int. Conf. Optical Fiber Sensors, </w:t>
      </w:r>
      <w:r>
        <w:t>Stuttgart, Germany, Jan. 2-5, 1984.</w:t>
      </w:r>
    </w:p>
    <w:p w14:paraId="660DA9CD" w14:textId="77777777" w:rsidR="002A24AD" w:rsidRDefault="002A24AD" w:rsidP="002A24AD">
      <w:pPr>
        <w:pStyle w:val="References"/>
      </w:pPr>
      <w:r>
        <w:t>G. Brandli and M. Dick, “Alternating current fed power supply,” U.S. Patent 4 084 217, Nov. 4, 1978.</w:t>
      </w:r>
    </w:p>
    <w:p w14:paraId="35381CED" w14:textId="77777777" w:rsidR="002A24AD" w:rsidRDefault="002A24AD" w:rsidP="002A24AD">
      <w:pPr>
        <w:pStyle w:val="References"/>
      </w:pPr>
      <w:r>
        <w:t>J. O. Williams, “Narrow-band analyzer,” Ph.D. dissertation, Dept. Elect. Eng., Harvard Univ., Cambridge, MA, USA, 1993.</w:t>
      </w:r>
    </w:p>
    <w:p w14:paraId="44BA88D0" w14:textId="77777777" w:rsidR="002A24AD" w:rsidRDefault="002A24AD" w:rsidP="002A24AD">
      <w:pPr>
        <w:pStyle w:val="References"/>
      </w:pPr>
      <w:r>
        <w:t>N. Kawasaki, “Parametric study of thermal and chemical nonequilibrium nozzle flow,” M.S. thesis, Dept. Electron. Eng., Osaka Univ., Osaka, Japan, 1993.</w:t>
      </w:r>
    </w:p>
    <w:p w14:paraId="431F6FCD" w14:textId="77777777" w:rsidR="002A24AD" w:rsidRDefault="002A24AD" w:rsidP="002A24AD">
      <w:pPr>
        <w:pStyle w:val="References"/>
      </w:pPr>
      <w:r>
        <w:t>A. Harrison, private communication, May 1995</w:t>
      </w:r>
    </w:p>
    <w:p w14:paraId="2810D5F4" w14:textId="77777777" w:rsidR="002A24AD" w:rsidRDefault="002A24AD" w:rsidP="002A24AD">
      <w:pPr>
        <w:pStyle w:val="References"/>
      </w:pPr>
      <w:r>
        <w:t>B. Smith, “An approach to graphs of linear forms,” unpublished.</w:t>
      </w:r>
    </w:p>
    <w:p w14:paraId="28ECBA3F" w14:textId="77777777" w:rsidR="002A24AD" w:rsidRDefault="002A24AD" w:rsidP="002A24AD">
      <w:pPr>
        <w:pStyle w:val="References"/>
      </w:pPr>
      <w:r>
        <w:t>A. Brahms, “Representation error for real numbers in binary computer arithmetic,” IEEE Computer Group Repository, Paper R-67-85.</w:t>
      </w:r>
    </w:p>
    <w:p w14:paraId="1CB1DD1A" w14:textId="77777777" w:rsidR="002A24AD" w:rsidRDefault="002A24AD" w:rsidP="002A24AD">
      <w:pPr>
        <w:pStyle w:val="References"/>
      </w:pPr>
      <w:r>
        <w:t>IEEE Criteria for Class IE Electric Systems, IEEE Standard 308, 1969.</w:t>
      </w:r>
    </w:p>
    <w:p w14:paraId="6E7BFC98" w14:textId="77777777" w:rsidR="002A24AD" w:rsidRDefault="002A24AD" w:rsidP="002A24AD">
      <w:pPr>
        <w:pStyle w:val="References"/>
      </w:pPr>
      <w:r>
        <w:t>Letter Symbols for Quantities, ANSI Standard Y10.5-1968.</w:t>
      </w:r>
    </w:p>
    <w:p w14:paraId="25963E5E" w14:textId="77777777" w:rsidR="002A24AD" w:rsidRDefault="002A24AD" w:rsidP="002A24AD">
      <w:pPr>
        <w:pStyle w:val="References"/>
      </w:pPr>
      <w:r>
        <w:t xml:space="preserve">R. Fardel, M. Nagel, F. </w:t>
      </w:r>
      <w:proofErr w:type="spellStart"/>
      <w:r>
        <w:t>Nuesch</w:t>
      </w:r>
      <w:proofErr w:type="spellEnd"/>
      <w:r>
        <w:t xml:space="preserve">, T. Lippert, and A. </w:t>
      </w:r>
      <w:proofErr w:type="spellStart"/>
      <w:r>
        <w:t>Wokaun</w:t>
      </w:r>
      <w:proofErr w:type="spellEnd"/>
      <w:r>
        <w:t xml:space="preserve">, “Fabrication of organic light emitting diode pixels by laser-assisted forward transfer,” </w:t>
      </w:r>
      <w:r w:rsidRPr="00F65DD1">
        <w:rPr>
          <w:rFonts w:eastAsia="NimbusRomNo9L-ReguItal"/>
          <w:i/>
        </w:rPr>
        <w:t>Appl. Phys. Lett.</w:t>
      </w:r>
      <w:r>
        <w:t>, vol. 91, no. 6, Aug. 2007, Art. no. 061103.</w:t>
      </w:r>
    </w:p>
    <w:p w14:paraId="0FE36C40" w14:textId="77777777" w:rsidR="002A24AD" w:rsidRDefault="002A24AD" w:rsidP="002A24AD">
      <w:pPr>
        <w:pStyle w:val="References"/>
      </w:pPr>
      <w:r>
        <w:t xml:space="preserve">J. Zhang and N. Tansu, “Optical gain and laser characteristics of </w:t>
      </w:r>
      <w:proofErr w:type="spellStart"/>
      <w:r>
        <w:t>InGaN</w:t>
      </w:r>
      <w:proofErr w:type="spellEnd"/>
      <w:r>
        <w:t xml:space="preserve"> quantum wells on ternary </w:t>
      </w:r>
      <w:proofErr w:type="spellStart"/>
      <w:r>
        <w:t>InGaN</w:t>
      </w:r>
      <w:proofErr w:type="spellEnd"/>
      <w:r>
        <w:t xml:space="preserve"> substrates,” </w:t>
      </w:r>
      <w:r w:rsidRPr="00F65DD1">
        <w:rPr>
          <w:rFonts w:eastAsia="NimbusRomNo9L-ReguItal"/>
          <w:i/>
        </w:rPr>
        <w:t>IEEE Photon. J.</w:t>
      </w:r>
      <w:r>
        <w:t>, vol. 5, no. 2, Apr. 2013, Art. no. 2600111</w:t>
      </w:r>
    </w:p>
    <w:p w14:paraId="304557C7" w14:textId="25381E79" w:rsidR="005C7DF8" w:rsidRPr="0010707C" w:rsidRDefault="002A24AD" w:rsidP="000C09C8">
      <w:pPr>
        <w:pStyle w:val="References"/>
        <w:rPr>
          <w:rStyle w:val="AUBiosbd"/>
          <w:rFonts w:ascii="Times New Roman" w:hAnsi="Times New Roman" w:cs="Times New Roman"/>
          <w:b w:val="0"/>
        </w:rPr>
        <w:sectPr w:rsidR="005C7DF8" w:rsidRPr="0010707C" w:rsidSect="00CB2DB1">
          <w:footerReference w:type="default" r:id="rId20"/>
          <w:type w:val="continuous"/>
          <w:pgSz w:w="11520" w:h="15660" w:code="1"/>
          <w:pgMar w:top="1300" w:right="740" w:bottom="1040" w:left="740" w:header="360" w:footer="640" w:gutter="0"/>
          <w:cols w:num="2" w:space="400"/>
          <w:docGrid w:linePitch="360"/>
        </w:sectPr>
      </w:pPr>
      <w:r>
        <w:t xml:space="preserve">S. </w:t>
      </w:r>
      <w:proofErr w:type="spellStart"/>
      <w:r>
        <w:t>Azodolmolky</w:t>
      </w:r>
      <w:proofErr w:type="spellEnd"/>
      <w:r>
        <w:t xml:space="preserve"> </w:t>
      </w:r>
      <w:r w:rsidRPr="00F65DD1">
        <w:rPr>
          <w:rFonts w:eastAsia="NimbusRomNo9L-ReguItal"/>
          <w:i/>
        </w:rPr>
        <w:t>et al.</w:t>
      </w:r>
      <w:r>
        <w:t xml:space="preserve">, Experimental demonstration of an impairment aware network planning and operation tool for transparent/translucent optical networks,” </w:t>
      </w:r>
      <w:r w:rsidRPr="00F65DD1">
        <w:rPr>
          <w:rFonts w:eastAsia="NimbusRomNo9L-ReguItal"/>
          <w:i/>
        </w:rPr>
        <w:t xml:space="preserve">J. </w:t>
      </w:r>
      <w:proofErr w:type="spellStart"/>
      <w:r w:rsidRPr="00F65DD1">
        <w:rPr>
          <w:rFonts w:eastAsia="NimbusRomNo9L-ReguItal"/>
          <w:i/>
        </w:rPr>
        <w:t>Lightw</w:t>
      </w:r>
      <w:proofErr w:type="spellEnd"/>
      <w:r w:rsidRPr="00F65DD1">
        <w:rPr>
          <w:rFonts w:eastAsia="NimbusRomNo9L-ReguItal"/>
          <w:i/>
        </w:rPr>
        <w:t>. Technol.</w:t>
      </w:r>
      <w:r>
        <w:t>, vol. 29, no. 4, pp. 439–448, Sep. 2011.</w:t>
      </w:r>
    </w:p>
    <w:p w14:paraId="34AFBF78" w14:textId="44DCD6B9" w:rsidR="000C09C8" w:rsidRDefault="000C09C8" w:rsidP="003B2176">
      <w:pPr>
        <w:pStyle w:val="AUBios"/>
        <w:spacing w:before="0"/>
        <w:rPr>
          <w:rStyle w:val="AUBiosbd"/>
        </w:rPr>
      </w:pPr>
    </w:p>
    <w:p w14:paraId="030CC9BD" w14:textId="77777777" w:rsidR="0010707C" w:rsidRDefault="0010707C" w:rsidP="0010707C">
      <w:pPr>
        <w:pStyle w:val="AUBios"/>
        <w:spacing w:before="0"/>
        <w:rPr>
          <w:rStyle w:val="AUBiosbd"/>
          <w:sz w:val="24"/>
          <w:szCs w:val="24"/>
        </w:rPr>
      </w:pPr>
    </w:p>
    <w:p w14:paraId="3DB5D7F5" w14:textId="77777777" w:rsidR="0010707C" w:rsidRDefault="0010707C" w:rsidP="0010707C">
      <w:pPr>
        <w:pStyle w:val="AUBios"/>
        <w:spacing w:before="0"/>
        <w:rPr>
          <w:rStyle w:val="AUBiosbd"/>
          <w:sz w:val="24"/>
          <w:szCs w:val="24"/>
        </w:rPr>
      </w:pPr>
    </w:p>
    <w:p w14:paraId="43F0468F" w14:textId="086C6177" w:rsidR="0010707C" w:rsidRDefault="0010707C" w:rsidP="0010707C">
      <w:pPr>
        <w:pStyle w:val="AUBios"/>
        <w:spacing w:before="0"/>
        <w:rPr>
          <w:rStyle w:val="AUBiosbd"/>
          <w:sz w:val="24"/>
          <w:szCs w:val="24"/>
        </w:rPr>
      </w:pPr>
      <w:r>
        <w:rPr>
          <w:noProof/>
        </w:rPr>
        <w:drawing>
          <wp:inline distT="0" distB="0" distL="0" distR="0" wp14:anchorId="2EBDFA61" wp14:editId="03742BC2">
            <wp:extent cx="2038350" cy="1571625"/>
            <wp:effectExtent l="0" t="0" r="0" b="9525"/>
            <wp:docPr id="58577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78107" name="Picture 58577810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38350" cy="1571625"/>
                    </a:xfrm>
                    <a:prstGeom prst="rect">
                      <a:avLst/>
                    </a:prstGeom>
                  </pic:spPr>
                </pic:pic>
              </a:graphicData>
            </a:graphic>
          </wp:inline>
        </w:drawing>
      </w:r>
      <w:r>
        <w:rPr>
          <w:rStyle w:val="AUBiosbd"/>
          <w:sz w:val="24"/>
          <w:szCs w:val="24"/>
        </w:rPr>
        <w:t xml:space="preserve">                                                        </w:t>
      </w:r>
      <w:r w:rsidRPr="00EE5CB0">
        <w:rPr>
          <w:rStyle w:val="AUBiosbd"/>
          <w:b w:val="0"/>
          <w:bCs/>
          <w:sz w:val="24"/>
          <w:szCs w:val="24"/>
        </w:rPr>
        <w:t>FIRS</w:t>
      </w:r>
      <w:r w:rsidRPr="00EE5CB0">
        <w:rPr>
          <w:rStyle w:val="AUBiosbd"/>
          <w:b w:val="0"/>
          <w:bCs/>
          <w:sz w:val="24"/>
          <w:szCs w:val="24"/>
        </w:rPr>
        <w:t xml:space="preserve">T </w:t>
      </w:r>
      <w:r w:rsidRPr="00EE5CB0">
        <w:rPr>
          <w:rStyle w:val="AUBiosbd"/>
          <w:b w:val="0"/>
          <w:bCs/>
          <w:sz w:val="24"/>
          <w:szCs w:val="24"/>
        </w:rPr>
        <w:t>A. AUTHOR</w:t>
      </w:r>
      <w:r w:rsidRPr="00EE5CB0">
        <w:rPr>
          <w:rFonts w:cs="FormataOTFMd"/>
          <w:sz w:val="24"/>
          <w:szCs w:val="24"/>
        </w:rPr>
        <w:t xml:space="preserve"> Oba Phillip is a software engineer and full-stack developer with expertise in machine learning and data-driven solutions. He builds scalable web and mobile applications that integrate predictive models, data analysis, and AI-powered features. Skilled in Python, TensorFlow, PyTorch, and cloud-based ML deployment, he applies algorithms, data pipelines, and model optimization to deliver robust, intelligent, and high-performance software solutions</w:t>
      </w:r>
      <w:r w:rsidRPr="00EE5CB0">
        <w:rPr>
          <w:sz w:val="24"/>
          <w:szCs w:val="24"/>
        </w:rPr>
        <w:t>.</w:t>
      </w:r>
      <w:r w:rsidRPr="0010707C">
        <w:rPr>
          <w:rFonts w:cs="Times New Roman"/>
          <w:snapToGrid w:val="0"/>
          <w:color w:val="000000"/>
          <w:w w:val="0"/>
          <w:sz w:val="24"/>
          <w:szCs w:val="24"/>
          <w:u w:color="000000"/>
          <w:bdr w:val="none" w:sz="0" w:space="0" w:color="000000"/>
          <w:shd w:val="clear" w:color="000000" w:fill="000000"/>
          <w:lang w:val="x-none" w:eastAsia="x-none" w:bidi="x-none"/>
        </w:rPr>
        <w:t xml:space="preserve"> </w:t>
      </w:r>
    </w:p>
    <w:p w14:paraId="005BB0A1" w14:textId="77777777" w:rsidR="0010707C" w:rsidRDefault="0010707C" w:rsidP="0010707C">
      <w:pPr>
        <w:pStyle w:val="AUBios"/>
        <w:spacing w:before="0"/>
        <w:rPr>
          <w:rStyle w:val="AUBiosbd"/>
          <w:sz w:val="24"/>
          <w:szCs w:val="24"/>
        </w:rPr>
      </w:pPr>
    </w:p>
    <w:p w14:paraId="369C57A3" w14:textId="77777777" w:rsidR="00B1657C" w:rsidRDefault="005B7196" w:rsidP="0010707C">
      <w:pPr>
        <w:pStyle w:val="AUBios"/>
        <w:spacing w:before="0"/>
        <w:rPr>
          <w:rFonts w:ascii="Helvetica" w:hAnsi="Helvetica"/>
          <w:b/>
          <w:bCs/>
          <w:sz w:val="24"/>
          <w:szCs w:val="24"/>
        </w:rPr>
      </w:pPr>
      <w:r>
        <w:rPr>
          <w:rFonts w:ascii="Helvetica" w:hAnsi="Helvetica"/>
          <w:b/>
          <w:bCs/>
          <w:noProof/>
        </w:rPr>
        <w:drawing>
          <wp:inline distT="0" distB="0" distL="0" distR="0" wp14:anchorId="08F415BA" wp14:editId="35C40B1E">
            <wp:extent cx="2266950" cy="1962150"/>
            <wp:effectExtent l="0" t="0" r="0" b="0"/>
            <wp:docPr id="571286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6846" name="Picture 5712868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79649" cy="1973142"/>
                    </a:xfrm>
                    <a:prstGeom prst="rect">
                      <a:avLst/>
                    </a:prstGeom>
                  </pic:spPr>
                </pic:pic>
              </a:graphicData>
            </a:graphic>
          </wp:inline>
        </w:drawing>
      </w:r>
    </w:p>
    <w:p w14:paraId="2AA4E2A7" w14:textId="5FD91402" w:rsidR="00F02D75" w:rsidRPr="00EE5CB0" w:rsidRDefault="000C09C8" w:rsidP="0010707C">
      <w:pPr>
        <w:pStyle w:val="AUBios"/>
        <w:spacing w:before="0"/>
        <w:rPr>
          <w:rFonts w:ascii="Helv" w:hAnsi="Helv" w:cs="FormataOTFMd"/>
          <w:b/>
          <w:sz w:val="24"/>
          <w:szCs w:val="24"/>
        </w:rPr>
      </w:pPr>
      <w:r w:rsidRPr="00EE5CB0">
        <w:rPr>
          <w:rFonts w:ascii="Helv" w:hAnsi="Helv"/>
          <w:sz w:val="24"/>
          <w:szCs w:val="24"/>
        </w:rPr>
        <w:t xml:space="preserve">SECOND B. AUTHOR </w:t>
      </w:r>
      <w:r w:rsidR="009978E6" w:rsidRPr="00EE5CB0">
        <w:rPr>
          <w:rFonts w:ascii="Helv" w:hAnsi="Helv"/>
          <w:sz w:val="24"/>
          <w:szCs w:val="24"/>
        </w:rPr>
        <w:t>Swale Sebbabe Abdu is a versatile software engineer and machine learning enthusiast who develops intelligent, data-driven applications. He has hands-on experience in building and deploying predictive models, natural language processing systems, and recommendation engines, leveraging tools like Python, scikit-learn, TensorFlow, and PyTorch. With a strong background in data preprocessing, model optimization, and cloud-based ML pipelines, Swale focuses on transforming complex datasets into actionable</w:t>
      </w:r>
      <w:r w:rsidR="00B1657C" w:rsidRPr="00EE5CB0">
        <w:rPr>
          <w:rFonts w:ascii="Helv" w:hAnsi="Helv"/>
          <w:sz w:val="24"/>
          <w:szCs w:val="24"/>
        </w:rPr>
        <w:t xml:space="preserve"> </w:t>
      </w:r>
      <w:r w:rsidR="00B1657C" w:rsidRPr="00EE5CB0">
        <w:rPr>
          <w:rFonts w:ascii="Helv" w:hAnsi="Helv"/>
          <w:sz w:val="24"/>
          <w:szCs w:val="24"/>
        </w:rPr>
        <w:t>insights and creating innovative solutions that drive decision-making and efficiency.</w:t>
      </w:r>
      <w:r w:rsidR="009978E6" w:rsidRPr="00EE5CB0">
        <w:rPr>
          <w:rFonts w:ascii="Helv" w:hAnsi="Helv"/>
          <w:sz w:val="24"/>
          <w:szCs w:val="24"/>
        </w:rPr>
        <w:t xml:space="preserve"> </w:t>
      </w:r>
    </w:p>
    <w:p w14:paraId="6EFCEA6E" w14:textId="5DE49D94" w:rsidR="0003253A" w:rsidRPr="0010707C" w:rsidRDefault="00F02D75" w:rsidP="009978E6">
      <w:pPr>
        <w:pStyle w:val="AUBios"/>
        <w:spacing w:before="0"/>
        <w:rPr>
          <w:sz w:val="24"/>
          <w:szCs w:val="24"/>
        </w:rPr>
      </w:pPr>
      <w:r w:rsidRPr="0010707C">
        <w:rPr>
          <w:sz w:val="24"/>
          <w:szCs w:val="24"/>
        </w:rPr>
        <w:br w:type="column"/>
      </w:r>
    </w:p>
    <w:p w14:paraId="77BA710C" w14:textId="77777777" w:rsidR="0003253A" w:rsidRPr="006A0B53" w:rsidRDefault="0003253A" w:rsidP="0003253A">
      <w:pPr>
        <w:pStyle w:val="AUBiosNoSpace"/>
        <w:ind w:firstLine="0"/>
      </w:pPr>
    </w:p>
    <w:sectPr w:rsidR="0003253A" w:rsidRPr="006A0B53" w:rsidSect="00CB2DB1">
      <w:footerReference w:type="default" r:id="rId23"/>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BB3DE" w14:textId="77777777" w:rsidR="00F44A73" w:rsidRDefault="00F44A73">
      <w:r>
        <w:separator/>
      </w:r>
    </w:p>
  </w:endnote>
  <w:endnote w:type="continuationSeparator" w:id="0">
    <w:p w14:paraId="7143DD18" w14:textId="77777777" w:rsidR="00F44A73" w:rsidRDefault="00F44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Helv">
    <w:altName w:val="Arial"/>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B3B93" w14:textId="77777777" w:rsidR="00F44A73" w:rsidRDefault="00F44A73">
      <w:r>
        <w:separator/>
      </w:r>
    </w:p>
  </w:footnote>
  <w:footnote w:type="continuationSeparator" w:id="0">
    <w:p w14:paraId="00969C1B" w14:textId="77777777" w:rsidR="00F44A73" w:rsidRDefault="00F44A73">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75822547" name="Picture 75822547"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169777283" name="Picture 169777283"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abstractNumId w:val="0"/>
  </w:num>
  <w:num w:numId="2">
    <w:abstractNumId w:val="11"/>
  </w:num>
  <w:num w:numId="3">
    <w:abstractNumId w:val="21"/>
  </w:num>
  <w:num w:numId="4">
    <w:abstractNumId w:val="17"/>
  </w:num>
  <w:num w:numId="5">
    <w:abstractNumId w:val="34"/>
  </w:num>
  <w:num w:numId="6">
    <w:abstractNumId w:val="23"/>
  </w:num>
  <w:num w:numId="7">
    <w:abstractNumId w:val="9"/>
  </w:num>
  <w:num w:numId="8">
    <w:abstractNumId w:val="13"/>
  </w:num>
  <w:num w:numId="9">
    <w:abstractNumId w:val="28"/>
  </w:num>
  <w:num w:numId="10">
    <w:abstractNumId w:val="6"/>
  </w:num>
  <w:num w:numId="11">
    <w:abstractNumId w:val="33"/>
  </w:num>
  <w:num w:numId="12">
    <w:abstractNumId w:val="29"/>
  </w:num>
  <w:num w:numId="13">
    <w:abstractNumId w:val="4"/>
  </w:num>
  <w:num w:numId="14">
    <w:abstractNumId w:val="5"/>
    <w:lvlOverride w:ilvl="0">
      <w:lvl w:ilvl="0">
        <w:start w:val="1"/>
        <w:numFmt w:val="upperLetter"/>
        <w:suff w:val="space"/>
        <w:lvlText w:val="%1."/>
        <w:lvlJc w:val="left"/>
        <w:pPr>
          <w:ind w:left="0" w:firstLine="0"/>
        </w:pPr>
        <w:rPr>
          <w:rFonts w:hint="default"/>
        </w:rPr>
      </w:lvl>
    </w:lvlOverride>
  </w:num>
  <w:num w:numId="15">
    <w:abstractNumId w:val="12"/>
  </w:num>
  <w:num w:numId="16">
    <w:abstractNumId w:val="26"/>
  </w:num>
  <w:num w:numId="1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8"/>
  </w:num>
  <w:num w:numId="19">
    <w:abstractNumId w:val="3"/>
  </w:num>
  <w:num w:numId="20">
    <w:abstractNumId w:val="2"/>
  </w:num>
  <w:num w:numId="21">
    <w:abstractNumId w:val="24"/>
  </w:num>
  <w:num w:numId="22">
    <w:abstractNumId w:val="8"/>
  </w:num>
  <w:num w:numId="23">
    <w:abstractNumId w:val="16"/>
  </w:num>
  <w:num w:numId="24">
    <w:abstractNumId w:val="36"/>
  </w:num>
  <w:num w:numId="25">
    <w:abstractNumId w:val="27"/>
  </w:num>
  <w:num w:numId="26">
    <w:abstractNumId w:val="32"/>
  </w:num>
  <w:num w:numId="27">
    <w:abstractNumId w:val="18"/>
  </w:num>
  <w:num w:numId="28">
    <w:abstractNumId w:val="25"/>
  </w:num>
  <w:num w:numId="29">
    <w:abstractNumId w:val="39"/>
  </w:num>
  <w:num w:numId="30">
    <w:abstractNumId w:val="10"/>
  </w:num>
  <w:num w:numId="31">
    <w:abstractNumId w:val="37"/>
  </w:num>
  <w:num w:numId="32">
    <w:abstractNumId w:val="19"/>
  </w:num>
  <w:num w:numId="33">
    <w:abstractNumId w:val="35"/>
  </w:num>
  <w:num w:numId="34">
    <w:abstractNumId w:val="30"/>
  </w:num>
  <w:num w:numId="35">
    <w:abstractNumId w:val="22"/>
  </w:num>
  <w:num w:numId="36">
    <w:abstractNumId w:val="14"/>
  </w:num>
  <w:num w:numId="37">
    <w:abstractNumId w:val="20"/>
  </w:num>
  <w:num w:numId="38">
    <w:abstractNumId w:val="15"/>
  </w:num>
  <w:num w:numId="39">
    <w:abstractNumId w:val="7"/>
  </w:num>
  <w:num w:numId="40">
    <w:abstractNumId w:val="1"/>
  </w:num>
  <w:num w:numId="4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088"/>
    <w:rsid w:val="00040C78"/>
    <w:rsid w:val="00041819"/>
    <w:rsid w:val="00043A88"/>
    <w:rsid w:val="000518DD"/>
    <w:rsid w:val="00052666"/>
    <w:rsid w:val="00052968"/>
    <w:rsid w:val="00057E9A"/>
    <w:rsid w:val="000601F0"/>
    <w:rsid w:val="00060D60"/>
    <w:rsid w:val="00061511"/>
    <w:rsid w:val="00061B24"/>
    <w:rsid w:val="00065CD5"/>
    <w:rsid w:val="00067C21"/>
    <w:rsid w:val="00070737"/>
    <w:rsid w:val="000714C3"/>
    <w:rsid w:val="00071D5E"/>
    <w:rsid w:val="00076966"/>
    <w:rsid w:val="00083EC4"/>
    <w:rsid w:val="000844AB"/>
    <w:rsid w:val="00084BD2"/>
    <w:rsid w:val="00087D6D"/>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25D9"/>
    <w:rsid w:val="000C426E"/>
    <w:rsid w:val="000D3A5A"/>
    <w:rsid w:val="000D4A20"/>
    <w:rsid w:val="000D5DC5"/>
    <w:rsid w:val="000D6320"/>
    <w:rsid w:val="000E4447"/>
    <w:rsid w:val="000F25D7"/>
    <w:rsid w:val="000F33CB"/>
    <w:rsid w:val="000F5003"/>
    <w:rsid w:val="0010090B"/>
    <w:rsid w:val="00100991"/>
    <w:rsid w:val="00104663"/>
    <w:rsid w:val="00104CB0"/>
    <w:rsid w:val="00105925"/>
    <w:rsid w:val="00107070"/>
    <w:rsid w:val="0010707C"/>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D7512"/>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2B4D"/>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96"/>
    <w:rsid w:val="002B5DFD"/>
    <w:rsid w:val="002B62BC"/>
    <w:rsid w:val="002B7F19"/>
    <w:rsid w:val="002C2CCF"/>
    <w:rsid w:val="002C419A"/>
    <w:rsid w:val="002C707C"/>
    <w:rsid w:val="002D11FD"/>
    <w:rsid w:val="002D26B0"/>
    <w:rsid w:val="002D3E91"/>
    <w:rsid w:val="002D4A44"/>
    <w:rsid w:val="002D54D7"/>
    <w:rsid w:val="002D7313"/>
    <w:rsid w:val="002E02B1"/>
    <w:rsid w:val="002E35B3"/>
    <w:rsid w:val="002E396B"/>
    <w:rsid w:val="002E3D2C"/>
    <w:rsid w:val="002F1879"/>
    <w:rsid w:val="002F1D45"/>
    <w:rsid w:val="002F3420"/>
    <w:rsid w:val="002F42B2"/>
    <w:rsid w:val="002F63A1"/>
    <w:rsid w:val="003036BA"/>
    <w:rsid w:val="00303CE7"/>
    <w:rsid w:val="00304392"/>
    <w:rsid w:val="0030758F"/>
    <w:rsid w:val="00313105"/>
    <w:rsid w:val="003141B6"/>
    <w:rsid w:val="003146F4"/>
    <w:rsid w:val="00321775"/>
    <w:rsid w:val="00321EB5"/>
    <w:rsid w:val="00322DAA"/>
    <w:rsid w:val="00323174"/>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0BB7"/>
    <w:rsid w:val="003B2176"/>
    <w:rsid w:val="003B2723"/>
    <w:rsid w:val="003B3AC6"/>
    <w:rsid w:val="003B3FFE"/>
    <w:rsid w:val="003C1744"/>
    <w:rsid w:val="003C4DCD"/>
    <w:rsid w:val="003C615D"/>
    <w:rsid w:val="003D112E"/>
    <w:rsid w:val="003D12A0"/>
    <w:rsid w:val="003D1A98"/>
    <w:rsid w:val="003D37D6"/>
    <w:rsid w:val="003D3FE2"/>
    <w:rsid w:val="003D4E93"/>
    <w:rsid w:val="003D640F"/>
    <w:rsid w:val="003D7316"/>
    <w:rsid w:val="003D7D09"/>
    <w:rsid w:val="003E17F3"/>
    <w:rsid w:val="003F7D7E"/>
    <w:rsid w:val="00402953"/>
    <w:rsid w:val="0040442D"/>
    <w:rsid w:val="00410A00"/>
    <w:rsid w:val="0041108E"/>
    <w:rsid w:val="0041189C"/>
    <w:rsid w:val="004127AE"/>
    <w:rsid w:val="0041399D"/>
    <w:rsid w:val="00416591"/>
    <w:rsid w:val="00416D80"/>
    <w:rsid w:val="00417315"/>
    <w:rsid w:val="00420CA6"/>
    <w:rsid w:val="00422716"/>
    <w:rsid w:val="004360DF"/>
    <w:rsid w:val="00440B97"/>
    <w:rsid w:val="00440B9E"/>
    <w:rsid w:val="004423FC"/>
    <w:rsid w:val="0044242A"/>
    <w:rsid w:val="00442439"/>
    <w:rsid w:val="00442B34"/>
    <w:rsid w:val="00443AB2"/>
    <w:rsid w:val="00444E10"/>
    <w:rsid w:val="004462AC"/>
    <w:rsid w:val="0044635D"/>
    <w:rsid w:val="00446720"/>
    <w:rsid w:val="00446CD9"/>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0EB9"/>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B7196"/>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4D8D"/>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0CED"/>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003"/>
    <w:rsid w:val="006D7BFC"/>
    <w:rsid w:val="006E3B17"/>
    <w:rsid w:val="006F6C87"/>
    <w:rsid w:val="006F6F42"/>
    <w:rsid w:val="0070502C"/>
    <w:rsid w:val="007074FD"/>
    <w:rsid w:val="0070798C"/>
    <w:rsid w:val="00715990"/>
    <w:rsid w:val="0071635C"/>
    <w:rsid w:val="00720592"/>
    <w:rsid w:val="00721E50"/>
    <w:rsid w:val="0072284B"/>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5752C"/>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4FA"/>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4F0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3079"/>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3FC8"/>
    <w:rsid w:val="008F4B39"/>
    <w:rsid w:val="008F62FB"/>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0B5"/>
    <w:rsid w:val="0095097F"/>
    <w:rsid w:val="00950F2C"/>
    <w:rsid w:val="009512A7"/>
    <w:rsid w:val="009543EE"/>
    <w:rsid w:val="00965037"/>
    <w:rsid w:val="00967F32"/>
    <w:rsid w:val="009702DE"/>
    <w:rsid w:val="00971B64"/>
    <w:rsid w:val="00973331"/>
    <w:rsid w:val="00974712"/>
    <w:rsid w:val="00976266"/>
    <w:rsid w:val="00977BEF"/>
    <w:rsid w:val="0098218D"/>
    <w:rsid w:val="00990E54"/>
    <w:rsid w:val="00990F3D"/>
    <w:rsid w:val="00996B36"/>
    <w:rsid w:val="009978E6"/>
    <w:rsid w:val="00997E19"/>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B7D55"/>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0F43"/>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3F82"/>
    <w:rsid w:val="00A8467A"/>
    <w:rsid w:val="00A86C97"/>
    <w:rsid w:val="00A86DE0"/>
    <w:rsid w:val="00A86E28"/>
    <w:rsid w:val="00A92AC5"/>
    <w:rsid w:val="00A93E28"/>
    <w:rsid w:val="00AA6824"/>
    <w:rsid w:val="00AA701D"/>
    <w:rsid w:val="00AB208D"/>
    <w:rsid w:val="00AB4207"/>
    <w:rsid w:val="00AC2B6A"/>
    <w:rsid w:val="00AC3AFC"/>
    <w:rsid w:val="00AD0CDD"/>
    <w:rsid w:val="00AD0FD6"/>
    <w:rsid w:val="00AD7994"/>
    <w:rsid w:val="00AD7D31"/>
    <w:rsid w:val="00AE0A20"/>
    <w:rsid w:val="00AE31C7"/>
    <w:rsid w:val="00AE3911"/>
    <w:rsid w:val="00AE3DD9"/>
    <w:rsid w:val="00AE709A"/>
    <w:rsid w:val="00AE784D"/>
    <w:rsid w:val="00AF72C4"/>
    <w:rsid w:val="00AF7E75"/>
    <w:rsid w:val="00B005D4"/>
    <w:rsid w:val="00B00868"/>
    <w:rsid w:val="00B01558"/>
    <w:rsid w:val="00B0264D"/>
    <w:rsid w:val="00B02FB1"/>
    <w:rsid w:val="00B0645A"/>
    <w:rsid w:val="00B06847"/>
    <w:rsid w:val="00B07042"/>
    <w:rsid w:val="00B071FD"/>
    <w:rsid w:val="00B07868"/>
    <w:rsid w:val="00B1340A"/>
    <w:rsid w:val="00B159DB"/>
    <w:rsid w:val="00B1657C"/>
    <w:rsid w:val="00B17D3B"/>
    <w:rsid w:val="00B21B6E"/>
    <w:rsid w:val="00B220B5"/>
    <w:rsid w:val="00B22EA9"/>
    <w:rsid w:val="00B24F0E"/>
    <w:rsid w:val="00B262E4"/>
    <w:rsid w:val="00B313EF"/>
    <w:rsid w:val="00B40077"/>
    <w:rsid w:val="00B42160"/>
    <w:rsid w:val="00B43D5E"/>
    <w:rsid w:val="00B45A43"/>
    <w:rsid w:val="00B45D4C"/>
    <w:rsid w:val="00B54914"/>
    <w:rsid w:val="00B54C48"/>
    <w:rsid w:val="00B5501D"/>
    <w:rsid w:val="00B61668"/>
    <w:rsid w:val="00B61FC1"/>
    <w:rsid w:val="00B6613A"/>
    <w:rsid w:val="00B70AB8"/>
    <w:rsid w:val="00B7110A"/>
    <w:rsid w:val="00B71D96"/>
    <w:rsid w:val="00B73845"/>
    <w:rsid w:val="00B76BA6"/>
    <w:rsid w:val="00B76BE5"/>
    <w:rsid w:val="00B80094"/>
    <w:rsid w:val="00B81523"/>
    <w:rsid w:val="00B81683"/>
    <w:rsid w:val="00B85469"/>
    <w:rsid w:val="00B902AE"/>
    <w:rsid w:val="00B917F9"/>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3DE"/>
    <w:rsid w:val="00BC275E"/>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2773"/>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646"/>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CF76AC"/>
    <w:rsid w:val="00D01A21"/>
    <w:rsid w:val="00D01AAF"/>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A45B2"/>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47AFA"/>
    <w:rsid w:val="00E512E8"/>
    <w:rsid w:val="00E51795"/>
    <w:rsid w:val="00E5277A"/>
    <w:rsid w:val="00E5343D"/>
    <w:rsid w:val="00E53B52"/>
    <w:rsid w:val="00E5601E"/>
    <w:rsid w:val="00E632AC"/>
    <w:rsid w:val="00E6491A"/>
    <w:rsid w:val="00E66762"/>
    <w:rsid w:val="00E721A9"/>
    <w:rsid w:val="00E74E1D"/>
    <w:rsid w:val="00E75D00"/>
    <w:rsid w:val="00E75F3B"/>
    <w:rsid w:val="00E76648"/>
    <w:rsid w:val="00E77E5A"/>
    <w:rsid w:val="00E8036D"/>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5CB0"/>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5619"/>
    <w:rsid w:val="00F2743A"/>
    <w:rsid w:val="00F309E2"/>
    <w:rsid w:val="00F30EB0"/>
    <w:rsid w:val="00F35BA4"/>
    <w:rsid w:val="00F374DD"/>
    <w:rsid w:val="00F419EF"/>
    <w:rsid w:val="00F448F1"/>
    <w:rsid w:val="00F44A73"/>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6AAB"/>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08F11D76-2002-4527-9ECE-77AAE49BE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0D5DC5"/>
    <w:rPr>
      <w:color w:val="605E5C"/>
      <w:shd w:val="clear" w:color="auto" w:fill="E1DFDD"/>
    </w:rPr>
  </w:style>
  <w:style w:type="character" w:styleId="Strong">
    <w:name w:val="Strong"/>
    <w:basedOn w:val="DefaultParagraphFont"/>
    <w:uiPriority w:val="22"/>
    <w:qFormat/>
    <w:rsid w:val="002E35B3"/>
    <w:rPr>
      <w:b/>
      <w:bCs/>
    </w:rPr>
  </w:style>
  <w:style w:type="paragraph" w:styleId="NormalWeb">
    <w:name w:val="Normal (Web)"/>
    <w:basedOn w:val="Normal"/>
    <w:uiPriority w:val="99"/>
    <w:semiHidden/>
    <w:unhideWhenUsed/>
    <w:rsid w:val="002E35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065138">
      <w:bodyDiv w:val="1"/>
      <w:marLeft w:val="0"/>
      <w:marRight w:val="0"/>
      <w:marTop w:val="0"/>
      <w:marBottom w:val="0"/>
      <w:divBdr>
        <w:top w:val="none" w:sz="0" w:space="0" w:color="auto"/>
        <w:left w:val="none" w:sz="0" w:space="0" w:color="auto"/>
        <w:bottom w:val="none" w:sz="0" w:space="0" w:color="auto"/>
        <w:right w:val="none" w:sz="0" w:space="0" w:color="auto"/>
      </w:divBdr>
    </w:div>
    <w:div w:id="1700622924">
      <w:bodyDiv w:val="1"/>
      <w:marLeft w:val="0"/>
      <w:marRight w:val="0"/>
      <w:marTop w:val="0"/>
      <w:marBottom w:val="0"/>
      <w:divBdr>
        <w:top w:val="none" w:sz="0" w:space="0" w:color="auto"/>
        <w:left w:val="none" w:sz="0" w:space="0" w:color="auto"/>
        <w:bottom w:val="none" w:sz="0" w:space="0" w:color="auto"/>
        <w:right w:val="none" w:sz="0" w:space="0" w:color="auto"/>
      </w:divBdr>
    </w:div>
    <w:div w:id="201807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baphillip8@gmail.com" TargetMode="Externa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mailto:xwalesebabe@gmail.com" TargetMode="External"/><Relationship Id="rId14" Type="http://schemas.openxmlformats.org/officeDocument/2006/relationships/footer" Target="footer3.xml"/><Relationship Id="rId22"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1451</TotalTime>
  <Pages>10</Pages>
  <Words>6123</Words>
  <Characters>34902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40944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swale sebabe</cp:lastModifiedBy>
  <cp:revision>11</cp:revision>
  <cp:lastPrinted>2022-11-11T11:49:00Z</cp:lastPrinted>
  <dcterms:created xsi:type="dcterms:W3CDTF">2026-03-01T13:45:00Z</dcterms:created>
  <dcterms:modified xsi:type="dcterms:W3CDTF">2026-03-17T20:22:00Z</dcterms:modified>
</cp:coreProperties>
</file>