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Species as Systems</w:t>
      </w:r>
    </w:p>
    <w:p>
      <w:r>
        <w:t>Species as systems keeps taxonomy visible as a living review frame.</w:t>
      </w:r>
    </w:p>
    <w:p>
      <w:r>
        <w:t>Taxonomic memory repair and PhyloCode nomenclature debates remain visible during redescription review.</w:t>
      </w:r>
    </w:p>
    <w:p>
      <w:r>
        <w:t>Integral conservation and habitat monitoring stay linked to the conservation report packet.</w:t>
      </w:r>
    </w:p>
    <w:p>
      <w:r>
        <w:t>AI-assisted traceability preserves source-linked evidence and the human review boundary.</w:t>
      </w:r>
    </w:p>
    <w:sectPr/>
  </w:body>
</w:document>
</file>