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46"/>
        <w:gridCol w:w="3046"/>
        <w:gridCol w:w="3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b/>
                <w:bCs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  <w:highlight w:val="yellow"/>
              </w:rPr>
              <w:t>Feature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b/>
                <w:bCs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  <w:highlight w:val="yellow"/>
                <w:vertAlign w:val="baseline"/>
              </w:rPr>
              <w:t xml:space="preserve">Document Object   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b/>
                <w:bCs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  <w:highlight w:val="yellow"/>
                <w:vertAlign w:val="baseline"/>
              </w:rPr>
              <w:t>Window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Scope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 xml:space="preserve">Specific to HTML document 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Represents the entire browser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Hierarchy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Nested within the Window object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Top-level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Access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`window.document` or `document`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`window`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Purpose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Manipulates HTML content and structure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Manages properties and methods related to the browser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94" w:hRule="atLeast"/>
          <w:jc w:val="center"/>
        </w:trPr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Example Methods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 xml:space="preserve"> `getElementById()`, `getElementsByTagName()`, `createElement()`, `innerHTML`</w:t>
            </w:r>
          </w:p>
        </w:tc>
        <w:tc>
          <w:tcPr>
            <w:tcW w:w="3046" w:type="dxa"/>
          </w:tcPr>
          <w:p>
            <w:pP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vertAlign w:val="baseline"/>
              </w:rPr>
              <w:t>`innerWidth`, `innerHeight`, `location`, `alert()`, `open()`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E1A18"/>
    <w:rsid w:val="541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2023-12-29T05:47:00Z</dcterms:created>
  <dc:creator>Manikandan</dc:creator>
  <cp:lastModifiedBy>Selvam C</cp:lastModifiedBy>
  <dcterms:modified xsi:type="dcterms:W3CDTF">2023-12-29T06:02:05Z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F859E22E5D2F4823B1EAC2EDE2CFC89C_11</vt:lpwstr>
  </property>
</Properties>
</file>