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C3" w:rsidRPr="000936A9" w:rsidRDefault="00C305C3" w:rsidP="00C305C3">
      <w:pPr>
        <w:spacing w:after="6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0936A9">
        <w:rPr>
          <w:rFonts w:ascii="Arial" w:hAnsi="Arial" w:cs="Arial"/>
          <w:sz w:val="20"/>
          <w:szCs w:val="20"/>
        </w:rPr>
        <w:t xml:space="preserve">Table 5. </w:t>
      </w:r>
      <w:r w:rsidRPr="000936A9">
        <w:rPr>
          <w:rFonts w:ascii="Arial" w:hAnsi="Arial" w:cs="Arial"/>
          <w:i/>
          <w:sz w:val="20"/>
          <w:szCs w:val="20"/>
        </w:rPr>
        <w:t xml:space="preserve">Meta-analysis of radius ratio and radius slope across five studies. </w:t>
      </w: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3420"/>
        <w:gridCol w:w="2700"/>
        <w:gridCol w:w="3060"/>
      </w:tblGrid>
      <w:tr w:rsidR="00C305C3" w:rsidRPr="000936A9" w:rsidTr="00353CD0">
        <w:tc>
          <w:tcPr>
            <w:tcW w:w="1705" w:type="dxa"/>
            <w:vAlign w:val="center"/>
          </w:tcPr>
          <w:p w:rsidR="00C305C3" w:rsidRPr="000936A9" w:rsidRDefault="00F83DE9" w:rsidP="0045118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Origin of D</w:t>
            </w:r>
            <w:r w:rsidR="00C305C3" w:rsidRPr="000936A9">
              <w:rPr>
                <w:rFonts w:ascii="Arial" w:hAnsi="Arial" w:cs="Arial"/>
                <w:b/>
                <w:sz w:val="20"/>
                <w:szCs w:val="20"/>
              </w:rPr>
              <w:t>ata</w:t>
            </w:r>
          </w:p>
        </w:tc>
        <w:tc>
          <w:tcPr>
            <w:tcW w:w="3420" w:type="dxa"/>
            <w:vAlign w:val="center"/>
          </w:tcPr>
          <w:p w:rsidR="00C305C3" w:rsidRPr="000936A9" w:rsidRDefault="00C305C3" w:rsidP="0045118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36A9">
              <w:rPr>
                <w:rFonts w:ascii="Arial" w:hAnsi="Arial" w:cs="Arial"/>
                <w:b/>
                <w:sz w:val="20"/>
                <w:szCs w:val="20"/>
              </w:rPr>
              <w:t>Notes</w:t>
            </w:r>
          </w:p>
        </w:tc>
        <w:tc>
          <w:tcPr>
            <w:tcW w:w="2700" w:type="dxa"/>
            <w:vAlign w:val="center"/>
          </w:tcPr>
          <w:p w:rsidR="00C305C3" w:rsidRPr="000936A9" w:rsidRDefault="00C305C3" w:rsidP="0045118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36A9">
              <w:rPr>
                <w:rFonts w:ascii="Arial" w:hAnsi="Arial" w:cs="Arial"/>
                <w:b/>
                <w:sz w:val="20"/>
                <w:szCs w:val="20"/>
              </w:rPr>
              <w:t>Radius Ratio</w:t>
            </w:r>
          </w:p>
        </w:tc>
        <w:tc>
          <w:tcPr>
            <w:tcW w:w="3060" w:type="dxa"/>
            <w:vAlign w:val="center"/>
          </w:tcPr>
          <w:p w:rsidR="00C305C3" w:rsidRPr="000936A9" w:rsidRDefault="00C305C3" w:rsidP="0045118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36A9">
              <w:rPr>
                <w:rFonts w:ascii="Arial" w:hAnsi="Arial" w:cs="Arial"/>
                <w:b/>
                <w:sz w:val="20"/>
                <w:szCs w:val="20"/>
              </w:rPr>
              <w:t xml:space="preserve">Radius Slope </w:t>
            </w:r>
          </w:p>
        </w:tc>
      </w:tr>
      <w:tr w:rsidR="00C305C3" w:rsidRPr="000936A9" w:rsidTr="00353CD0">
        <w:trPr>
          <w:trHeight w:val="1772"/>
        </w:trPr>
        <w:tc>
          <w:tcPr>
            <w:tcW w:w="1705" w:type="dxa"/>
            <w:vMerge w:val="restart"/>
            <w:vAlign w:val="center"/>
          </w:tcPr>
          <w:p w:rsidR="00C305C3" w:rsidRPr="000936A9" w:rsidRDefault="00830C10" w:rsidP="00C305C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>Ibrahim and Wright (</w:t>
            </w:r>
            <w:r w:rsidR="00C305C3" w:rsidRPr="000936A9">
              <w:rPr>
                <w:rFonts w:ascii="Arial" w:hAnsi="Arial" w:cs="Arial"/>
                <w:sz w:val="20"/>
                <w:szCs w:val="20"/>
              </w:rPr>
              <w:t>1975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) obtained </w:t>
            </w:r>
            <w:r w:rsidR="006F4A2D">
              <w:rPr>
                <w:rFonts w:ascii="Arial" w:hAnsi="Arial" w:cs="Arial"/>
                <w:sz w:val="20"/>
                <w:szCs w:val="20"/>
              </w:rPr>
              <w:t>five whiskers from m</w:t>
            </w:r>
            <w:r w:rsidR="00C305C3" w:rsidRPr="000936A9">
              <w:rPr>
                <w:rFonts w:ascii="Arial" w:hAnsi="Arial" w:cs="Arial"/>
                <w:sz w:val="20"/>
                <w:szCs w:val="20"/>
              </w:rPr>
              <w:t>ale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305C3" w:rsidRPr="000936A9" w:rsidRDefault="00C305C3" w:rsidP="00C305C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>Wistar rats between 3 –</w:t>
            </w:r>
            <w:r w:rsidR="006F4A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6 months old </w:t>
            </w:r>
          </w:p>
          <w:p w:rsidR="00C305C3" w:rsidRPr="000936A9" w:rsidRDefault="00C305C3" w:rsidP="00C305C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C305C3" w:rsidP="0045118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C305C3" w:rsidRPr="000936A9" w:rsidRDefault="00C305C3" w:rsidP="0045118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B4762">
              <w:rPr>
                <w:rFonts w:ascii="Arial" w:hAnsi="Arial" w:cs="Arial"/>
                <w:b/>
                <w:i/>
                <w:sz w:val="20"/>
                <w:szCs w:val="20"/>
              </w:rPr>
              <w:t>page 52</w:t>
            </w:r>
            <w:r w:rsidR="000B4762" w:rsidRPr="000B4762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in Ibrahim and Wright (1975)</w:t>
            </w:r>
            <w:r w:rsidRPr="000936A9">
              <w:rPr>
                <w:rFonts w:ascii="Arial" w:hAnsi="Arial" w:cs="Arial"/>
                <w:b/>
                <w:i/>
                <w:sz w:val="20"/>
                <w:szCs w:val="20"/>
              </w:rPr>
              <w:t>: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 “In rats α, β, γ and δ vibrissae are 3-5 μm </w:t>
            </w:r>
            <w:r w:rsidRPr="000936A9">
              <w:rPr>
                <w:rFonts w:ascii="Arial" w:hAnsi="Arial" w:cs="Arial"/>
                <w:iCs/>
                <w:sz w:val="20"/>
                <w:szCs w:val="20"/>
              </w:rPr>
              <w:t xml:space="preserve">at </w:t>
            </w:r>
            <w:r w:rsidRPr="000936A9">
              <w:rPr>
                <w:rFonts w:ascii="Arial" w:hAnsi="Arial" w:cs="Arial"/>
                <w:sz w:val="20"/>
                <w:szCs w:val="20"/>
              </w:rPr>
              <w:t>their tips and 160-180 μm</w:t>
            </w:r>
            <w:r w:rsidRPr="000936A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0936A9">
              <w:rPr>
                <w:rFonts w:ascii="Arial" w:hAnsi="Arial" w:cs="Arial"/>
                <w:sz w:val="20"/>
                <w:szCs w:val="20"/>
              </w:rPr>
              <w:t>at the widest part excluding the club.”</w:t>
            </w:r>
          </w:p>
          <w:p w:rsidR="00C305C3" w:rsidRPr="000936A9" w:rsidRDefault="00C305C3" w:rsidP="0045118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C305C3" w:rsidP="0045118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b/>
                <w:i/>
                <w:sz w:val="20"/>
                <w:szCs w:val="20"/>
              </w:rPr>
              <w:t>Figure 8A</w:t>
            </w:r>
            <w:r w:rsidR="000B4762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0B4762" w:rsidRPr="000B4762">
              <w:rPr>
                <w:rFonts w:ascii="Arial" w:hAnsi="Arial" w:cs="Arial"/>
                <w:b/>
                <w:i/>
                <w:sz w:val="20"/>
                <w:szCs w:val="20"/>
              </w:rPr>
              <w:t>in Ibrahim and Wright (1975)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 provides data about the arc length of whiskers α, β, γ and δ</w:t>
            </w:r>
          </w:p>
        </w:tc>
        <w:tc>
          <w:tcPr>
            <w:tcW w:w="2700" w:type="dxa"/>
            <w:vAlign w:val="center"/>
          </w:tcPr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Smallest possible ratio: 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80/2.5 = </w:t>
            </w:r>
            <w:r w:rsidRPr="000936A9">
              <w:rPr>
                <w:rFonts w:ascii="Arial" w:hAnsi="Arial" w:cs="Arial"/>
                <w:b/>
                <w:sz w:val="20"/>
                <w:szCs w:val="20"/>
              </w:rPr>
              <w:t>32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Largest possible ratio: 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90/1.5 = </w:t>
            </w:r>
            <w:r w:rsidRPr="000936A9">
              <w:rPr>
                <w:rFonts w:ascii="Arial" w:hAnsi="Arial" w:cs="Arial"/>
                <w:b/>
                <w:sz w:val="20"/>
                <w:szCs w:val="20"/>
              </w:rPr>
              <w:t>60</w:t>
            </w:r>
          </w:p>
        </w:tc>
        <w:tc>
          <w:tcPr>
            <w:tcW w:w="3060" w:type="dxa"/>
            <w:vAlign w:val="center"/>
          </w:tcPr>
          <w:p w:rsidR="009C5D6C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>Arc length data (in mm) taken from Fig. 8A</w:t>
            </w:r>
            <w:r w:rsidR="009C5D6C">
              <w:rPr>
                <w:rFonts w:ascii="Arial" w:hAnsi="Arial" w:cs="Arial"/>
                <w:sz w:val="20"/>
                <w:szCs w:val="20"/>
              </w:rPr>
              <w:t xml:space="preserve"> in Ibrahim and Wright, 1975</w:t>
            </w:r>
          </w:p>
          <w:p w:rsidR="009C5D6C" w:rsidRDefault="009C5D6C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 ~140 days: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>α = 44; β = 51, γ = 52, δ = 59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Min possible radius slope = 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(80 – 2.5)/59,000 = </w:t>
            </w:r>
            <w:r w:rsidRPr="000936A9">
              <w:rPr>
                <w:rFonts w:ascii="Arial" w:hAnsi="Arial" w:cs="Arial"/>
                <w:b/>
                <w:sz w:val="20"/>
                <w:szCs w:val="20"/>
              </w:rPr>
              <w:t>1.31×10</w:t>
            </w:r>
            <w:r w:rsidRPr="000936A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-3</w:t>
            </w:r>
            <w:r w:rsidRPr="000936A9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Max possible radius slope = 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(90 – 1.5)/44,000 = </w:t>
            </w:r>
            <w:r w:rsidRPr="000936A9">
              <w:rPr>
                <w:rFonts w:ascii="Arial" w:hAnsi="Arial" w:cs="Arial"/>
                <w:b/>
                <w:sz w:val="20"/>
                <w:szCs w:val="20"/>
              </w:rPr>
              <w:t>2.01×10</w:t>
            </w:r>
            <w:r w:rsidRPr="000936A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-3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305C3" w:rsidRPr="000936A9" w:rsidTr="00353CD0">
        <w:trPr>
          <w:trHeight w:val="1979"/>
        </w:trPr>
        <w:tc>
          <w:tcPr>
            <w:tcW w:w="1705" w:type="dxa"/>
            <w:vMerge/>
            <w:vAlign w:val="center"/>
          </w:tcPr>
          <w:p w:rsidR="00C305C3" w:rsidRPr="000936A9" w:rsidRDefault="00C305C3" w:rsidP="0045118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C305C3" w:rsidRPr="000936A9" w:rsidRDefault="00C305C3" w:rsidP="0045118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b/>
                <w:i/>
                <w:sz w:val="20"/>
                <w:szCs w:val="20"/>
              </w:rPr>
              <w:t>Figure 6</w:t>
            </w:r>
            <w:r w:rsidR="000B4762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0B4762" w:rsidRPr="000B4762">
              <w:rPr>
                <w:rFonts w:ascii="Arial" w:hAnsi="Arial" w:cs="Arial"/>
                <w:b/>
                <w:i/>
                <w:sz w:val="20"/>
                <w:szCs w:val="20"/>
              </w:rPr>
              <w:t>in Ibrahim and Wright (1975)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 plots diameter as a function of arc length for the β, A1, A2, A3, and A4 rat vibrissae. The resolution of Figure 6 is severely limited at the tip. The data were extracted from the figu</w:t>
            </w:r>
            <w:r w:rsidR="00FD001D">
              <w:rPr>
                <w:rFonts w:ascii="Arial" w:hAnsi="Arial" w:cs="Arial"/>
                <w:sz w:val="20"/>
                <w:szCs w:val="20"/>
              </w:rPr>
              <w:t xml:space="preserve">re and are provided as Table 3 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in the present </w:t>
            </w:r>
            <w:r w:rsidR="00F83DE9">
              <w:rPr>
                <w:rFonts w:ascii="Arial" w:hAnsi="Arial" w:cs="Arial"/>
                <w:sz w:val="20"/>
                <w:szCs w:val="20"/>
              </w:rPr>
              <w:t>paper</w:t>
            </w:r>
            <w:r w:rsidRPr="000936A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700" w:type="dxa"/>
            <w:vAlign w:val="center"/>
          </w:tcPr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>Based on dat</w:t>
            </w:r>
            <w:r w:rsidR="00F83DE9">
              <w:rPr>
                <w:rFonts w:ascii="Arial" w:hAnsi="Arial" w:cs="Arial"/>
                <w:sz w:val="20"/>
                <w:szCs w:val="20"/>
              </w:rPr>
              <w:t>a from Table 3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 in </w:t>
            </w:r>
            <w:r w:rsidR="00FD001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present </w:t>
            </w:r>
            <w:r w:rsidR="00F83DE9">
              <w:rPr>
                <w:rFonts w:ascii="Arial" w:hAnsi="Arial" w:cs="Arial"/>
                <w:sz w:val="20"/>
                <w:szCs w:val="20"/>
              </w:rPr>
              <w:t>paper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476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5F554D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 ± S</w:t>
            </w:r>
            <w:r w:rsidR="00C305C3" w:rsidRPr="000936A9">
              <w:rPr>
                <w:rFonts w:ascii="Arial" w:hAnsi="Arial" w:cs="Arial"/>
                <w:sz w:val="20"/>
                <w:szCs w:val="20"/>
              </w:rPr>
              <w:t xml:space="preserve">D: </w:t>
            </w:r>
            <w:r w:rsidR="00C305C3" w:rsidRPr="000936A9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27 </w:t>
            </w:r>
            <w:r w:rsidR="00C305C3" w:rsidRPr="000936A9">
              <w:rPr>
                <w:rFonts w:ascii="Arial" w:hAnsi="Arial" w:cs="Arial"/>
                <w:b/>
                <w:sz w:val="20"/>
                <w:szCs w:val="20"/>
              </w:rPr>
              <w:t xml:space="preserve">± </w:t>
            </w:r>
            <w:r w:rsidR="00C305C3" w:rsidRPr="000936A9">
              <w:rPr>
                <w:rFonts w:ascii="Arial" w:hAnsi="Arial" w:cs="Arial"/>
                <w:b/>
                <w:noProof/>
                <w:sz w:val="20"/>
                <w:szCs w:val="20"/>
              </w:rPr>
              <w:t>8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>Median:</w:t>
            </w:r>
            <w:r w:rsidRPr="000936A9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0936A9">
              <w:rPr>
                <w:rFonts w:ascii="Arial" w:hAnsi="Arial" w:cs="Arial"/>
                <w:b/>
                <w:noProof/>
                <w:sz w:val="20"/>
                <w:szCs w:val="20"/>
              </w:rPr>
              <w:t>24</w:t>
            </w:r>
          </w:p>
        </w:tc>
        <w:tc>
          <w:tcPr>
            <w:tcW w:w="3060" w:type="dxa"/>
            <w:vAlign w:val="center"/>
          </w:tcPr>
          <w:p w:rsidR="00C305C3" w:rsidRPr="000936A9" w:rsidRDefault="00F83DE9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Based on data from Table 3</w:t>
            </w:r>
            <w:r w:rsidR="00C305C3" w:rsidRPr="000936A9">
              <w:rPr>
                <w:rFonts w:ascii="Arial" w:hAnsi="Arial" w:cs="Arial"/>
                <w:sz w:val="20"/>
                <w:szCs w:val="20"/>
              </w:rPr>
              <w:t xml:space="preserve"> in present </w:t>
            </w:r>
            <w:r>
              <w:rPr>
                <w:rFonts w:ascii="Arial" w:hAnsi="Arial" w:cs="Arial"/>
                <w:sz w:val="20"/>
                <w:szCs w:val="20"/>
              </w:rPr>
              <w:t>paper</w:t>
            </w:r>
            <w:r w:rsidR="00C305C3" w:rsidRPr="00093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36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5F554D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 ± S</w:t>
            </w:r>
            <w:r w:rsidR="00C305C3" w:rsidRPr="000936A9">
              <w:rPr>
                <w:rFonts w:ascii="Arial" w:hAnsi="Arial" w:cs="Arial"/>
                <w:sz w:val="20"/>
                <w:szCs w:val="20"/>
              </w:rPr>
              <w:t>D:</w:t>
            </w:r>
          </w:p>
          <w:p w:rsidR="00C305C3" w:rsidRPr="000936A9" w:rsidRDefault="00A12895" w:rsidP="00451180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2.16</w:t>
            </w:r>
            <w:r w:rsidR="00C305C3" w:rsidRPr="000936A9">
              <w:rPr>
                <w:rFonts w:ascii="Arial" w:hAnsi="Arial" w:cs="Arial"/>
                <w:b/>
                <w:sz w:val="20"/>
                <w:szCs w:val="20"/>
              </w:rPr>
              <w:t>×10</w:t>
            </w:r>
            <w:r w:rsidR="00C305C3" w:rsidRPr="000936A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-3</w:t>
            </w:r>
            <w:r w:rsidR="00C305C3" w:rsidRPr="000936A9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</w:t>
            </w:r>
            <w:r w:rsidR="00C305C3" w:rsidRPr="000936A9">
              <w:rPr>
                <w:rFonts w:ascii="Arial" w:hAnsi="Arial" w:cs="Arial"/>
                <w:b/>
                <w:sz w:val="20"/>
                <w:szCs w:val="20"/>
              </w:rPr>
              <w:t xml:space="preserve">± </w:t>
            </w:r>
            <w:r w:rsidR="00C305C3" w:rsidRPr="000936A9">
              <w:rPr>
                <w:rFonts w:ascii="Arial" w:hAnsi="Arial" w:cs="Arial"/>
                <w:b/>
                <w:noProof/>
                <w:sz w:val="20"/>
                <w:szCs w:val="20"/>
              </w:rPr>
              <w:t>0.52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3</w:t>
            </w:r>
            <w:r w:rsidR="00C305C3" w:rsidRPr="000936A9">
              <w:rPr>
                <w:rFonts w:ascii="Arial" w:hAnsi="Arial" w:cs="Arial"/>
                <w:b/>
                <w:sz w:val="20"/>
                <w:szCs w:val="20"/>
              </w:rPr>
              <w:t>×10</w:t>
            </w:r>
            <w:r w:rsidR="00C305C3" w:rsidRPr="000936A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-3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Median: </w:t>
            </w:r>
            <w:r w:rsidR="00A12895">
              <w:rPr>
                <w:rFonts w:ascii="Arial" w:hAnsi="Arial" w:cs="Arial"/>
                <w:b/>
                <w:noProof/>
                <w:sz w:val="20"/>
                <w:szCs w:val="20"/>
              </w:rPr>
              <w:t>1.89</w:t>
            </w:r>
            <w:r w:rsidRPr="000936A9">
              <w:rPr>
                <w:rFonts w:ascii="Arial" w:hAnsi="Arial" w:cs="Arial"/>
                <w:b/>
                <w:sz w:val="20"/>
                <w:szCs w:val="20"/>
              </w:rPr>
              <w:t>×10</w:t>
            </w:r>
            <w:r w:rsidRPr="000936A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-3</w:t>
            </w:r>
          </w:p>
        </w:tc>
      </w:tr>
      <w:tr w:rsidR="00C305C3" w:rsidRPr="000936A9" w:rsidTr="00353CD0">
        <w:trPr>
          <w:trHeight w:val="1619"/>
        </w:trPr>
        <w:tc>
          <w:tcPr>
            <w:tcW w:w="1705" w:type="dxa"/>
            <w:vAlign w:val="center"/>
          </w:tcPr>
          <w:p w:rsidR="00C305C3" w:rsidRPr="000936A9" w:rsidRDefault="00C305C3" w:rsidP="00C305C3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>Neimark et al.</w:t>
            </w:r>
            <w:r w:rsidR="00830C10" w:rsidRPr="000936A9">
              <w:rPr>
                <w:rFonts w:ascii="Arial" w:hAnsi="Arial" w:cs="Arial"/>
                <w:sz w:val="20"/>
                <w:szCs w:val="20"/>
              </w:rPr>
              <w:t xml:space="preserve"> (2003) obtained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 18 whiskers from rats of unknown age, sex, and strain.</w:t>
            </w:r>
          </w:p>
        </w:tc>
        <w:tc>
          <w:tcPr>
            <w:tcW w:w="3420" w:type="dxa"/>
            <w:vAlign w:val="center"/>
          </w:tcPr>
          <w:p w:rsidR="000B4762" w:rsidRPr="000B4762" w:rsidRDefault="00C305C3" w:rsidP="000B4762">
            <w:pPr>
              <w:spacing w:after="0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B4762">
              <w:rPr>
                <w:rFonts w:ascii="Arial" w:hAnsi="Arial" w:cs="Arial"/>
                <w:b/>
                <w:i/>
                <w:sz w:val="20"/>
                <w:szCs w:val="20"/>
              </w:rPr>
              <w:t xml:space="preserve">Table 2 </w:t>
            </w:r>
            <w:r w:rsidR="000B4762" w:rsidRPr="000B4762">
              <w:rPr>
                <w:rFonts w:ascii="Arial" w:hAnsi="Arial" w:cs="Arial"/>
                <w:b/>
                <w:i/>
                <w:sz w:val="20"/>
                <w:szCs w:val="20"/>
              </w:rPr>
              <w:t xml:space="preserve">in </w:t>
            </w:r>
            <w:r w:rsidR="000B4762">
              <w:rPr>
                <w:rFonts w:ascii="Arial" w:hAnsi="Arial" w:cs="Arial"/>
                <w:b/>
                <w:i/>
                <w:sz w:val="20"/>
                <w:szCs w:val="20"/>
              </w:rPr>
              <w:t>Neimark et al, 2003</w:t>
            </w:r>
          </w:p>
          <w:p w:rsidR="00C305C3" w:rsidRPr="000936A9" w:rsidRDefault="00C305C3" w:rsidP="0045118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>provides arc length, base diameter, and tip diameter for 18 whiskers. The whiskers include the Greek column and columns 1, 2, and 3 of rows A through E.</w:t>
            </w:r>
          </w:p>
        </w:tc>
        <w:tc>
          <w:tcPr>
            <w:tcW w:w="2700" w:type="dxa"/>
            <w:vAlign w:val="center"/>
          </w:tcPr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>Based on</w:t>
            </w:r>
            <w:r w:rsidR="009C5D6C">
              <w:rPr>
                <w:rFonts w:ascii="Arial" w:hAnsi="Arial" w:cs="Arial"/>
                <w:sz w:val="20"/>
                <w:szCs w:val="20"/>
              </w:rPr>
              <w:t xml:space="preserve"> Table 2 in Neimark et al, 2003</w:t>
            </w:r>
            <w:bookmarkStart w:id="0" w:name="_GoBack"/>
            <w:bookmarkEnd w:id="0"/>
            <w:r w:rsidRPr="000936A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5F554D" w:rsidP="00451180">
            <w:pPr>
              <w:spacing w:after="0"/>
              <w:jc w:val="both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 ± S</w:t>
            </w:r>
            <w:r w:rsidR="00C305C3" w:rsidRPr="000936A9">
              <w:rPr>
                <w:rFonts w:ascii="Arial" w:hAnsi="Arial" w:cs="Arial"/>
                <w:sz w:val="20"/>
                <w:szCs w:val="20"/>
              </w:rPr>
              <w:t xml:space="preserve">D: </w:t>
            </w:r>
            <w:r w:rsidR="00C305C3" w:rsidRPr="000936A9">
              <w:rPr>
                <w:rFonts w:ascii="Arial" w:hAnsi="Arial" w:cs="Arial"/>
                <w:b/>
                <w:noProof/>
                <w:sz w:val="20"/>
                <w:szCs w:val="20"/>
              </w:rPr>
              <w:t>29</w:t>
            </w:r>
            <w:r w:rsidR="00C305C3" w:rsidRPr="000936A9">
              <w:rPr>
                <w:rFonts w:ascii="Arial" w:hAnsi="Arial" w:cs="Arial"/>
                <w:b/>
                <w:sz w:val="20"/>
                <w:szCs w:val="20"/>
              </w:rPr>
              <w:t xml:space="preserve"> ± </w:t>
            </w:r>
            <w:r w:rsidR="00C305C3" w:rsidRPr="000936A9">
              <w:rPr>
                <w:rFonts w:ascii="Arial" w:hAnsi="Arial" w:cs="Arial"/>
                <w:b/>
                <w:noProof/>
                <w:sz w:val="20"/>
                <w:szCs w:val="20"/>
              </w:rPr>
              <w:t>35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>Median:</w:t>
            </w:r>
            <w:r w:rsidRPr="000936A9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A12895">
              <w:rPr>
                <w:rFonts w:ascii="Arial" w:hAnsi="Arial" w:cs="Arial"/>
                <w:b/>
                <w:noProof/>
                <w:sz w:val="20"/>
                <w:szCs w:val="20"/>
              </w:rPr>
              <w:t>23</w:t>
            </w:r>
          </w:p>
        </w:tc>
        <w:tc>
          <w:tcPr>
            <w:tcW w:w="3060" w:type="dxa"/>
            <w:vAlign w:val="center"/>
          </w:tcPr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>Based on data from</w:t>
            </w:r>
            <w:r w:rsidR="009C5D6C">
              <w:rPr>
                <w:rFonts w:ascii="Arial" w:hAnsi="Arial" w:cs="Arial"/>
                <w:sz w:val="20"/>
                <w:szCs w:val="20"/>
              </w:rPr>
              <w:t xml:space="preserve"> Table 2 in </w:t>
            </w:r>
            <w:proofErr w:type="spellStart"/>
            <w:r w:rsidR="009C5D6C">
              <w:rPr>
                <w:rFonts w:ascii="Arial" w:hAnsi="Arial" w:cs="Arial"/>
                <w:sz w:val="20"/>
                <w:szCs w:val="20"/>
              </w:rPr>
              <w:t>Neimark</w:t>
            </w:r>
            <w:proofErr w:type="spellEnd"/>
            <w:r w:rsidR="009C5D6C">
              <w:rPr>
                <w:rFonts w:ascii="Arial" w:hAnsi="Arial" w:cs="Arial"/>
                <w:sz w:val="20"/>
                <w:szCs w:val="20"/>
              </w:rPr>
              <w:t xml:space="preserve"> et al, 2003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5F554D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 ± S</w:t>
            </w:r>
            <w:r w:rsidR="00C305C3" w:rsidRPr="000936A9">
              <w:rPr>
                <w:rFonts w:ascii="Arial" w:hAnsi="Arial" w:cs="Arial"/>
                <w:sz w:val="20"/>
                <w:szCs w:val="20"/>
              </w:rPr>
              <w:t>D: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vertAlign w:val="superscript"/>
              </w:rPr>
            </w:pPr>
            <w:r w:rsidRPr="000936A9">
              <w:rPr>
                <w:rFonts w:ascii="Arial" w:hAnsi="Arial" w:cs="Arial"/>
                <w:b/>
                <w:noProof/>
                <w:sz w:val="20"/>
                <w:szCs w:val="20"/>
              </w:rPr>
              <w:t>1.76</w:t>
            </w:r>
            <w:r w:rsidRPr="000936A9">
              <w:rPr>
                <w:rFonts w:ascii="Arial" w:hAnsi="Arial" w:cs="Arial"/>
                <w:b/>
                <w:sz w:val="20"/>
                <w:szCs w:val="20"/>
              </w:rPr>
              <w:t>×10</w:t>
            </w:r>
            <w:r w:rsidRPr="000936A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-3</w:t>
            </w:r>
            <w:r w:rsidRPr="000936A9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</w:t>
            </w:r>
            <w:r w:rsidRPr="000936A9">
              <w:rPr>
                <w:rFonts w:ascii="Arial" w:hAnsi="Arial" w:cs="Arial"/>
                <w:b/>
                <w:sz w:val="20"/>
                <w:szCs w:val="20"/>
              </w:rPr>
              <w:t>± 0</w:t>
            </w:r>
            <w:r w:rsidR="00A12895">
              <w:rPr>
                <w:rFonts w:ascii="Arial" w:hAnsi="Arial" w:cs="Arial"/>
                <w:b/>
                <w:noProof/>
                <w:sz w:val="20"/>
                <w:szCs w:val="20"/>
              </w:rPr>
              <w:t>.457</w:t>
            </w:r>
            <w:r w:rsidRPr="000936A9">
              <w:rPr>
                <w:rFonts w:ascii="Arial" w:hAnsi="Arial" w:cs="Arial"/>
                <w:b/>
                <w:sz w:val="20"/>
                <w:szCs w:val="20"/>
              </w:rPr>
              <w:t>×10</w:t>
            </w:r>
            <w:r w:rsidRPr="000936A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-3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>Median:</w:t>
            </w:r>
            <w:r w:rsidRPr="000936A9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0936A9">
              <w:rPr>
                <w:rFonts w:ascii="Arial" w:hAnsi="Arial" w:cs="Arial"/>
                <w:b/>
                <w:noProof/>
                <w:sz w:val="20"/>
                <w:szCs w:val="20"/>
              </w:rPr>
              <w:t>1.7</w:t>
            </w:r>
            <w:bookmarkStart w:id="1" w:name="OLE_LINK5"/>
            <w:r w:rsidRPr="000936A9">
              <w:rPr>
                <w:rFonts w:ascii="Arial" w:hAnsi="Arial" w:cs="Arial"/>
                <w:b/>
                <w:noProof/>
                <w:sz w:val="20"/>
                <w:szCs w:val="20"/>
              </w:rPr>
              <w:t>5</w:t>
            </w:r>
            <w:r w:rsidRPr="000936A9">
              <w:rPr>
                <w:rFonts w:ascii="Arial" w:hAnsi="Arial" w:cs="Arial"/>
                <w:b/>
                <w:sz w:val="20"/>
                <w:szCs w:val="20"/>
              </w:rPr>
              <w:t>×10</w:t>
            </w:r>
            <w:r w:rsidRPr="000936A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-3</w:t>
            </w:r>
            <w:bookmarkEnd w:id="1"/>
          </w:p>
        </w:tc>
      </w:tr>
      <w:tr w:rsidR="00C305C3" w:rsidRPr="000936A9" w:rsidTr="00353CD0">
        <w:trPr>
          <w:trHeight w:val="1511"/>
        </w:trPr>
        <w:tc>
          <w:tcPr>
            <w:tcW w:w="1705" w:type="dxa"/>
            <w:vAlign w:val="center"/>
          </w:tcPr>
          <w:p w:rsidR="00C305C3" w:rsidRPr="000936A9" w:rsidRDefault="00830C10" w:rsidP="00C305C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Hartmann et al., (2003) obtained </w:t>
            </w:r>
            <w:r w:rsidR="00C305C3" w:rsidRPr="000936A9">
              <w:rPr>
                <w:rFonts w:ascii="Arial" w:hAnsi="Arial" w:cs="Arial"/>
                <w:sz w:val="20"/>
                <w:szCs w:val="20"/>
              </w:rPr>
              <w:t>24 whiskers from one adult female Sprague-Dawley rat.</w:t>
            </w:r>
          </w:p>
        </w:tc>
        <w:tc>
          <w:tcPr>
            <w:tcW w:w="3420" w:type="dxa"/>
            <w:vAlign w:val="center"/>
          </w:tcPr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4762">
              <w:rPr>
                <w:rFonts w:ascii="Arial" w:hAnsi="Arial" w:cs="Arial"/>
                <w:b/>
                <w:i/>
                <w:sz w:val="20"/>
                <w:szCs w:val="20"/>
              </w:rPr>
              <w:t xml:space="preserve">Figure 6c </w:t>
            </w:r>
            <w:r w:rsidR="000B4762" w:rsidRPr="000B4762">
              <w:rPr>
                <w:rFonts w:ascii="Arial" w:hAnsi="Arial" w:cs="Arial"/>
                <w:b/>
                <w:i/>
                <w:sz w:val="20"/>
                <w:szCs w:val="20"/>
              </w:rPr>
              <w:t>in Hartmann et al., 2003</w:t>
            </w:r>
            <w:r w:rsidR="000B47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shows a log-log plot of </w:t>
            </w:r>
            <w:r w:rsidR="001D41B8">
              <w:rPr>
                <w:rFonts w:ascii="Arial" w:hAnsi="Arial" w:cs="Arial"/>
                <w:sz w:val="20"/>
                <w:szCs w:val="20"/>
              </w:rPr>
              <w:t>diameter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 vs. arc length for 24 rat whiskers. These origin</w:t>
            </w:r>
            <w:r w:rsidR="00F83DE9">
              <w:rPr>
                <w:rFonts w:ascii="Arial" w:hAnsi="Arial" w:cs="Arial"/>
                <w:sz w:val="20"/>
                <w:szCs w:val="20"/>
              </w:rPr>
              <w:t xml:space="preserve">al data are provided </w:t>
            </w:r>
            <w:r w:rsidR="000B4762">
              <w:rPr>
                <w:rFonts w:ascii="Arial" w:hAnsi="Arial" w:cs="Arial"/>
                <w:sz w:val="20"/>
                <w:szCs w:val="20"/>
              </w:rPr>
              <w:t>in</w:t>
            </w:r>
            <w:r w:rsidR="00F83DE9">
              <w:rPr>
                <w:rFonts w:ascii="Arial" w:hAnsi="Arial" w:cs="Arial"/>
                <w:sz w:val="20"/>
                <w:szCs w:val="20"/>
              </w:rPr>
              <w:t xml:space="preserve"> Table 3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 in the present </w:t>
            </w:r>
            <w:r w:rsidR="00F83DE9">
              <w:rPr>
                <w:rFonts w:ascii="Arial" w:hAnsi="Arial" w:cs="Arial"/>
                <w:sz w:val="20"/>
                <w:szCs w:val="20"/>
              </w:rPr>
              <w:t>paper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, along with tip diameters. </w:t>
            </w:r>
          </w:p>
        </w:tc>
        <w:tc>
          <w:tcPr>
            <w:tcW w:w="2700" w:type="dxa"/>
            <w:vAlign w:val="center"/>
          </w:tcPr>
          <w:p w:rsidR="00C305C3" w:rsidRPr="000936A9" w:rsidRDefault="00F83DE9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Based on Table </w:t>
            </w:r>
            <w:r w:rsidR="000B4762">
              <w:rPr>
                <w:rFonts w:ascii="Arial" w:hAnsi="Arial" w:cs="Arial"/>
                <w:sz w:val="20"/>
                <w:szCs w:val="20"/>
              </w:rPr>
              <w:t>3</w:t>
            </w:r>
            <w:r w:rsidR="00C305C3" w:rsidRPr="000936A9">
              <w:rPr>
                <w:rFonts w:ascii="Arial" w:hAnsi="Arial" w:cs="Arial"/>
                <w:sz w:val="20"/>
                <w:szCs w:val="20"/>
              </w:rPr>
              <w:t xml:space="preserve"> in present </w:t>
            </w:r>
            <w:r>
              <w:rPr>
                <w:rFonts w:ascii="Arial" w:hAnsi="Arial" w:cs="Arial"/>
                <w:sz w:val="20"/>
                <w:szCs w:val="20"/>
              </w:rPr>
              <w:t>paper</w:t>
            </w:r>
            <w:r w:rsidR="00C305C3" w:rsidRPr="000936A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Mean </w:t>
            </w:r>
            <w:r w:rsidR="005F554D">
              <w:rPr>
                <w:rFonts w:ascii="Arial" w:hAnsi="Arial" w:cs="Arial"/>
                <w:sz w:val="20"/>
                <w:szCs w:val="20"/>
              </w:rPr>
              <w:t>± S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D: </w:t>
            </w:r>
            <w:r w:rsidR="00A12895">
              <w:rPr>
                <w:rFonts w:ascii="Arial" w:hAnsi="Arial" w:cs="Arial"/>
                <w:b/>
                <w:sz w:val="20"/>
                <w:szCs w:val="20"/>
              </w:rPr>
              <w:t>36 ± 20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Median = </w:t>
            </w:r>
            <w:r w:rsidR="00A12895">
              <w:rPr>
                <w:rFonts w:ascii="Arial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3060" w:type="dxa"/>
            <w:vAlign w:val="center"/>
          </w:tcPr>
          <w:p w:rsidR="00C305C3" w:rsidRPr="000936A9" w:rsidRDefault="00F83DE9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Based on Table </w:t>
            </w:r>
            <w:r w:rsidR="000B4762">
              <w:rPr>
                <w:rFonts w:ascii="Arial" w:hAnsi="Arial" w:cs="Arial"/>
                <w:sz w:val="20"/>
                <w:szCs w:val="20"/>
              </w:rPr>
              <w:t>3</w:t>
            </w:r>
            <w:r w:rsidR="00C305C3" w:rsidRPr="000936A9">
              <w:rPr>
                <w:rFonts w:ascii="Arial" w:hAnsi="Arial" w:cs="Arial"/>
                <w:sz w:val="20"/>
                <w:szCs w:val="20"/>
              </w:rPr>
              <w:t xml:space="preserve"> in present </w:t>
            </w:r>
            <w:r>
              <w:rPr>
                <w:rFonts w:ascii="Arial" w:hAnsi="Arial" w:cs="Arial"/>
                <w:sz w:val="20"/>
                <w:szCs w:val="20"/>
              </w:rPr>
              <w:t>paper</w:t>
            </w:r>
            <w:r w:rsidR="00C305C3" w:rsidRPr="00093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476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5F554D" w:rsidP="00451180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 ± S</w:t>
            </w:r>
            <w:r w:rsidR="00C305C3" w:rsidRPr="000936A9">
              <w:rPr>
                <w:rFonts w:ascii="Arial" w:hAnsi="Arial" w:cs="Arial"/>
                <w:sz w:val="20"/>
                <w:szCs w:val="20"/>
              </w:rPr>
              <w:t xml:space="preserve">D: </w:t>
            </w:r>
          </w:p>
          <w:p w:rsidR="00C305C3" w:rsidRDefault="00A12895" w:rsidP="00451180">
            <w:pPr>
              <w:spacing w:after="0" w:line="259" w:lineRule="auto"/>
              <w:rPr>
                <w:rFonts w:ascii="Arial" w:eastAsia="Calibri" w:hAnsi="Arial" w:cs="Arial"/>
                <w:b/>
                <w:sz w:val="20"/>
                <w:szCs w:val="20"/>
                <w:vertAlign w:val="superscript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2.26</w:t>
            </w:r>
            <w:r w:rsidR="00C305C3" w:rsidRPr="000936A9">
              <w:rPr>
                <w:rFonts w:ascii="Arial" w:eastAsia="Calibri" w:hAnsi="Arial" w:cs="Arial"/>
                <w:b/>
                <w:sz w:val="20"/>
                <w:szCs w:val="20"/>
              </w:rPr>
              <w:t>×10</w:t>
            </w:r>
            <w:r w:rsidR="00C305C3" w:rsidRPr="000936A9">
              <w:rPr>
                <w:rFonts w:ascii="Arial" w:eastAsia="Calibri" w:hAnsi="Arial" w:cs="Arial"/>
                <w:b/>
                <w:sz w:val="20"/>
                <w:szCs w:val="20"/>
                <w:vertAlign w:val="superscript"/>
              </w:rPr>
              <w:t xml:space="preserve">-3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± 0.822</w:t>
            </w:r>
            <w:r w:rsidR="00C305C3" w:rsidRPr="000936A9">
              <w:rPr>
                <w:rFonts w:ascii="Arial" w:eastAsia="Calibri" w:hAnsi="Arial" w:cs="Arial"/>
                <w:b/>
                <w:sz w:val="20"/>
                <w:szCs w:val="20"/>
              </w:rPr>
              <w:t>×10</w:t>
            </w:r>
            <w:r w:rsidR="00C305C3" w:rsidRPr="000936A9">
              <w:rPr>
                <w:rFonts w:ascii="Arial" w:eastAsia="Calibri" w:hAnsi="Arial" w:cs="Arial"/>
                <w:b/>
                <w:sz w:val="20"/>
                <w:szCs w:val="20"/>
                <w:vertAlign w:val="superscript"/>
              </w:rPr>
              <w:t>-3</w:t>
            </w:r>
          </w:p>
          <w:p w:rsidR="00DB36ED" w:rsidRPr="000936A9" w:rsidRDefault="00DB36ED" w:rsidP="00451180">
            <w:pPr>
              <w:spacing w:after="0" w:line="259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C305C3" w:rsidRPr="000936A9" w:rsidRDefault="00C305C3" w:rsidP="00451180">
            <w:pPr>
              <w:spacing w:after="0" w:line="259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Median = </w:t>
            </w:r>
            <w:r w:rsidRPr="000936A9">
              <w:rPr>
                <w:rFonts w:ascii="Arial" w:eastAsia="Calibri" w:hAnsi="Arial" w:cs="Arial"/>
                <w:b/>
                <w:sz w:val="20"/>
                <w:szCs w:val="20"/>
              </w:rPr>
              <w:t>2.04×10</w:t>
            </w:r>
            <w:r w:rsidRPr="000936A9">
              <w:rPr>
                <w:rFonts w:ascii="Arial" w:eastAsia="Calibri" w:hAnsi="Arial" w:cs="Arial"/>
                <w:b/>
                <w:sz w:val="20"/>
                <w:szCs w:val="20"/>
                <w:vertAlign w:val="superscript"/>
              </w:rPr>
              <w:t>-3</w:t>
            </w:r>
          </w:p>
        </w:tc>
      </w:tr>
      <w:tr w:rsidR="00C305C3" w:rsidRPr="000936A9" w:rsidTr="00353CD0">
        <w:trPr>
          <w:trHeight w:val="1610"/>
        </w:trPr>
        <w:tc>
          <w:tcPr>
            <w:tcW w:w="1705" w:type="dxa"/>
            <w:vAlign w:val="center"/>
          </w:tcPr>
          <w:p w:rsidR="00C305C3" w:rsidRPr="000936A9" w:rsidRDefault="00830C10" w:rsidP="00C305C3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>Voges et al. (2012)</w:t>
            </w:r>
            <w:r w:rsidR="00C305C3" w:rsidRPr="00093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obtained </w:t>
            </w:r>
            <w:r w:rsidR="00C305C3" w:rsidRPr="000936A9">
              <w:rPr>
                <w:rFonts w:ascii="Arial" w:hAnsi="Arial" w:cs="Arial"/>
                <w:sz w:val="20"/>
                <w:szCs w:val="20"/>
              </w:rPr>
              <w:t xml:space="preserve">23 whiskers from </w:t>
            </w:r>
            <w:r w:rsidR="00F83DE9">
              <w:rPr>
                <w:rFonts w:ascii="Arial" w:hAnsi="Arial" w:cs="Arial"/>
                <w:sz w:val="20"/>
                <w:szCs w:val="20"/>
              </w:rPr>
              <w:t xml:space="preserve">14-month old, female Wistar </w:t>
            </w:r>
            <w:r w:rsidR="00C305C3" w:rsidRPr="00F83DE9">
              <w:rPr>
                <w:rFonts w:ascii="Arial" w:hAnsi="Arial" w:cs="Arial"/>
                <w:sz w:val="20"/>
                <w:szCs w:val="20"/>
              </w:rPr>
              <w:t>Hannover</w:t>
            </w:r>
            <w:r w:rsidR="00353CD0" w:rsidRPr="00F83DE9">
              <w:rPr>
                <w:rFonts w:ascii="Arial" w:hAnsi="Arial" w:cs="Arial"/>
                <w:sz w:val="20"/>
                <w:szCs w:val="20"/>
              </w:rPr>
              <w:t xml:space="preserve"> rats</w:t>
            </w:r>
          </w:p>
        </w:tc>
        <w:tc>
          <w:tcPr>
            <w:tcW w:w="3420" w:type="dxa"/>
            <w:vAlign w:val="center"/>
          </w:tcPr>
          <w:p w:rsidR="009256EC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4762">
              <w:rPr>
                <w:rFonts w:ascii="Arial" w:hAnsi="Arial" w:cs="Arial"/>
                <w:b/>
                <w:i/>
                <w:sz w:val="20"/>
                <w:szCs w:val="20"/>
              </w:rPr>
              <w:t xml:space="preserve">Figures 3 and 4 </w:t>
            </w:r>
            <w:r w:rsidR="000B4762" w:rsidRPr="000B4762">
              <w:rPr>
                <w:rFonts w:ascii="Arial" w:hAnsi="Arial" w:cs="Arial"/>
                <w:b/>
                <w:i/>
                <w:sz w:val="20"/>
                <w:szCs w:val="20"/>
              </w:rPr>
              <w:t xml:space="preserve">in Voges et al. (2012) 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show data for arc length, base diameter, and tip diameter. The original </w:t>
            </w:r>
            <w:r w:rsidRPr="00A12895">
              <w:rPr>
                <w:rFonts w:ascii="Arial" w:hAnsi="Arial" w:cs="Arial"/>
                <w:sz w:val="20"/>
                <w:szCs w:val="20"/>
              </w:rPr>
              <w:t xml:space="preserve">data </w:t>
            </w:r>
            <w:r w:rsidR="009256EC" w:rsidRPr="00A12895">
              <w:rPr>
                <w:rFonts w:ascii="Arial" w:hAnsi="Arial" w:cs="Arial"/>
                <w:sz w:val="20"/>
                <w:szCs w:val="20"/>
              </w:rPr>
              <w:t>were</w:t>
            </w:r>
            <w:r w:rsidRPr="00A12895">
              <w:rPr>
                <w:rFonts w:ascii="Arial" w:hAnsi="Arial" w:cs="Arial"/>
                <w:sz w:val="20"/>
                <w:szCs w:val="20"/>
              </w:rPr>
              <w:t xml:space="preserve"> obtained from the authors and 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provided as </w:t>
            </w:r>
            <w:r w:rsidRPr="00F83DE9"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 w:rsidR="00F83DE9" w:rsidRPr="00F83DE9">
              <w:rPr>
                <w:rFonts w:ascii="Arial" w:hAnsi="Arial" w:cs="Arial"/>
                <w:sz w:val="20"/>
                <w:szCs w:val="20"/>
              </w:rPr>
              <w:t>3</w:t>
            </w:r>
            <w:r w:rsidRPr="00F83DE9">
              <w:rPr>
                <w:rFonts w:ascii="Arial" w:hAnsi="Arial" w:cs="Arial"/>
                <w:sz w:val="20"/>
                <w:szCs w:val="20"/>
              </w:rPr>
              <w:t xml:space="preserve"> in the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 present </w:t>
            </w:r>
            <w:r w:rsidR="00F83DE9">
              <w:rPr>
                <w:rFonts w:ascii="Arial" w:hAnsi="Arial" w:cs="Arial"/>
                <w:sz w:val="20"/>
                <w:szCs w:val="20"/>
              </w:rPr>
              <w:t>paper</w:t>
            </w:r>
          </w:p>
        </w:tc>
        <w:tc>
          <w:tcPr>
            <w:tcW w:w="2700" w:type="dxa"/>
            <w:vAlign w:val="center"/>
          </w:tcPr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Based on data from </w:t>
            </w:r>
            <w:r w:rsidRPr="00F83DE9"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 w:rsidR="000B4762">
              <w:rPr>
                <w:rFonts w:ascii="Arial" w:hAnsi="Arial" w:cs="Arial"/>
                <w:sz w:val="20"/>
                <w:szCs w:val="20"/>
              </w:rPr>
              <w:t>3</w:t>
            </w:r>
            <w:r w:rsidRPr="00F83DE9">
              <w:rPr>
                <w:rFonts w:ascii="Arial" w:hAnsi="Arial" w:cs="Arial"/>
                <w:sz w:val="20"/>
                <w:szCs w:val="20"/>
              </w:rPr>
              <w:t xml:space="preserve"> in present </w:t>
            </w:r>
            <w:r w:rsidR="00F83DE9">
              <w:rPr>
                <w:rFonts w:ascii="Arial" w:hAnsi="Arial" w:cs="Arial"/>
                <w:sz w:val="20"/>
                <w:szCs w:val="20"/>
              </w:rPr>
              <w:t>paper</w:t>
            </w:r>
            <w:r w:rsidRPr="00F83D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476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5F554D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 ± S</w:t>
            </w:r>
            <w:r w:rsidR="00C305C3" w:rsidRPr="000936A9">
              <w:rPr>
                <w:rFonts w:ascii="Arial" w:hAnsi="Arial" w:cs="Arial"/>
                <w:sz w:val="20"/>
                <w:szCs w:val="20"/>
              </w:rPr>
              <w:t>D:</w:t>
            </w:r>
            <w:r w:rsidR="00A12895">
              <w:rPr>
                <w:rFonts w:ascii="Arial" w:hAnsi="Arial" w:cs="Arial"/>
                <w:b/>
                <w:sz w:val="20"/>
                <w:szCs w:val="20"/>
              </w:rPr>
              <w:t xml:space="preserve"> 62 ± 31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Median = </w:t>
            </w:r>
            <w:r w:rsidR="0036259B">
              <w:rPr>
                <w:rFonts w:ascii="Arial" w:hAnsi="Arial" w:cs="Arial"/>
                <w:b/>
                <w:sz w:val="20"/>
                <w:szCs w:val="20"/>
              </w:rPr>
              <w:t>51</w:t>
            </w:r>
          </w:p>
        </w:tc>
        <w:tc>
          <w:tcPr>
            <w:tcW w:w="3060" w:type="dxa"/>
            <w:vAlign w:val="center"/>
          </w:tcPr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Based on data from </w:t>
            </w:r>
            <w:r w:rsidRPr="00F83DE9"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 w:rsidR="000B4762">
              <w:rPr>
                <w:rFonts w:ascii="Arial" w:hAnsi="Arial" w:cs="Arial"/>
                <w:sz w:val="20"/>
                <w:szCs w:val="20"/>
              </w:rPr>
              <w:t>3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 in present </w:t>
            </w:r>
            <w:r w:rsidR="00F83DE9">
              <w:rPr>
                <w:rFonts w:ascii="Arial" w:hAnsi="Arial" w:cs="Arial"/>
                <w:sz w:val="20"/>
                <w:szCs w:val="20"/>
              </w:rPr>
              <w:t>paper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476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5F554D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 ± S</w:t>
            </w:r>
            <w:r w:rsidR="00C305C3" w:rsidRPr="000936A9">
              <w:rPr>
                <w:rFonts w:ascii="Arial" w:hAnsi="Arial" w:cs="Arial"/>
                <w:sz w:val="20"/>
                <w:szCs w:val="20"/>
              </w:rPr>
              <w:t xml:space="preserve">D: 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936A9">
              <w:rPr>
                <w:rFonts w:ascii="Arial" w:hAnsi="Arial" w:cs="Arial"/>
                <w:b/>
                <w:sz w:val="20"/>
                <w:szCs w:val="20"/>
              </w:rPr>
              <w:t>2.17</w:t>
            </w:r>
            <w:r w:rsidRPr="000936A9">
              <w:rPr>
                <w:rFonts w:ascii="Arial" w:eastAsia="Calibri" w:hAnsi="Arial" w:cs="Arial"/>
                <w:b/>
                <w:sz w:val="20"/>
                <w:szCs w:val="20"/>
              </w:rPr>
              <w:t>×10</w:t>
            </w:r>
            <w:r w:rsidRPr="000936A9">
              <w:rPr>
                <w:rFonts w:ascii="Arial" w:eastAsia="Calibri" w:hAnsi="Arial" w:cs="Arial"/>
                <w:b/>
                <w:sz w:val="20"/>
                <w:szCs w:val="20"/>
                <w:vertAlign w:val="superscript"/>
              </w:rPr>
              <w:t>-3</w:t>
            </w:r>
            <w:r w:rsidRPr="000936A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936A9">
              <w:rPr>
                <w:rFonts w:ascii="Arial" w:eastAsia="Calibri" w:hAnsi="Arial" w:cs="Arial"/>
                <w:b/>
                <w:sz w:val="20"/>
                <w:szCs w:val="20"/>
              </w:rPr>
              <w:t>± 0.55</w:t>
            </w:r>
            <w:r w:rsidR="00A12895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 w:rsidRPr="000936A9">
              <w:rPr>
                <w:rFonts w:ascii="Arial" w:eastAsia="Calibri" w:hAnsi="Arial" w:cs="Arial"/>
                <w:b/>
                <w:sz w:val="20"/>
                <w:szCs w:val="20"/>
              </w:rPr>
              <w:t>x10</w:t>
            </w:r>
            <w:r w:rsidRPr="000936A9">
              <w:rPr>
                <w:rFonts w:ascii="Arial" w:eastAsia="Calibri" w:hAnsi="Arial" w:cs="Arial"/>
                <w:b/>
                <w:sz w:val="20"/>
                <w:szCs w:val="20"/>
                <w:vertAlign w:val="superscript"/>
              </w:rPr>
              <w:t>-3</w:t>
            </w: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Median = </w:t>
            </w:r>
            <w:r w:rsidR="00A12895">
              <w:rPr>
                <w:rFonts w:ascii="Arial" w:hAnsi="Arial" w:cs="Arial"/>
                <w:b/>
                <w:noProof/>
                <w:sz w:val="20"/>
                <w:szCs w:val="20"/>
              </w:rPr>
              <w:t>2.02</w:t>
            </w:r>
            <w:r w:rsidRPr="000936A9">
              <w:rPr>
                <w:rFonts w:ascii="Arial" w:hAnsi="Arial" w:cs="Arial"/>
                <w:b/>
                <w:sz w:val="20"/>
                <w:szCs w:val="20"/>
              </w:rPr>
              <w:t>×10</w:t>
            </w:r>
            <w:r w:rsidRPr="000936A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-3</w:t>
            </w:r>
          </w:p>
        </w:tc>
      </w:tr>
      <w:tr w:rsidR="00C305C3" w:rsidRPr="000936A9" w:rsidTr="00353CD0">
        <w:trPr>
          <w:trHeight w:val="1151"/>
        </w:trPr>
        <w:tc>
          <w:tcPr>
            <w:tcW w:w="1705" w:type="dxa"/>
            <w:vAlign w:val="center"/>
          </w:tcPr>
          <w:p w:rsidR="00C305C3" w:rsidRPr="000936A9" w:rsidRDefault="00C305C3" w:rsidP="00C305C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Belli et al., 2016 (present study) </w:t>
            </w:r>
            <w:r w:rsidR="00830C10" w:rsidRPr="000936A9">
              <w:rPr>
                <w:rFonts w:ascii="Arial" w:hAnsi="Arial" w:cs="Arial"/>
                <w:sz w:val="20"/>
                <w:szCs w:val="20"/>
              </w:rPr>
              <w:t>obtained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 52 whiskers from</w:t>
            </w:r>
            <w:r w:rsidR="00353CD0" w:rsidRPr="000936A9">
              <w:rPr>
                <w:rFonts w:ascii="Arial" w:hAnsi="Arial" w:cs="Arial"/>
                <w:sz w:val="20"/>
                <w:szCs w:val="20"/>
              </w:rPr>
              <w:t xml:space="preserve"> three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 male and female Sprague-Dawley rats between 3 – 13 months old.</w:t>
            </w:r>
          </w:p>
        </w:tc>
        <w:tc>
          <w:tcPr>
            <w:tcW w:w="3420" w:type="dxa"/>
            <w:vAlign w:val="center"/>
          </w:tcPr>
          <w:p w:rsidR="00C305C3" w:rsidRPr="000936A9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36A9">
              <w:rPr>
                <w:rFonts w:ascii="Arial" w:hAnsi="Arial" w:cs="Arial"/>
                <w:sz w:val="20"/>
                <w:szCs w:val="20"/>
              </w:rPr>
              <w:t xml:space="preserve">Data collected in </w:t>
            </w:r>
            <w:r w:rsidR="009C5D6C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present </w:t>
            </w:r>
            <w:r w:rsidR="00F83DE9">
              <w:rPr>
                <w:rFonts w:ascii="Arial" w:hAnsi="Arial" w:cs="Arial"/>
                <w:sz w:val="20"/>
                <w:szCs w:val="20"/>
              </w:rPr>
              <w:t>paper</w:t>
            </w:r>
            <w:r w:rsidRPr="000936A9">
              <w:rPr>
                <w:rFonts w:ascii="Arial" w:hAnsi="Arial" w:cs="Arial"/>
                <w:sz w:val="20"/>
                <w:szCs w:val="20"/>
              </w:rPr>
              <w:t xml:space="preserve"> and tabulated in Table 4.</w:t>
            </w:r>
          </w:p>
        </w:tc>
        <w:tc>
          <w:tcPr>
            <w:tcW w:w="2700" w:type="dxa"/>
            <w:vAlign w:val="center"/>
          </w:tcPr>
          <w:p w:rsidR="00756A74" w:rsidRPr="00EF6272" w:rsidRDefault="00756A74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272">
              <w:rPr>
                <w:rFonts w:ascii="Arial" w:hAnsi="Arial" w:cs="Arial"/>
                <w:sz w:val="20"/>
                <w:szCs w:val="20"/>
              </w:rPr>
              <w:t>Based on data from Table 4 in present paper</w:t>
            </w:r>
          </w:p>
          <w:p w:rsidR="00756A74" w:rsidRPr="00EF6272" w:rsidRDefault="00756A74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EF6272" w:rsidRDefault="005F554D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272">
              <w:rPr>
                <w:rFonts w:ascii="Arial" w:hAnsi="Arial" w:cs="Arial"/>
                <w:sz w:val="20"/>
                <w:szCs w:val="20"/>
              </w:rPr>
              <w:t>Mean ± S</w:t>
            </w:r>
            <w:r w:rsidR="00C305C3" w:rsidRPr="00EF6272">
              <w:rPr>
                <w:rFonts w:ascii="Arial" w:hAnsi="Arial" w:cs="Arial"/>
                <w:sz w:val="20"/>
                <w:szCs w:val="20"/>
              </w:rPr>
              <w:t xml:space="preserve">D: </w:t>
            </w:r>
            <w:r w:rsidR="00C305C3" w:rsidRPr="00EF6272">
              <w:rPr>
                <w:rFonts w:ascii="Arial" w:hAnsi="Arial" w:cs="Arial"/>
                <w:b/>
                <w:sz w:val="20"/>
                <w:szCs w:val="20"/>
              </w:rPr>
              <w:t>29 ± 11</w:t>
            </w:r>
          </w:p>
          <w:p w:rsidR="00C305C3" w:rsidRPr="00EF6272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EF6272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272">
              <w:rPr>
                <w:rFonts w:ascii="Arial" w:hAnsi="Arial" w:cs="Arial"/>
                <w:sz w:val="20"/>
                <w:szCs w:val="20"/>
              </w:rPr>
              <w:t xml:space="preserve">Median = </w:t>
            </w:r>
            <w:r w:rsidRPr="00EF6272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3060" w:type="dxa"/>
            <w:vAlign w:val="center"/>
          </w:tcPr>
          <w:p w:rsidR="00756A74" w:rsidRPr="00EF6272" w:rsidRDefault="00756A74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272">
              <w:rPr>
                <w:rFonts w:ascii="Arial" w:hAnsi="Arial" w:cs="Arial"/>
                <w:sz w:val="20"/>
                <w:szCs w:val="20"/>
              </w:rPr>
              <w:t>Based on data from Table 4 in present paper</w:t>
            </w:r>
          </w:p>
          <w:p w:rsidR="00756A74" w:rsidRPr="00EF6272" w:rsidRDefault="00756A74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EF6272" w:rsidRDefault="005F554D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272">
              <w:rPr>
                <w:rFonts w:ascii="Arial" w:hAnsi="Arial" w:cs="Arial"/>
                <w:sz w:val="20"/>
                <w:szCs w:val="20"/>
              </w:rPr>
              <w:t>Mean ± S</w:t>
            </w:r>
            <w:r w:rsidR="00C305C3" w:rsidRPr="00EF6272">
              <w:rPr>
                <w:rFonts w:ascii="Arial" w:hAnsi="Arial" w:cs="Arial"/>
                <w:sz w:val="20"/>
                <w:szCs w:val="20"/>
              </w:rPr>
              <w:t xml:space="preserve">D: </w:t>
            </w:r>
          </w:p>
          <w:p w:rsidR="00C305C3" w:rsidRPr="00EF6272" w:rsidRDefault="00C305C3" w:rsidP="00451180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F6272">
              <w:rPr>
                <w:rFonts w:ascii="Arial" w:hAnsi="Arial" w:cs="Arial"/>
                <w:b/>
                <w:noProof/>
                <w:sz w:val="20"/>
                <w:szCs w:val="20"/>
              </w:rPr>
              <w:t>2.48</w:t>
            </w:r>
            <w:r w:rsidRPr="00EF6272">
              <w:rPr>
                <w:rFonts w:ascii="Arial" w:hAnsi="Arial" w:cs="Arial"/>
                <w:b/>
                <w:sz w:val="20"/>
                <w:szCs w:val="20"/>
              </w:rPr>
              <w:t>×10</w:t>
            </w:r>
            <w:r w:rsidRPr="00EF627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-3</w:t>
            </w:r>
            <w:r w:rsidRPr="00EF6272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</w:t>
            </w:r>
            <w:r w:rsidRPr="00EF6272">
              <w:rPr>
                <w:rFonts w:ascii="Arial" w:hAnsi="Arial" w:cs="Arial"/>
                <w:b/>
                <w:sz w:val="20"/>
                <w:szCs w:val="20"/>
              </w:rPr>
              <w:t>±</w:t>
            </w:r>
            <w:r w:rsidRPr="00EF6272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1.10</w:t>
            </w:r>
            <w:r w:rsidRPr="00EF6272">
              <w:rPr>
                <w:rFonts w:ascii="Arial" w:hAnsi="Arial" w:cs="Arial"/>
                <w:b/>
                <w:sz w:val="20"/>
                <w:szCs w:val="20"/>
              </w:rPr>
              <w:t>×10</w:t>
            </w:r>
            <w:r w:rsidRPr="00EF627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-3</w:t>
            </w:r>
          </w:p>
          <w:p w:rsidR="00C305C3" w:rsidRPr="00EF6272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C3" w:rsidRPr="00EF6272" w:rsidRDefault="00C305C3" w:rsidP="0045118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272">
              <w:rPr>
                <w:rFonts w:ascii="Arial" w:hAnsi="Arial" w:cs="Arial"/>
                <w:sz w:val="20"/>
                <w:szCs w:val="20"/>
              </w:rPr>
              <w:t xml:space="preserve">Median = </w:t>
            </w:r>
            <w:r w:rsidRPr="00EF6272">
              <w:rPr>
                <w:rFonts w:ascii="Arial" w:hAnsi="Arial" w:cs="Arial"/>
                <w:b/>
                <w:noProof/>
                <w:sz w:val="20"/>
                <w:szCs w:val="20"/>
              </w:rPr>
              <w:t>2.18</w:t>
            </w:r>
            <w:r w:rsidRPr="00EF6272">
              <w:rPr>
                <w:rFonts w:ascii="Arial" w:hAnsi="Arial" w:cs="Arial"/>
                <w:b/>
                <w:sz w:val="20"/>
                <w:szCs w:val="20"/>
              </w:rPr>
              <w:t>×10</w:t>
            </w:r>
            <w:r w:rsidRPr="00EF627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-3</w:t>
            </w:r>
          </w:p>
        </w:tc>
      </w:tr>
    </w:tbl>
    <w:p w:rsidR="00C305C3" w:rsidRPr="000936A9" w:rsidRDefault="00C305C3" w:rsidP="00C305C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F04697" w:rsidRPr="000936A9" w:rsidRDefault="00C305C3" w:rsidP="00F0469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</w:rPr>
      </w:pPr>
      <w:r w:rsidRPr="000936A9">
        <w:rPr>
          <w:rFonts w:ascii="Arial" w:eastAsiaTheme="minorHAnsi" w:hAnsi="Arial" w:cs="Arial"/>
          <w:sz w:val="20"/>
          <w:szCs w:val="20"/>
        </w:rPr>
        <w:lastRenderedPageBreak/>
        <w:t xml:space="preserve">Columns are </w:t>
      </w:r>
      <w:r w:rsidRPr="00B679F4">
        <w:rPr>
          <w:rFonts w:ascii="Arial" w:eastAsiaTheme="minorHAnsi" w:hAnsi="Arial" w:cs="Arial"/>
          <w:sz w:val="20"/>
          <w:szCs w:val="20"/>
        </w:rPr>
        <w:t xml:space="preserve">as follows: origin of data; notes on the </w:t>
      </w:r>
      <w:r w:rsidR="00F83DE9" w:rsidRPr="00B679F4">
        <w:rPr>
          <w:rFonts w:ascii="Arial" w:eastAsiaTheme="minorHAnsi" w:hAnsi="Arial" w:cs="Arial"/>
          <w:sz w:val="20"/>
          <w:szCs w:val="20"/>
        </w:rPr>
        <w:t xml:space="preserve">location of </w:t>
      </w:r>
      <w:r w:rsidRPr="00B679F4">
        <w:rPr>
          <w:rFonts w:ascii="Arial" w:eastAsiaTheme="minorHAnsi" w:hAnsi="Arial" w:cs="Arial"/>
          <w:sz w:val="20"/>
          <w:szCs w:val="20"/>
        </w:rPr>
        <w:t>data</w:t>
      </w:r>
      <w:r w:rsidR="00F83DE9" w:rsidRPr="00B679F4">
        <w:rPr>
          <w:rFonts w:ascii="Arial" w:eastAsiaTheme="minorHAnsi" w:hAnsi="Arial" w:cs="Arial"/>
          <w:sz w:val="20"/>
          <w:szCs w:val="20"/>
        </w:rPr>
        <w:t xml:space="preserve"> in the referenced paper; mean, standard deviation</w:t>
      </w:r>
      <w:r w:rsidRPr="00B679F4">
        <w:rPr>
          <w:rFonts w:ascii="Arial" w:eastAsiaTheme="minorHAnsi" w:hAnsi="Arial" w:cs="Arial"/>
          <w:sz w:val="20"/>
          <w:szCs w:val="20"/>
        </w:rPr>
        <w:t>, an</w:t>
      </w:r>
      <w:r w:rsidR="00F04697" w:rsidRPr="00B679F4">
        <w:rPr>
          <w:rFonts w:ascii="Arial" w:eastAsiaTheme="minorHAnsi" w:hAnsi="Arial" w:cs="Arial"/>
          <w:sz w:val="20"/>
          <w:szCs w:val="20"/>
        </w:rPr>
        <w:t>d median</w:t>
      </w:r>
      <w:r w:rsidRPr="00B679F4">
        <w:rPr>
          <w:rFonts w:ascii="Arial" w:eastAsiaTheme="minorHAnsi" w:hAnsi="Arial" w:cs="Arial"/>
          <w:sz w:val="20"/>
          <w:szCs w:val="20"/>
        </w:rPr>
        <w:t xml:space="preserve"> for</w:t>
      </w:r>
      <w:r w:rsidR="00F83DE9" w:rsidRPr="00B679F4">
        <w:rPr>
          <w:rFonts w:ascii="Arial" w:eastAsiaTheme="minorHAnsi" w:hAnsi="Arial" w:cs="Arial"/>
          <w:sz w:val="20"/>
          <w:szCs w:val="20"/>
        </w:rPr>
        <w:t xml:space="preserve"> radius ratio; and the mean, standard deviation</w:t>
      </w:r>
      <w:r w:rsidRPr="00B679F4">
        <w:rPr>
          <w:rFonts w:ascii="Arial" w:eastAsiaTheme="minorHAnsi" w:hAnsi="Arial" w:cs="Arial"/>
          <w:sz w:val="20"/>
          <w:szCs w:val="20"/>
        </w:rPr>
        <w:t>, an</w:t>
      </w:r>
      <w:r w:rsidR="00F83DE9" w:rsidRPr="00B679F4">
        <w:rPr>
          <w:rFonts w:ascii="Arial" w:eastAsiaTheme="minorHAnsi" w:hAnsi="Arial" w:cs="Arial"/>
          <w:sz w:val="20"/>
          <w:szCs w:val="20"/>
        </w:rPr>
        <w:t>d median for radius slope. The radius ra</w:t>
      </w:r>
      <w:r w:rsidRPr="00B679F4">
        <w:rPr>
          <w:rFonts w:ascii="Arial" w:eastAsiaTheme="minorHAnsi" w:hAnsi="Arial" w:cs="Arial"/>
          <w:sz w:val="20"/>
          <w:szCs w:val="20"/>
        </w:rPr>
        <w:t xml:space="preserve">tio </w:t>
      </w:r>
      <w:r w:rsidR="00F83DE9" w:rsidRPr="00B679F4">
        <w:rPr>
          <w:rFonts w:ascii="Arial" w:eastAsiaTheme="minorHAnsi" w:hAnsi="Arial" w:cs="Arial"/>
          <w:sz w:val="20"/>
          <w:szCs w:val="20"/>
        </w:rPr>
        <w:t>and radius s</w:t>
      </w:r>
      <w:r w:rsidR="00F04697" w:rsidRPr="00B679F4">
        <w:rPr>
          <w:rFonts w:ascii="Arial" w:eastAsiaTheme="minorHAnsi" w:hAnsi="Arial" w:cs="Arial"/>
          <w:sz w:val="20"/>
          <w:szCs w:val="20"/>
        </w:rPr>
        <w:t xml:space="preserve">lope </w:t>
      </w:r>
      <w:r w:rsidRPr="00B679F4">
        <w:rPr>
          <w:rFonts w:ascii="Arial" w:eastAsiaTheme="minorHAnsi" w:hAnsi="Arial" w:cs="Arial"/>
          <w:sz w:val="20"/>
          <w:szCs w:val="20"/>
        </w:rPr>
        <w:t>column</w:t>
      </w:r>
      <w:r w:rsidR="00F04697" w:rsidRPr="00B679F4">
        <w:rPr>
          <w:rFonts w:ascii="Arial" w:eastAsiaTheme="minorHAnsi" w:hAnsi="Arial" w:cs="Arial"/>
          <w:sz w:val="20"/>
          <w:szCs w:val="20"/>
        </w:rPr>
        <w:t>s</w:t>
      </w:r>
      <w:r w:rsidRPr="00B679F4">
        <w:rPr>
          <w:rFonts w:ascii="Arial" w:eastAsiaTheme="minorHAnsi" w:hAnsi="Arial" w:cs="Arial"/>
          <w:sz w:val="20"/>
          <w:szCs w:val="20"/>
        </w:rPr>
        <w:t xml:space="preserve"> for</w:t>
      </w:r>
      <w:r w:rsidR="00F83DE9" w:rsidRPr="00B679F4">
        <w:rPr>
          <w:rFonts w:ascii="Arial" w:eastAsiaTheme="minorHAnsi" w:hAnsi="Arial" w:cs="Arial"/>
          <w:sz w:val="20"/>
          <w:szCs w:val="20"/>
        </w:rPr>
        <w:t xml:space="preserve"> Ibrahim and Wright (1975) show</w:t>
      </w:r>
      <w:r w:rsidRPr="00B679F4">
        <w:rPr>
          <w:rFonts w:ascii="Arial" w:eastAsiaTheme="minorHAnsi" w:hAnsi="Arial" w:cs="Arial"/>
          <w:sz w:val="20"/>
          <w:szCs w:val="20"/>
        </w:rPr>
        <w:t xml:space="preserve"> </w:t>
      </w:r>
      <w:r w:rsidR="00F04697" w:rsidRPr="00B679F4">
        <w:rPr>
          <w:rFonts w:ascii="Arial" w:eastAsiaTheme="minorHAnsi" w:hAnsi="Arial" w:cs="Arial"/>
          <w:sz w:val="20"/>
          <w:szCs w:val="20"/>
        </w:rPr>
        <w:t>only extrema</w:t>
      </w:r>
      <w:r w:rsidRPr="00B679F4">
        <w:rPr>
          <w:rFonts w:ascii="Arial" w:eastAsiaTheme="minorHAnsi" w:hAnsi="Arial" w:cs="Arial"/>
          <w:sz w:val="20"/>
          <w:szCs w:val="20"/>
        </w:rPr>
        <w:t xml:space="preserve"> for radius ratio </w:t>
      </w:r>
      <w:r w:rsidR="00F04697" w:rsidRPr="00B679F4">
        <w:rPr>
          <w:rFonts w:ascii="Arial" w:eastAsiaTheme="minorHAnsi" w:hAnsi="Arial" w:cs="Arial"/>
          <w:sz w:val="20"/>
          <w:szCs w:val="20"/>
        </w:rPr>
        <w:t xml:space="preserve">because of the large measurement uncertainties in the tip and base </w:t>
      </w:r>
      <w:r w:rsidR="00B679F4" w:rsidRPr="00B679F4">
        <w:rPr>
          <w:rFonts w:ascii="Arial" w:eastAsiaTheme="minorHAnsi" w:hAnsi="Arial" w:cs="Arial"/>
          <w:sz w:val="20"/>
          <w:szCs w:val="20"/>
        </w:rPr>
        <w:t>diameters</w:t>
      </w:r>
      <w:r w:rsidR="00F04697" w:rsidRPr="00B679F4">
        <w:rPr>
          <w:rFonts w:ascii="Arial" w:eastAsiaTheme="minorHAnsi" w:hAnsi="Arial" w:cs="Arial"/>
          <w:sz w:val="20"/>
          <w:szCs w:val="20"/>
        </w:rPr>
        <w:t>.</w:t>
      </w:r>
      <w:r w:rsidR="00F04697" w:rsidRPr="00B679F4">
        <w:rPr>
          <w:rFonts w:ascii="Arial" w:hAnsi="Arial" w:cs="Arial"/>
          <w:i/>
          <w:sz w:val="20"/>
          <w:szCs w:val="20"/>
        </w:rPr>
        <w:t xml:space="preserve"> </w:t>
      </w:r>
    </w:p>
    <w:sectPr w:rsidR="00F04697" w:rsidRPr="000936A9" w:rsidSect="00830C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C3"/>
    <w:rsid w:val="000936A9"/>
    <w:rsid w:val="000B4762"/>
    <w:rsid w:val="000C0268"/>
    <w:rsid w:val="001D41B8"/>
    <w:rsid w:val="003258D4"/>
    <w:rsid w:val="00353CD0"/>
    <w:rsid w:val="003552CE"/>
    <w:rsid w:val="0036259B"/>
    <w:rsid w:val="004C416E"/>
    <w:rsid w:val="005F554D"/>
    <w:rsid w:val="00627784"/>
    <w:rsid w:val="006B43B4"/>
    <w:rsid w:val="006F4A2D"/>
    <w:rsid w:val="00756A74"/>
    <w:rsid w:val="00830C10"/>
    <w:rsid w:val="00846B82"/>
    <w:rsid w:val="009016E3"/>
    <w:rsid w:val="009256EC"/>
    <w:rsid w:val="009C5D6C"/>
    <w:rsid w:val="009E022E"/>
    <w:rsid w:val="00A12895"/>
    <w:rsid w:val="00A26295"/>
    <w:rsid w:val="00B679F4"/>
    <w:rsid w:val="00BE0083"/>
    <w:rsid w:val="00C305C3"/>
    <w:rsid w:val="00DB36ED"/>
    <w:rsid w:val="00EF6272"/>
    <w:rsid w:val="00F04697"/>
    <w:rsid w:val="00F1286F"/>
    <w:rsid w:val="00F83DE9"/>
    <w:rsid w:val="00FD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1681"/>
  <w15:chartTrackingRefBased/>
  <w15:docId w15:val="{A52B539B-A6B5-4744-A0FA-32D960E6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05C3"/>
    <w:pPr>
      <w:spacing w:after="200" w:line="276" w:lineRule="auto"/>
    </w:pPr>
    <w:rPr>
      <w:rFonts w:eastAsia="PMingLi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mjzh</dc:creator>
  <cp:keywords/>
  <dc:description/>
  <cp:lastModifiedBy>Hayley</cp:lastModifiedBy>
  <cp:revision>3</cp:revision>
  <dcterms:created xsi:type="dcterms:W3CDTF">2017-04-01T02:28:00Z</dcterms:created>
  <dcterms:modified xsi:type="dcterms:W3CDTF">2017-04-03T21:44:00Z</dcterms:modified>
</cp:coreProperties>
</file>