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/>
      </w:pPr>
      <w:r>
        <w:t>IA aplicada con verificación para el trabajo académico y la ingeniería mecatrónica</w:t>
      </w:r>
    </w:p>
    <w:p>
      <w:pPr>
        <w:pStyle w:val="Subtitle"/>
      </w:pPr>
      <w:r>
        <w:t>Propuesta de curso intensivo para EU4M  ·  Universidad de Oviedo</w:t>
      </w:r>
    </w:p>
    <w:p>
      <w:pPr>
        <w:spacing w:before="100" w:after="360"/>
      </w:pPr>
      <w:r>
        <w:rPr>
          <w:b/>
          <w:color w:val="17324D"/>
        </w:rPr>
        <w:t>José Sebastián Rojas Ordóñez</w:t>
      </w:r>
      <w:r>
        <w:br/>
        <w:t>Antiguo alumno de EU4M  ·  Investigador predoctoral en IKERLAN y UPV/EHU</w:t>
        <w:br/>
        <w:t>Septiembre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/>
            <w:r>
              <w:rPr>
                <w:rFonts w:ascii="Aptos Display" w:hAnsi="Aptos Display"/>
                <w:b/>
                <w:color w:val="17324D"/>
                <w:sz w:val="24"/>
              </w:rPr>
              <w:t>Propuesta recomendada</w:t>
            </w:r>
          </w:p>
          <w:p>
            <w:pPr>
              <w:spacing w:after="0" w:line="259" w:lineRule="auto"/>
            </w:pPr>
            <w:r>
              <w:t>Un curso presencial de 8 horas, impartido en español y organizado en cuatro módulos de 2 horas. El alumnado aprende a utilizar IA en tareas académicas y de ingeniería, pero cada resultado debe quedar respaldado por una fuente, un cálculo, una prueba o una observación reproducible.</w:t>
            </w:r>
          </w:p>
        </w:tc>
      </w:tr>
    </w:tbl>
    <w:p>
      <w:pPr>
        <w:pStyle w:val="Heading1"/>
        <w:keepNext/>
      </w:pPr>
      <w:r>
        <w:t>Ficha del curso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2520"/>
        <w:gridCol w:w="7560"/>
      </w:tblGrid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Destinatarios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Estudiantes de primer semestre del máster EU4M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Duración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8 horas presenciales, distribuibles a lo largo de una semana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Idioma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Español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Requisitos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Portátil y navegador; no se requieren conocimientos previos de IA o aprendizaje automático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Formato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Trabajo individual y por parejas, con demostraciones y un caso mecatrónico común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Resultado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Cuatro evidencias breves que permiten evaluar el trabajo de cada estudiante</w:t>
            </w:r>
          </w:p>
        </w:tc>
      </w:tr>
    </w:tbl>
    <w:p>
      <w:pPr>
        <w:pStyle w:val="Heading1"/>
        <w:keepNext/>
      </w:pPr>
      <w:r>
        <w:t>Decisión solicitada</w:t>
      </w:r>
    </w:p>
    <w:p>
      <w:pPr>
        <w:spacing w:before="0" w:after="0" w:line="254" w:lineRule="auto"/>
      </w:pPr>
      <w:r>
        <w:t>Confirmar el encaje del curso en el calendario del primer semestre y acordar las fechas, la distribución de las ocho horas y el carácter evaluable de la actividad.</w:t>
      </w:r>
    </w:p>
    <w:p>
      <w:r>
        <w:br w:type="page"/>
      </w:r>
    </w:p>
    <w:p>
      <w:pPr>
        <w:pStyle w:val="Heading1"/>
        <w:keepNext/>
      </w:pPr>
      <w:r>
        <w:t>Finalidad y encaje</w:t>
      </w:r>
    </w:p>
    <w:p>
      <w:pPr>
        <w:spacing w:before="0" w:after="100" w:line="254" w:lineRule="auto"/>
      </w:pPr>
      <w:r>
        <w:t>El curso responde al formato planteado para la Universidad de Oviedo: una introducción breve a las herramientas de IA útiles en el trabajo académico y en el diseño mecatrónico. La prioridad es que el estudiante pueda aplicar lo aprendido desde el primer semestre en asignaturas, proyectos y en la preparación posterior del TFM.</w:t>
      </w:r>
    </w:p>
    <w:p>
      <w:pPr>
        <w:spacing w:before="0" w:after="100" w:line="254" w:lineRule="auto"/>
      </w:pPr>
      <w:r>
        <w:t>Las herramientas cambian con rapidez. Por eso, el curso se organiza por tareas y por criterios de verificación, no como un catálogo de productos. La búsqueda bibliográfica, la redacción, la programación y el análisis de datos se practican con un método común que sigue siendo válido aunque cambie la aplicación utilizada.</w:t>
      </w:r>
    </w:p>
    <w:p>
      <w:pPr>
        <w:spacing w:before="0" w:after="100" w:line="254" w:lineRule="auto"/>
      </w:pPr>
      <w:r>
        <w:t>La formación es pertinente en 2026. La Comisión Europea sitúa la alfabetización en IA en la comprensión de sus oportunidades, riesgos y contexto de uso, además del conocimiento técnico necesario. UNESCO recomienda un enfoque centrado en las personas, con atención a la privacidad, la validación y la responsabilidad académica. El curso convierte esas recomendaciones en ejercicios observables y evaluables [1, 2].</w:t>
      </w:r>
    </w:p>
    <w:p>
      <w:pPr>
        <w:pStyle w:val="Heading1"/>
        <w:keepNext/>
      </w:pPr>
      <w:r>
        <w:t>Alcance</w:t>
      </w:r>
    </w:p>
    <w:p>
      <w:pPr>
        <w:pStyle w:val="ListBullet"/>
        <w:spacing w:after="40" w:line="245" w:lineRule="auto"/>
        <w:ind w:left="317" w:hanging="230"/>
      </w:pPr>
      <w:r>
        <w:t>Sí cubre el uso crítico de asistentes de IA para localizar y contrastar información, mejorar textos, apoyar código y analizar resultados de ingeniería.</w:t>
      </w:r>
    </w:p>
    <w:p>
      <w:pPr>
        <w:pStyle w:val="ListBullet"/>
        <w:spacing w:after="40" w:line="245" w:lineRule="auto"/>
        <w:ind w:left="317" w:hanging="230"/>
      </w:pPr>
      <w:r>
        <w:t>Sí incluye un caso mecatrónico continuo con datos y resultados preparados, de modo que la IA se contraste con evidencia técnica.</w:t>
      </w:r>
    </w:p>
    <w:p>
      <w:pPr>
        <w:pStyle w:val="ListBullet"/>
        <w:spacing w:after="40" w:line="245" w:lineRule="auto"/>
        <w:ind w:left="317" w:hanging="230"/>
      </w:pPr>
      <w:r>
        <w:t>No pretende enseñar la teoría matemática de los modelos de IA ni convertir ocho horas introductorias en un laboratorio intensivo de machine learning.</w:t>
      </w:r>
    </w:p>
    <w:p>
      <w:pPr>
        <w:pStyle w:val="ListBullet"/>
        <w:spacing w:after="40" w:line="245" w:lineRule="auto"/>
        <w:ind w:left="317" w:hanging="230"/>
      </w:pPr>
      <w:r>
        <w:t>Las herramientas concretas se seleccionarán según la disponibilidad y las normas de la Universidad; el método no depende de una cuenta comercial específica.</w:t>
      </w:r>
    </w:p>
    <w:p>
      <w:pPr>
        <w:pStyle w:val="Heading1"/>
        <w:keepNext/>
      </w:pPr>
      <w:r>
        <w:t>Resultados de aprendizaje propuestos</w:t>
      </w:r>
    </w:p>
    <w:p>
      <w:pPr>
        <w:spacing w:after="80"/>
        <w:ind w:left="389" w:hanging="288"/>
      </w:pPr>
      <w:r>
        <w:rPr>
          <w:b/>
        </w:rPr>
        <w:t xml:space="preserve">1.  </w:t>
      </w:r>
      <w:r>
        <w:t>Elegir una tarea en la que la IA aporte utilidad y reconocer cuándo no debe utilizarse.</w:t>
      </w:r>
    </w:p>
    <w:p>
      <w:pPr>
        <w:spacing w:after="80"/>
        <w:ind w:left="389" w:hanging="288"/>
      </w:pPr>
      <w:r>
        <w:rPr>
          <w:b/>
        </w:rPr>
        <w:t xml:space="preserve">2.  </w:t>
      </w:r>
      <w:r>
        <w:t>Formular una petición con contexto, datos disponibles y criterios de aceptación.</w:t>
      </w:r>
    </w:p>
    <w:p>
      <w:pPr>
        <w:spacing w:after="80"/>
        <w:ind w:left="389" w:hanging="288"/>
      </w:pPr>
      <w:r>
        <w:rPr>
          <w:b/>
        </w:rPr>
        <w:t xml:space="preserve">3.  </w:t>
      </w:r>
      <w:r>
        <w:t>Verificar citas, cifras, código e interpretaciones mediante fuentes primarias, pruebas o datos reproducibles.</w:t>
      </w:r>
    </w:p>
    <w:p>
      <w:pPr>
        <w:spacing w:after="80"/>
        <w:ind w:left="389" w:hanging="288"/>
      </w:pPr>
      <w:r>
        <w:rPr>
          <w:b/>
        </w:rPr>
        <w:t xml:space="preserve">4.  </w:t>
      </w:r>
      <w:r>
        <w:t>Aplicar IA a una tarea académica y a una tarea de ingeniería sin delegar el juicio técnico.</w:t>
      </w:r>
    </w:p>
    <w:p>
      <w:pPr>
        <w:spacing w:after="80"/>
        <w:ind w:left="389" w:hanging="288"/>
      </w:pPr>
      <w:r>
        <w:rPr>
          <w:b/>
        </w:rPr>
        <w:t xml:space="preserve">5.  </w:t>
      </w:r>
      <w:r>
        <w:t>Documentar el uso de IA, las correcciones realizadas y las limitaciones del resultado.</w:t>
      </w:r>
    </w:p>
    <w:p>
      <w:pPr>
        <w:pStyle w:val="Heading1"/>
        <w:keepNext/>
      </w:pPr>
      <w:r>
        <w:t>Método común de verificación</w:t>
      </w:r>
    </w:p>
    <w:p>
      <w:pPr>
        <w:spacing w:before="0" w:after="80" w:line="254" w:lineRule="auto"/>
      </w:pPr>
      <w:r>
        <w:t>El protocolo PVRD se emplea en los cuatro módulos. Cada uso relevante de IA deja un registro breve.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2F7"/>
            <w:tcMar>
              <w:top w:w="120" w:type="dxa"/>
              <w:start w:w="95" w:type="dxa"/>
              <w:bottom w:w="120" w:type="dxa"/>
              <w:end w:w="95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D6A93"/>
                <w:sz w:val="32"/>
              </w:rPr>
              <w:t>P</w:t>
            </w:r>
          </w:p>
          <w:p>
            <w:pPr>
              <w:spacing w:after="40"/>
              <w:jc w:val="center"/>
            </w:pPr>
            <w:r>
              <w:rPr>
                <w:b/>
                <w:sz w:val="18"/>
              </w:rPr>
              <w:t>Prompt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Definir propósito, contexto y criterio de aceptación</w:t>
            </w:r>
          </w:p>
        </w:tc>
        <w:tc>
          <w:tcPr>
            <w:tcW w:type="dxa" w:w="2541"/>
            <w:shd w:fill="F3F5F7"/>
            <w:tcMar>
              <w:top w:w="120" w:type="dxa"/>
              <w:start w:w="95" w:type="dxa"/>
              <w:bottom w:w="120" w:type="dxa"/>
              <w:end w:w="95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D6A93"/>
                <w:sz w:val="32"/>
              </w:rPr>
              <w:t>V</w:t>
            </w:r>
          </w:p>
          <w:p>
            <w:pPr>
              <w:spacing w:after="40"/>
              <w:jc w:val="center"/>
            </w:pPr>
            <w:r>
              <w:rPr>
                <w:b/>
                <w:sz w:val="18"/>
              </w:rPr>
              <w:t>Verificar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Contrastar con fuente, cálculo, prueba o dato</w:t>
            </w:r>
          </w:p>
        </w:tc>
        <w:tc>
          <w:tcPr>
            <w:tcW w:type="dxa" w:w="2541"/>
            <w:shd w:fill="EAF2F7"/>
            <w:tcMar>
              <w:top w:w="120" w:type="dxa"/>
              <w:start w:w="95" w:type="dxa"/>
              <w:bottom w:w="120" w:type="dxa"/>
              <w:end w:w="95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D6A93"/>
                <w:sz w:val="32"/>
              </w:rPr>
              <w:t>R</w:t>
            </w:r>
          </w:p>
          <w:p>
            <w:pPr>
              <w:spacing w:after="40"/>
              <w:jc w:val="center"/>
            </w:pPr>
            <w:r>
              <w:rPr>
                <w:b/>
                <w:sz w:val="18"/>
              </w:rPr>
              <w:t>Refinar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Corregir la salida o reformular la petición</w:t>
            </w:r>
          </w:p>
        </w:tc>
        <w:tc>
          <w:tcPr>
            <w:tcW w:type="dxa" w:w="2541"/>
            <w:shd w:fill="F3F5F7"/>
            <w:tcMar>
              <w:top w:w="120" w:type="dxa"/>
              <w:start w:w="95" w:type="dxa"/>
              <w:bottom w:w="120" w:type="dxa"/>
              <w:end w:w="95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D6A93"/>
                <w:sz w:val="32"/>
              </w:rPr>
              <w:t>D</w:t>
            </w:r>
          </w:p>
          <w:p>
            <w:pPr>
              <w:spacing w:after="40"/>
              <w:jc w:val="center"/>
            </w:pPr>
            <w:r>
              <w:rPr>
                <w:b/>
                <w:sz w:val="18"/>
              </w:rPr>
              <w:t>Documentar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Registrar decisiones, cambios y límites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Programa de ocho horas</w:t>
      </w:r>
    </w:p>
    <w:p>
      <w:pPr>
        <w:spacing w:before="0" w:after="120" w:line="254" w:lineRule="auto"/>
      </w:pPr>
      <w:r>
        <w:t>Los cuatro módulos pueden impartirse en una jornada o repartirse durante una semana. Las pausas se ajustarán al horario y no se contabilizan como contenido.</w:t>
      </w:r>
    </w:p>
    <w:p>
      <w:pPr>
        <w:pStyle w:val="Heading2"/>
        <w:keepNext/>
      </w:pPr>
      <w:r>
        <w:t>Módulo 1  Usar IA con criterio</w:t>
      </w:r>
    </w:p>
    <w:p>
      <w:pPr>
        <w:spacing w:before="0" w:after="60" w:line="254" w:lineRule="auto"/>
      </w:pPr>
      <w:r/>
      <w:r>
        <w:rPr>
          <w:b/>
        </w:rPr>
        <w:t xml:space="preserve">Objetivo  </w:t>
      </w:r>
      <w:r>
        <w:t>Reconocer capacidades, límites y riesgos, y aplicar PVRD a una respuesta aparentemente convincente.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1512"/>
        <w:gridCol w:w="856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Actividad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Presentación del curso y conexión con el recorrido EU4M, la investigación y la industria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Dónde aporta valor la IA en el ciclo académico y en el ciclo de ingeniería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35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Ejercicio guiado para detectar errores, supuestos y falta de evidencia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30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Privacidad, autoría, trazabilidad y uso permitido en un contexto universitario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Registro individual PVRD y puesta en común</w:t>
            </w:r>
          </w:p>
        </w:tc>
      </w:tr>
    </w:tbl>
    <w:p>
      <w:pPr>
        <w:spacing w:before="60" w:after="100" w:line="254" w:lineRule="auto"/>
      </w:pPr>
      <w:r/>
      <w:r>
        <w:rPr>
          <w:b/>
        </w:rPr>
        <w:t xml:space="preserve">Evidencia al cierre  </w:t>
      </w:r>
      <w:r>
        <w:t>Primera entrada individual del registro PVRD, con una afirmación rechazada o corregida y su evidencia.</w:t>
      </w:r>
    </w:p>
    <w:p>
      <w:pPr>
        <w:pStyle w:val="Heading2"/>
        <w:keepNext/>
      </w:pPr>
      <w:r>
        <w:t>Módulo 2  Investigación y comunicación académica</w:t>
      </w:r>
    </w:p>
    <w:p>
      <w:pPr>
        <w:spacing w:before="0" w:after="60" w:line="254" w:lineRule="auto"/>
      </w:pPr>
      <w:r/>
      <w:r>
        <w:rPr>
          <w:b/>
        </w:rPr>
        <w:t xml:space="preserve">Objetivo  </w:t>
      </w:r>
      <w:r>
        <w:t>Construir una respuesta académica breve cuya bibliografía, afirmaciones y redacción puedan comprobarse.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1512"/>
        <w:gridCol w:w="856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Actividad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Transformar un tema amplio en una pregunta, palabras clave y criterios de selección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40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Búsqueda guiada y comprobación de autores, fecha, DOI y relación con la pregunta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30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Síntesis y redacción asistida sin inventar fuentes ni alterar el significado técnico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Revisión cruzada por parejas con la matriz de evidencia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Entrega individual y retroalimentación rápida</w:t>
            </w:r>
          </w:p>
        </w:tc>
      </w:tr>
    </w:tbl>
    <w:p>
      <w:pPr>
        <w:spacing w:before="60" w:after="100" w:line="254" w:lineRule="auto"/>
      </w:pPr>
      <w:r/>
      <w:r>
        <w:rPr>
          <w:b/>
        </w:rPr>
        <w:t xml:space="preserve">Evidencia al cierre  </w:t>
      </w:r>
      <w:r>
        <w:t>Matriz individual con al menos tres fuentes comprobadas y un párrafo respaldado por ellas.</w:t>
      </w:r>
    </w:p>
    <w:p>
      <w:pPr>
        <w:pStyle w:val="Heading1"/>
        <w:keepNext/>
      </w:pPr>
      <w:r>
        <w:t>Criterio de selección de herramientas</w:t>
      </w:r>
    </w:p>
    <w:p>
      <w:pPr>
        <w:spacing w:before="0" w:after="0" w:line="254" w:lineRule="auto"/>
      </w:pPr>
      <w:r>
        <w:t>Se elegirán herramientas accesibles desde el navegador y autorizadas para el grupo. La búsqueda se apoyará en bases bibliográficas y registros verificables; los asistentes generativos se usarán para formular, comparar o revisar, nunca como fuente bibliográfica final.</w:t>
      </w:r>
    </w:p>
    <w:p>
      <w:r>
        <w:br w:type="page"/>
      </w:r>
    </w:p>
    <w:p>
      <w:pPr>
        <w:pStyle w:val="Heading1"/>
        <w:keepNext/>
      </w:pPr>
      <w:r>
        <w:t>Programa de ocho horas</w:t>
      </w:r>
    </w:p>
    <w:p>
      <w:pPr>
        <w:pStyle w:val="Heading2"/>
        <w:keepNext/>
      </w:pPr>
      <w:r>
        <w:t>Módulo 3  IA en una tarea mecatrónica</w:t>
      </w:r>
    </w:p>
    <w:p>
      <w:pPr>
        <w:spacing w:before="0" w:after="60" w:line="254" w:lineRule="auto"/>
      </w:pPr>
      <w:r/>
      <w:r>
        <w:rPr>
          <w:b/>
        </w:rPr>
        <w:t xml:space="preserve">Objetivo  </w:t>
      </w:r>
      <w:r>
        <w:t>Usar IA para apoyar una decisión de ingeniería y comprobarla con requisitos, pruebas y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1512"/>
        <w:gridCol w:w="856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Actividad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Caso común de un actuador lineal con señales nominales y fallos simulados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30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Definición de requisitos y criterios de aceptación antes de consultar a la 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35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Apoyo a código, cálculo o interpretación de datos en un notebook preparado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Contraste de la respuesta con una prueba, una gráfica y el resultado de referencia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Registro de supuestos, límites y correcciones</w:t>
            </w:r>
          </w:p>
        </w:tc>
      </w:tr>
    </w:tbl>
    <w:p>
      <w:pPr>
        <w:spacing w:before="60" w:after="100" w:line="254" w:lineRule="auto"/>
      </w:pPr>
      <w:r/>
      <w:r>
        <w:rPr>
          <w:b/>
        </w:rPr>
        <w:t xml:space="preserve">Evidencia al cierre  </w:t>
      </w:r>
      <w:r>
        <w:t>Artefacto técnico breve con una prueba ejecutada y una conclusión que cite la evidencia utilizada.</w:t>
      </w:r>
    </w:p>
    <w:p>
      <w:pPr>
        <w:pStyle w:val="Heading2"/>
        <w:keepNext/>
      </w:pPr>
      <w:r>
        <w:t>Módulo 4  Reto integrado y evaluación</w:t>
      </w:r>
    </w:p>
    <w:p>
      <w:pPr>
        <w:spacing w:before="0" w:after="60" w:line="254" w:lineRule="auto"/>
      </w:pPr>
      <w:r/>
      <w:r>
        <w:rPr>
          <w:b/>
        </w:rPr>
        <w:t xml:space="preserve">Objetivo  </w:t>
      </w:r>
      <w:r>
        <w:t>Resolver una tarea pequeña que combine evidencia académica, razonamiento de ingeniería y trazabilidad del uso de 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1512"/>
        <w:gridCol w:w="856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Actividad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Entrega del reto, roles y criterios de evaluación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65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Trabajo por parejas en un informe técnico de una página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20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Presentaciones breves y preguntas sobre la evidencia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Prueba individual de salida con un caso nuevo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5 min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Cierre y recogida de entregables</w:t>
            </w:r>
          </w:p>
        </w:tc>
      </w:tr>
    </w:tbl>
    <w:p>
      <w:pPr>
        <w:spacing w:before="60" w:after="100" w:line="254" w:lineRule="auto"/>
      </w:pPr>
      <w:r/>
      <w:r>
        <w:rPr>
          <w:b/>
        </w:rPr>
        <w:t xml:space="preserve">Evidencia al cierre  </w:t>
      </w:r>
      <w:r>
        <w:t>Informe por parejas, registro PVRD individual y prueba individual de salida.</w:t>
      </w:r>
    </w:p>
    <w:p>
      <w:pPr>
        <w:pStyle w:val="Heading1"/>
        <w:keepNext/>
      </w:pPr>
      <w:r>
        <w:t>Hilo conductor del caso</w:t>
      </w:r>
    </w:p>
    <w:p>
      <w:pPr>
        <w:spacing w:before="0" w:after="100" w:line="254" w:lineRule="auto"/>
      </w:pPr>
      <w:r>
        <w:t>El mismo actuador aparece en los cuatro módulos. Una afirmación técnica se investiga, se convierte en un requisito, se contrasta con datos y termina en una recomendación documentada. El alumnado recibe el dataset y el notebook ya preparados; no necesita instalar MuJoCo ni entrenar un sistema completo durante el curso base.</w:t>
      </w:r>
    </w:p>
    <w:p>
      <w:pPr>
        <w:pStyle w:val="Heading1"/>
        <w:keepNext/>
      </w:pPr>
      <w:r>
        <w:t>Por qué este diseño cabe en ocho horas</w:t>
      </w:r>
    </w:p>
    <w:p>
      <w:pPr>
        <w:pStyle w:val="ListBullet"/>
        <w:spacing w:after="40" w:line="245" w:lineRule="auto"/>
        <w:ind w:left="317" w:hanging="230"/>
      </w:pPr>
      <w:r>
        <w:t>Cada módulo produce una evidencia corta y termina antes de abrir el siguiente tema.</w:t>
      </w:r>
    </w:p>
    <w:p>
      <w:pPr>
        <w:pStyle w:val="ListBullet"/>
        <w:spacing w:after="40" w:line="245" w:lineRule="auto"/>
        <w:ind w:left="317" w:hanging="230"/>
      </w:pPr>
      <w:r>
        <w:t>El caso técnico utiliza datos pregenerados y una ruta guiada en navegador.</w:t>
      </w:r>
    </w:p>
    <w:p>
      <w:pPr>
        <w:pStyle w:val="ListBullet"/>
        <w:spacing w:after="40" w:line="245" w:lineRule="auto"/>
        <w:ind w:left="317" w:hanging="230"/>
      </w:pPr>
      <w:r>
        <w:t>La programación es un medio de verificación, no un requisito de entrada.</w:t>
      </w:r>
    </w:p>
    <w:p>
      <w:pPr>
        <w:pStyle w:val="ListBullet"/>
        <w:spacing w:after="40" w:line="245" w:lineRule="auto"/>
        <w:ind w:left="317" w:hanging="230"/>
      </w:pPr>
      <w:r>
        <w:t>Existe una alternativa sin conexión con capturas, datos y resultados de referencia.</w:t>
      </w:r>
    </w:p>
    <w:p>
      <w:r>
        <w:br w:type="page"/>
      </w:r>
    </w:p>
    <w:p>
      <w:pPr>
        <w:pStyle w:val="Heading1"/>
        <w:keepNext/>
      </w:pPr>
      <w:r>
        <w:t>Evaluación y evidencias</w:t>
      </w:r>
    </w:p>
    <w:p>
      <w:pPr>
        <w:spacing w:before="0" w:after="120" w:line="254" w:lineRule="auto"/>
      </w:pPr>
      <w:r>
        <w:t>La evaluación combina trabajo individual y por parejas. Si la actividad no requiere calificación formal, los mismos productos sirven como evidencia de participación y para orientar la retroalimentación.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3384"/>
        <w:gridCol w:w="1656"/>
        <w:gridCol w:w="1512"/>
        <w:gridCol w:w="352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Autoría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Peso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principal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Matriz de fuentes verificadas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Individual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25 %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Trazabilidad y relación entre fuente y afirmación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Registro PVRD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Individual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25 %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Calidad de la verificación y de la corrección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Informe técnico del reto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Parejas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30 %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Requisito, evidencia técnica y conclusión coherentes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Prueba de salida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Individual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20 %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Transferencia del método a un caso nuevo</w:t>
            </w:r>
          </w:p>
        </w:tc>
      </w:tr>
    </w:tbl>
    <w:p>
      <w:pPr>
        <w:pStyle w:val="Heading1"/>
        <w:keepNext/>
      </w:pPr>
      <w:r>
        <w:t>Material docente</w:t>
      </w:r>
    </w:p>
    <w:p>
      <w:pPr>
        <w:pStyle w:val="ListBullet"/>
        <w:spacing w:after="40" w:line="245" w:lineRule="auto"/>
        <w:ind w:left="317" w:hanging="230"/>
      </w:pPr>
      <w:r>
        <w:t>Presentación y guía breve para el estudiante.</w:t>
      </w:r>
    </w:p>
    <w:p>
      <w:pPr>
        <w:pStyle w:val="ListBullet"/>
        <w:spacing w:after="40" w:line="245" w:lineRule="auto"/>
        <w:ind w:left="317" w:hanging="230"/>
      </w:pPr>
      <w:r>
        <w:t>Plantillas para la matriz de fuentes, el registro PVRD y el informe técnico.</w:t>
      </w:r>
    </w:p>
    <w:p>
      <w:pPr>
        <w:pStyle w:val="ListBullet"/>
        <w:spacing w:after="40" w:line="245" w:lineRule="auto"/>
        <w:ind w:left="317" w:hanging="230"/>
      </w:pPr>
      <w:r>
        <w:t>Notebook en navegador, dataset pregenerado y resultados de referencia del caso del actuador.</w:t>
      </w:r>
    </w:p>
    <w:p>
      <w:pPr>
        <w:pStyle w:val="ListBullet"/>
        <w:spacing w:after="40" w:line="245" w:lineRule="auto"/>
        <w:ind w:left="317" w:hanging="230"/>
      </w:pPr>
      <w:r>
        <w:t>Guía docente con tiempos, soluciones, rúbrica y plan alternativo sin conexión.</w:t>
      </w:r>
    </w:p>
    <w:p>
      <w:pPr>
        <w:pStyle w:val="Heading1"/>
        <w:keepNext/>
      </w:pPr>
      <w:r>
        <w:t>Requisitos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CE1"/>
          <w:left w:val="single" w:sz="4" w:color="D7DCE1"/>
          <w:bottom w:val="single" w:sz="4" w:color="D7DCE1"/>
          <w:right w:val="single" w:sz="4" w:color="D7DCE1"/>
          <w:insideH w:val="single" w:sz="4" w:color="D7DCE1"/>
          <w:insideV w:val="single" w:sz="4" w:color="D7DCE1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Propuesta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11111"/>
                <w:sz w:val="17"/>
              </w:rPr>
              <w:t>Aula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Proyector, Wi-Fi y enchufes; un portátil por estudiante o por pareja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11111"/>
                <w:sz w:val="17"/>
              </w:rPr>
              <w:t>Software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Navegador actualizado; sin GPU, hardware de laboratorio ni instalación obligatoria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11111"/>
                <w:sz w:val="17"/>
              </w:rPr>
              <w:t>Cuentas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Solo servicios autorizados por la Universidad; se evitarán datos personales o confidenciales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11111"/>
                <w:sz w:val="17"/>
              </w:rPr>
              <w:t>Plan alternativo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Paquete local con dataset, capturas, respuestas de ejemplo y resultados ya calculados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11111"/>
                <w:sz w:val="17"/>
              </w:rPr>
              <w:t>Tamaño del grupo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Recomendado hasta 30 estudiantes para permitir revisión y retroalimentación</w:t>
            </w:r>
          </w:p>
        </w:tc>
      </w:tr>
    </w:tbl>
    <w:p>
      <w:pPr>
        <w:pStyle w:val="Heading1"/>
        <w:keepNext/>
      </w:pPr>
      <w:r>
        <w:t>Preparación</w:t>
      </w:r>
    </w:p>
    <w:p>
      <w:pPr>
        <w:spacing w:before="0" w:after="0" w:line="254" w:lineRule="auto"/>
      </w:pPr>
      <w:r>
        <w:t>El estudiante recibirá 3–4 días antes una guía de una página, las normas de uso y una comprobación de acceso. El docente realizará un piloto completo con las cuentas y la red disponibles antes de la sesión.</w:t>
      </w:r>
    </w:p>
    <w:p>
      <w:r>
        <w:br w:type="page"/>
      </w:r>
    </w:p>
    <w:p>
      <w:pPr>
        <w:pStyle w:val="Heading1"/>
        <w:keepNext/>
      </w:pPr>
      <w:r>
        <w:t>Adaptaciones y desarrollo futuro</w:t>
      </w:r>
    </w:p>
    <w:p>
      <w:pPr>
        <w:pStyle w:val="Heading2"/>
        <w:keepNext/>
      </w:pPr>
      <w:r>
        <w:t>Versión compacta de 6 horas</w:t>
      </w:r>
    </w:p>
    <w:p>
      <w:pPr>
        <w:spacing w:before="0" w:after="100" w:line="254" w:lineRule="auto"/>
      </w:pPr>
      <w:r>
        <w:t>Mantiene los módulos 1, 2 y 4. El caso mecatrónico del módulo 3 se presenta como demostración guiada de 45 minutos y el informe final se reduce a una plantilla de media página. Se conservan la matriz de fuentes y la prueba individual de salida.</w:t>
      </w:r>
    </w:p>
    <w:p>
      <w:pPr>
        <w:pStyle w:val="Heading2"/>
        <w:keepNext/>
      </w:pPr>
      <w:r>
        <w:t>Extensión en línea de 15 horas</w:t>
      </w:r>
    </w:p>
    <w:p>
      <w:pPr>
        <w:spacing w:before="0" w:after="100" w:line="254" w:lineRule="auto"/>
      </w:pPr>
      <w:r>
        <w:t>Añade trabajo asincrónico, revisión entre pares y una segunda práctica técnica. Puede impartirse en inglés para estudiantes de instituciones socias. La evaluación individual se mantiene y el proyecto final incorpora una defensa breve.</w:t>
      </w:r>
    </w:p>
    <w:p>
      <w:pPr>
        <w:pStyle w:val="Heading2"/>
        <w:keepNext/>
      </w:pPr>
      <w:r>
        <w:t>Laboratorio avanzado de diagnóstico</w:t>
      </w:r>
    </w:p>
    <w:p>
      <w:pPr>
        <w:spacing w:before="0" w:after="100" w:line="254" w:lineRule="auto"/>
      </w:pPr>
      <w:r>
        <w:t>El material ya desarrollado con MuJoCo, generación de fallos y modelos de clasificación se conserva como extensión técnica de unas 7 horas o como opción de proyecto. Antes de utilizarlo con estudiantes conviene publicar una versión limpia del repositorio, verificar la ejecución real en Colab y unificar la configuración que genera las métricas. Esta extensión es adecuada después del curso base o para alumnado con Python y análisis de datos.</w:t>
      </w:r>
    </w:p>
    <w:p>
      <w:pPr>
        <w:pStyle w:val="Heading2"/>
        <w:keepNext/>
      </w:pPr>
      <w:r>
        <w:t>Relación con el BIP de 2027</w:t>
      </w:r>
    </w:p>
    <w:p>
      <w:pPr>
        <w:spacing w:before="0" w:after="100" w:line="254" w:lineRule="auto"/>
      </w:pPr>
      <w:r>
        <w:t>El núcleo del curso puede reutilizarse en el BIP sobre IA en el proceso de desarrollo de ingeniería. Los módulos se corresponden con tres formas de apoyo: asistente para investigar y comunicar, exploratoria para comparar alternativas y predictiva para interpretar datos. El registro PVRD aporta la trazabilidad y la responsabilidad humana requeridas en los entregables.</w:t>
      </w:r>
    </w:p>
    <w:p>
      <w:pPr>
        <w:pStyle w:val="Heading1"/>
        <w:keepNext/>
      </w:pPr>
      <w:r>
        <w:t>Decisiones necesarias para cerrar la programación</w:t>
      </w:r>
    </w:p>
    <w:p>
      <w:pPr>
        <w:spacing w:after="80"/>
        <w:ind w:left="389" w:hanging="288"/>
      </w:pPr>
      <w:r>
        <w:rPr>
          <w:b/>
        </w:rPr>
        <w:t xml:space="preserve">1.  </w:t>
      </w:r>
      <w:r>
        <w:t>Fechas y distribución de las ocho horas dentro de la semana asignada.</w:t>
      </w:r>
    </w:p>
    <w:p>
      <w:pPr>
        <w:spacing w:after="80"/>
        <w:ind w:left="389" w:hanging="288"/>
      </w:pPr>
      <w:r>
        <w:rPr>
          <w:b/>
        </w:rPr>
        <w:t xml:space="preserve">2.  </w:t>
      </w:r>
      <w:r>
        <w:t>Número aproximado de estudiantes y nivel previo de programación.</w:t>
      </w:r>
    </w:p>
    <w:p>
      <w:pPr>
        <w:spacing w:after="80"/>
        <w:ind w:left="389" w:hanging="288"/>
      </w:pPr>
      <w:r>
        <w:rPr>
          <w:b/>
        </w:rPr>
        <w:t xml:space="preserve">3.  </w:t>
      </w:r>
      <w:r>
        <w:t>Carácter evaluable de la actividad y forma de integrar la nota, si procede.</w:t>
      </w:r>
    </w:p>
    <w:p>
      <w:pPr>
        <w:spacing w:after="80"/>
        <w:ind w:left="389" w:hanging="288"/>
      </w:pPr>
      <w:r>
        <w:rPr>
          <w:b/>
        </w:rPr>
        <w:t xml:space="preserve">4.  </w:t>
      </w:r>
      <w:r>
        <w:t>Herramientas, cuentas y normas institucionales de uso de IA aplicables al grupo.</w:t>
      </w:r>
    </w:p>
    <w:p>
      <w:pPr>
        <w:spacing w:after="80"/>
        <w:ind w:left="389" w:hanging="288"/>
      </w:pPr>
      <w:r>
        <w:rPr>
          <w:b/>
        </w:rPr>
        <w:t xml:space="preserve">5.  </w:t>
      </w:r>
      <w:r>
        <w:t>Interés en mostrar el laboratorio avanzado como demostración o reservarlo para una extensión posterior.</w:t>
      </w:r>
    </w:p>
    <w:p>
      <w:pPr>
        <w:pStyle w:val="Heading1"/>
        <w:keepNext/>
      </w:pPr>
      <w:r>
        <w:t>Referencias</w:t>
      </w:r>
    </w:p>
    <w:p>
      <w:pPr>
        <w:spacing w:after="60"/>
        <w:ind w:left="288" w:hanging="288"/>
      </w:pPr>
      <w:r>
        <w:t>[1] Comisión Europea. AI literacy questions and answers. https://digital-strategy.ec.europa.eu/en/faqs/ai-literacy-questions-answers (consulta: 12 de septiembre de 2026).</w:t>
      </w:r>
    </w:p>
    <w:p>
      <w:pPr>
        <w:spacing w:after="60"/>
        <w:ind w:left="288" w:hanging="288"/>
      </w:pPr>
      <w:r>
        <w:t>[2] UNESCO. Guidance for generative AI in education and research. 2023. https://unesdoc.unesco.org/ark:/48223/pf0000386693.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color w:val="6B7280"/>
        <w:sz w:val="16"/>
      </w:rPr>
      <w:t>EU4M  ·  Propuesta de curso  · 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