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4E5F"/>
          <w:sz w:val="40"/>
          <w:szCs w:val="40"/>
        </w:rPr>
        <w:t xml:space="preserve">Comparative Analysis of Dataset Splitting Techniques</w:t>
      </w:r>
    </w:p>
    <w:p>
      <w:pPr>
        <w:spacing w:after="60"/>
        <w:jc w:val="center"/>
      </w:pPr>
      <w:r>
        <w:rPr>
          <w:rFonts w:ascii="Times New Roman" w:cs="Times New Roman" w:eastAsia="Times New Roman" w:hAnsi="Times New Roman"/>
          <w:i/>
          <w:iCs/>
          <w:color w:val="555555"/>
          <w:sz w:val="24"/>
          <w:szCs w:val="24"/>
        </w:rPr>
        <w:t xml:space="preserve">Evaluating Hold-Out, Cross-Validation, and Group/Bootstrap Strategies on a Synthetic Regression Dataset</w:t>
      </w:r>
    </w:p>
    <w:p>
      <w:pPr>
        <w:spacing w:after="240"/>
        <w:jc w:val="center"/>
      </w:pPr>
      <w:r>
        <w:rPr>
          <w:rFonts w:ascii="Times New Roman" w:cs="Times New Roman" w:eastAsia="Times New Roman" w:hAnsi="Times New Roman"/>
          <w:color w:val="777777"/>
          <w:sz w:val="20"/>
          <w:szCs w:val="20"/>
        </w:rPr>
        <w:t xml:space="preserve">Dataset: synthetic_numeric_dataset.csv  |  Shape: 100 rows × 5 columns (4 features, 1 target)  |  Model: AdaBoost Regressor</w:t>
      </w:r>
    </w:p>
    <w:p>
      <w:pPr>
        <w:pBdr>
          <w:bottom w:val="single" w:color="1F4E5F" w:sz="6" w:space="1"/>
        </w:pBdr>
        <w:spacing w:after="200" w:before="0"/>
      </w:pPr>
    </w:p>
    <w:p>
      <w:pPr>
        <w:pStyle w:val="Heading1"/>
        <w:spacing w:after="160" w:before="320"/>
      </w:pPr>
      <w:r>
        <w:rPr>
          <w:rFonts w:ascii="Times New Roman" w:cs="Times New Roman" w:eastAsia="Times New Roman" w:hAnsi="Times New Roman"/>
          <w:b/>
          <w:bCs/>
          <w:color w:val="1F4E5F"/>
          <w:sz w:val="30"/>
          <w:szCs w:val="30"/>
        </w:rPr>
        <w:t xml:space="preserve">1. Objective</w:t>
      </w:r>
    </w:p>
    <w:p>
      <w:pPr>
        <w:spacing w:after="160" w:line="360" w:lineRule="auto"/>
        <w:jc w:val="both"/>
      </w:pPr>
      <w:r>
        <w:rPr>
          <w:rFonts w:ascii="Times New Roman" w:cs="Times New Roman" w:eastAsia="Times New Roman" w:hAnsi="Times New Roman"/>
          <w:sz w:val="24"/>
          <w:szCs w:val="24"/>
        </w:rPr>
        <w:t xml:space="preserve">This report documents and evaluates a Python script that benchmarks seventeen different dataset-splitting strategies on a single regression dataset. Every strategy trains the same model — an AdaBoost Regressor with fixed hyperparameters — so that the only variable across runs is how the data was divided into training and evaluation sets. The goal is to understand how each splitting method behaves on this specific dataset and to recommend the most trustworthy approach going forward.</w:t>
      </w:r>
    </w:p>
    <w:p>
      <w:pPr>
        <w:pStyle w:val="Heading1"/>
        <w:spacing w:after="160" w:before="320"/>
      </w:pPr>
      <w:r>
        <w:rPr>
          <w:rFonts w:ascii="Times New Roman" w:cs="Times New Roman" w:eastAsia="Times New Roman" w:hAnsi="Times New Roman"/>
          <w:b/>
          <w:bCs/>
          <w:color w:val="1F4E5F"/>
          <w:sz w:val="30"/>
          <w:szCs w:val="30"/>
        </w:rPr>
        <w:t xml:space="preserve">2. Dataset Overview</w:t>
      </w:r>
    </w:p>
    <w:p>
      <w:pPr>
        <w:spacing w:after="160" w:line="360" w:lineRule="auto"/>
        <w:jc w:val="both"/>
      </w:pPr>
      <w:r>
        <w:rPr>
          <w:rFonts w:ascii="Times New Roman" w:cs="Times New Roman" w:eastAsia="Times New Roman" w:hAnsi="Times New Roman"/>
          <w:sz w:val="24"/>
          <w:szCs w:val="24"/>
        </w:rPr>
        <w:t xml:space="preserve">The dataset contains 100 rows and 5 columns: four continuous numeric features (Feature_1 through Feature_4) and one continuous target variable. The target appears to be a linear-ish combination of the features with noise, producing values that range roughly from -65 to +82. Because the target is continuous, the script bins it into quantiles to allow stratification, and it generates synthetic group labels (10 groups of ~10 rows each) purely to demonstrate group-aware splitting.</w:t>
      </w:r>
    </w:p>
    <w:p>
      <w:pPr>
        <w:spacing w:after="160" w:line="360" w:lineRule="auto"/>
        <w:jc w:val="both"/>
      </w:pPr>
      <w:r>
        <w:rPr>
          <w:rFonts w:ascii="Times New Roman" w:cs="Times New Roman" w:eastAsia="Times New Roman" w:hAnsi="Times New Roman"/>
          <w:b w:val="false"/>
          <w:bCs w:val="false"/>
          <w:sz w:val="24"/>
          <w:szCs w:val="24"/>
        </w:rPr>
        <w:t xml:space="preserve">Two properties of this dataset matter most for interpreting the results below:</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Small sample size (n = 100): every split removes a meaningful fraction of the already-limited data, so estimates are sensitive to which rows happen to land in the test set.</w:t>
      </w:r>
    </w:p>
    <w:p>
      <w:pPr>
        <w:pStyle w:val="ListParagraph"/>
        <w:numPr>
          <w:ilvl w:val="0"/>
          <w:numId w:val="2"/>
        </w:numPr>
        <w:spacing w:after="100" w:line="360" w:lineRule="auto"/>
        <w:jc w:val="both"/>
      </w:pPr>
      <w:r>
        <w:rPr>
          <w:rFonts w:ascii="Times New Roman" w:cs="Times New Roman" w:eastAsia="Times New Roman" w:hAnsi="Times New Roman"/>
          <w:color w:val="B9770E"/>
          <w:sz w:val="24"/>
          <w:szCs w:val="24"/>
        </w:rPr>
        <w:t xml:space="preserve">No real grouping structure: the 'groups' used for Group K-Fold are artificially assigned in blocks of 10 and do not correspond to any genuine clustering in the data — this is an important caveat addressed in Section 5.</w:t>
      </w:r>
    </w:p>
    <w:p>
      <w:pPr>
        <w:pStyle w:val="Heading1"/>
        <w:spacing w:after="160" w:before="320"/>
      </w:pPr>
      <w:r>
        <w:rPr>
          <w:rFonts w:ascii="Times New Roman" w:cs="Times New Roman" w:eastAsia="Times New Roman" w:hAnsi="Times New Roman"/>
          <w:b/>
          <w:bCs/>
          <w:color w:val="1F4E5F"/>
          <w:sz w:val="30"/>
          <w:szCs w:val="30"/>
        </w:rPr>
        <w:t xml:space="preserve">3. Methodology</w:t>
      </w:r>
    </w:p>
    <w:p>
      <w:pPr>
        <w:spacing w:after="160" w:line="360" w:lineRule="auto"/>
        <w:jc w:val="both"/>
      </w:pPr>
      <w:r>
        <w:rPr>
          <w:rFonts w:ascii="Times New Roman" w:cs="Times New Roman" w:eastAsia="Times New Roman" w:hAnsi="Times New Roman"/>
          <w:sz w:val="24"/>
          <w:szCs w:val="24"/>
        </w:rPr>
        <w:t xml:space="preserve">The script is organized into three parts, all measuring performance with Mean Squared Error (MSE) — lower is better.</w:t>
      </w:r>
    </w:p>
    <w:p>
      <w:pPr>
        <w:pStyle w:val="Heading2"/>
        <w:spacing w:after="120" w:before="240"/>
      </w:pPr>
      <w:r>
        <w:rPr>
          <w:rFonts w:ascii="Times New Roman" w:cs="Times New Roman" w:eastAsia="Times New Roman" w:hAnsi="Times New Roman"/>
          <w:b/>
          <w:bCs/>
          <w:color w:val="1F4E5F"/>
          <w:sz w:val="26"/>
          <w:szCs w:val="26"/>
        </w:rPr>
        <w:t xml:space="preserve">3.1 Part A — Hold-Out Variations</w:t>
      </w:r>
    </w:p>
    <w:p>
      <w:pPr>
        <w:spacing w:after="160" w:line="360" w:lineRule="auto"/>
        <w:jc w:val="both"/>
      </w:pPr>
      <w:r>
        <w:rPr>
          <w:rFonts w:ascii="Times New Roman" w:cs="Times New Roman" w:eastAsia="Times New Roman" w:hAnsi="Times New Roman"/>
          <w:sz w:val="24"/>
          <w:szCs w:val="24"/>
        </w:rPr>
        <w:t xml:space="preserve">Single-split methods that divide the data once into training and test (or training/validation/test) subsets: two-way and three-way hold-out, each with and without stratification on the binned target.</w:t>
      </w:r>
    </w:p>
    <w:p>
      <w:pPr>
        <w:pStyle w:val="Heading2"/>
        <w:spacing w:after="120" w:before="240"/>
      </w:pPr>
      <w:r>
        <w:rPr>
          <w:rFonts w:ascii="Times New Roman" w:cs="Times New Roman" w:eastAsia="Times New Roman" w:hAnsi="Times New Roman"/>
          <w:b/>
          <w:bCs/>
          <w:color w:val="1F4E5F"/>
          <w:sz w:val="26"/>
          <w:szCs w:val="26"/>
        </w:rPr>
        <w:t xml:space="preserve">3.2 Part B — Cross-Validation Variations</w:t>
      </w:r>
    </w:p>
    <w:p>
      <w:pPr>
        <w:spacing w:after="160" w:line="360" w:lineRule="auto"/>
        <w:jc w:val="both"/>
      </w:pPr>
      <w:r>
        <w:rPr>
          <w:rFonts w:ascii="Times New Roman" w:cs="Times New Roman" w:eastAsia="Times New Roman" w:hAnsi="Times New Roman"/>
          <w:sz w:val="24"/>
          <w:szCs w:val="24"/>
        </w:rPr>
        <w:t xml:space="preserve">Methods that repeatedly partition the data so every observation is used for both training and validation: standard and stratified 5-fold, repeated (3×) versions of both, Leave-One-Out (LOOCV), Leave-p-Out (p = 2, evaluated on a 15-row subset for tractability), and standard/stratified shuffle-split (Monte Carlo) cross-validation.</w:t>
      </w:r>
    </w:p>
    <w:p>
      <w:pPr>
        <w:pStyle w:val="Heading2"/>
        <w:spacing w:after="120" w:before="240"/>
      </w:pPr>
      <w:r>
        <w:rPr>
          <w:rFonts w:ascii="Times New Roman" w:cs="Times New Roman" w:eastAsia="Times New Roman" w:hAnsi="Times New Roman"/>
          <w:b/>
          <w:bCs/>
          <w:color w:val="1F4E5F"/>
          <w:sz w:val="26"/>
          <w:szCs w:val="26"/>
        </w:rPr>
        <w:t xml:space="preserve">3.3 Part C — Group-Based and Bootstrap Variations</w:t>
      </w:r>
    </w:p>
    <w:p>
      <w:pPr>
        <w:spacing w:after="160" w:line="360" w:lineRule="auto"/>
        <w:jc w:val="both"/>
      </w:pPr>
      <w:r>
        <w:rPr>
          <w:rFonts w:ascii="Times New Roman" w:cs="Times New Roman" w:eastAsia="Times New Roman" w:hAnsi="Times New Roman"/>
          <w:sz w:val="24"/>
          <w:szCs w:val="24"/>
        </w:rPr>
        <w:t xml:space="preserve">Group K-Fold and Stratified Group K-Fold, which ensure rows from the same synthetic group never appear in both train and test, plus Bootstrap sampling with Out-of-Bag (OOB) evaluation, which trains on a resampled-with-replacement set and tests on the rows left out.</w:t>
      </w:r>
    </w:p>
    <w:p>
      <w:pPr>
        <w:pStyle w:val="Heading1"/>
        <w:spacing w:after="160" w:before="320"/>
      </w:pPr>
      <w:r>
        <w:rPr>
          <w:rFonts w:ascii="Times New Roman" w:cs="Times New Roman" w:eastAsia="Times New Roman" w:hAnsi="Times New Roman"/>
          <w:b/>
          <w:bCs/>
          <w:color w:val="1F4E5F"/>
          <w:sz w:val="30"/>
          <w:szCs w:val="30"/>
        </w:rPr>
        <w:t xml:space="preserve">4. Results</w:t>
      </w:r>
    </w:p>
    <w:p>
      <w:pPr>
        <w:spacing w:after="140" w:line="360" w:lineRule="auto"/>
        <w:jc w:val="both"/>
      </w:pPr>
      <w:r>
        <w:rPr>
          <w:rFonts w:ascii="Times New Roman" w:cs="Times New Roman" w:eastAsia="Times New Roman" w:hAnsi="Times New Roman"/>
          <w:b/>
          <w:bCs/>
          <w:color w:val="000000"/>
          <w:sz w:val="24"/>
          <w:szCs w:val="24"/>
        </w:rPr>
        <w:t xml:space="preserve">Color key: </w:t>
      </w:r>
    </w:p>
    <w:p>
      <w:pPr>
        <w:spacing w:after="60"/>
      </w:pPr>
      <w:r>
        <w:rPr>
          <w:rFonts w:ascii="Times New Roman" w:cs="Times New Roman" w:eastAsia="Times New Roman" w:hAnsi="Times New Roman"/>
          <w:b/>
          <w:bCs/>
          <w:color w:val="C00000"/>
          <w:sz w:val="24"/>
          <w:szCs w:val="24"/>
        </w:rPr>
        <w:t xml:space="preserve">■ </w:t>
      </w:r>
      <w:r>
        <w:rPr>
          <w:rFonts w:ascii="Times New Roman" w:cs="Times New Roman" w:eastAsia="Times New Roman" w:hAnsi="Times New Roman"/>
          <w:color w:val="000000"/>
          <w:sz w:val="24"/>
          <w:szCs w:val="24"/>
        </w:rPr>
        <w:t xml:space="preserve">Red — the problem: unstable / unreliable / weakest results on this dataset   </w:t>
      </w:r>
    </w:p>
    <w:p>
      <w:pPr>
        <w:spacing w:after="60"/>
      </w:pPr>
      <w:r>
        <w:rPr>
          <w:rFonts w:ascii="Times New Roman" w:cs="Times New Roman" w:eastAsia="Times New Roman" w:hAnsi="Times New Roman"/>
          <w:b/>
          <w:bCs/>
          <w:color w:val="1E8449"/>
          <w:sz w:val="24"/>
          <w:szCs w:val="24"/>
        </w:rPr>
        <w:t xml:space="preserve">■ </w:t>
      </w:r>
      <w:r>
        <w:rPr>
          <w:rFonts w:ascii="Times New Roman" w:cs="Times New Roman" w:eastAsia="Times New Roman" w:hAnsi="Times New Roman"/>
          <w:color w:val="000000"/>
          <w:sz w:val="24"/>
          <w:szCs w:val="24"/>
        </w:rPr>
        <w:t xml:space="preserve">Green — the solution: recommended technique(s) for this dataset   </w:t>
      </w:r>
    </w:p>
    <w:p>
      <w:pPr>
        <w:spacing w:after="60"/>
      </w:pPr>
      <w:r>
        <w:rPr>
          <w:rFonts w:ascii="Times New Roman" w:cs="Times New Roman" w:eastAsia="Times New Roman" w:hAnsi="Times New Roman"/>
          <w:b/>
          <w:bCs/>
          <w:color w:val="1F618D"/>
          <w:sz w:val="24"/>
          <w:szCs w:val="24"/>
        </w:rPr>
        <w:t xml:space="preserve">■ </w:t>
      </w:r>
      <w:r>
        <w:rPr>
          <w:rFonts w:ascii="Times New Roman" w:cs="Times New Roman" w:eastAsia="Times New Roman" w:hAnsi="Times New Roman"/>
          <w:color w:val="000000"/>
          <w:sz w:val="24"/>
          <w:szCs w:val="24"/>
        </w:rPr>
        <w:t xml:space="preserve">Blue — acceptable alternatives: solid, usable, but not the top pick   </w:t>
      </w:r>
    </w:p>
    <w:p>
      <w:pPr>
        <w:spacing w:after="200"/>
      </w:pPr>
      <w:r>
        <w:rPr>
          <w:rFonts w:ascii="Times New Roman" w:cs="Times New Roman" w:eastAsia="Times New Roman" w:hAnsi="Times New Roman"/>
          <w:b/>
          <w:bCs/>
          <w:color w:val="B9770E"/>
          <w:sz w:val="24"/>
          <w:szCs w:val="24"/>
        </w:rPr>
        <w:t xml:space="preserve">■ </w:t>
      </w:r>
      <w:r>
        <w:rPr>
          <w:rFonts w:ascii="Times New Roman" w:cs="Times New Roman" w:eastAsia="Times New Roman" w:hAnsi="Times New Roman"/>
          <w:color w:val="000000"/>
          <w:sz w:val="24"/>
          <w:szCs w:val="24"/>
        </w:rPr>
        <w:t xml:space="preserve">Amber — use with caution: situational, only suitable under specific conditions</w:t>
      </w:r>
    </w:p>
    <w:p>
      <w:pPr>
        <w:pStyle w:val="Heading2"/>
        <w:spacing w:after="120" w:before="240"/>
      </w:pPr>
      <w:r>
        <w:rPr>
          <w:rFonts w:ascii="Times New Roman" w:cs="Times New Roman" w:eastAsia="Times New Roman" w:hAnsi="Times New Roman"/>
          <w:b/>
          <w:bCs/>
          <w:color w:val="1F4E5F"/>
          <w:sz w:val="26"/>
          <w:szCs w:val="26"/>
        </w:rPr>
        <w:t xml:space="preserve">4.1 Part A — Hold-Out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360"/>
      </w:tblGrid>
      <w:tr>
        <w:trPr>
          <w:tblHeader/>
        </w:trPr>
        <w:tc>
          <w:tcPr>
            <w:tcW w:type="dxa" w:w="44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Technique</w:t>
            </w:r>
          </w:p>
        </w:tc>
        <w:tc>
          <w:tcPr>
            <w:tcW w:type="dxa" w:w="16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MSE</w:t>
            </w:r>
          </w:p>
        </w:tc>
        <w:tc>
          <w:tcPr>
            <w:tcW w:type="dxa" w:w="336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Observation</w:t>
            </w:r>
          </w:p>
        </w:tc>
      </w:tr>
      <w:tr>
        <w:tc>
          <w:tcPr>
            <w:tcW w:type="dxa" w:w="4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bCs/>
                <w:color w:val="C00000"/>
                <w:sz w:val="22"/>
                <w:szCs w:val="22"/>
              </w:rPr>
              <w:t xml:space="preserve">Two-Way Shuffled Hold-Out (80:20)</w:t>
            </w:r>
          </w:p>
        </w:tc>
        <w:tc>
          <w:tcPr>
            <w:tcW w:type="dxa" w:w="1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center"/>
            </w:pPr>
            <w:r>
              <w:rPr>
                <w:rFonts w:ascii="Times New Roman" w:cs="Times New Roman" w:eastAsia="Times New Roman" w:hAnsi="Times New Roman"/>
                <w:b/>
                <w:bCs/>
                <w:color w:val="C00000"/>
                <w:sz w:val="22"/>
                <w:szCs w:val="22"/>
              </w:rPr>
              <w:t xml:space="preserve">92.3468</w:t>
            </w:r>
          </w:p>
        </w:tc>
        <w:tc>
          <w:tcPr>
            <w:tcW w:type="dxa" w:w="33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Lowest of all results; single lucky split, not reliable</w:t>
            </w:r>
          </w:p>
        </w:tc>
      </w:tr>
      <w:tr>
        <w:tc>
          <w:tcPr>
            <w:tcW w:type="dxa" w:w="44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bCs/>
                <w:color w:val="C00000"/>
                <w:sz w:val="22"/>
                <w:szCs w:val="22"/>
              </w:rPr>
              <w:t xml:space="preserve">Three-Way Hold-Out (60:20:20) — Validation</w:t>
            </w:r>
          </w:p>
        </w:tc>
        <w:tc>
          <w:tcPr>
            <w:tcW w:type="dxa" w:w="16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C00000"/>
                <w:sz w:val="22"/>
                <w:szCs w:val="22"/>
              </w:rPr>
              <w:t xml:space="preserve">131.9650</w:t>
            </w:r>
          </w:p>
        </w:tc>
        <w:tc>
          <w:tcPr>
            <w:tcW w:type="dxa" w:w="336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High variance vs. its own Test split</w:t>
            </w:r>
          </w:p>
        </w:tc>
      </w:tr>
      <w:tr>
        <w:tc>
          <w:tcPr>
            <w:tcW w:type="dxa" w:w="4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bCs/>
                <w:color w:val="C00000"/>
                <w:sz w:val="22"/>
                <w:szCs w:val="22"/>
              </w:rPr>
              <w:t xml:space="preserve">Three-Way Hold-Out (60:20:20) — Test</w:t>
            </w:r>
          </w:p>
        </w:tc>
        <w:tc>
          <w:tcPr>
            <w:tcW w:type="dxa" w:w="1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center"/>
            </w:pPr>
            <w:r>
              <w:rPr>
                <w:rFonts w:ascii="Times New Roman" w:cs="Times New Roman" w:eastAsia="Times New Roman" w:hAnsi="Times New Roman"/>
                <w:b/>
                <w:bCs/>
                <w:color w:val="C00000"/>
                <w:sz w:val="22"/>
                <w:szCs w:val="22"/>
              </w:rPr>
              <w:t xml:space="preserve">144.1100</w:t>
            </w:r>
          </w:p>
        </w:tc>
        <w:tc>
          <w:tcPr>
            <w:tcW w:type="dxa" w:w="33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Large gap from Validation MSE (~12 points)</w:t>
            </w:r>
          </w:p>
        </w:tc>
      </w:tr>
      <w:tr>
        <w:tc>
          <w:tcPr>
            <w:tcW w:type="dxa" w:w="44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bCs/>
                <w:color w:val="C00000"/>
                <w:sz w:val="22"/>
                <w:szCs w:val="22"/>
              </w:rPr>
              <w:t xml:space="preserve">Stratified Two-Way Hold-Out</w:t>
            </w:r>
          </w:p>
        </w:tc>
        <w:tc>
          <w:tcPr>
            <w:tcW w:type="dxa" w:w="16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C00000"/>
                <w:sz w:val="22"/>
                <w:szCs w:val="22"/>
              </w:rPr>
              <w:t xml:space="preserve">104.2499</w:t>
            </w:r>
          </w:p>
        </w:tc>
        <w:tc>
          <w:tcPr>
            <w:tcW w:type="dxa" w:w="336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More representative split than plain hold-out</w:t>
            </w:r>
          </w:p>
        </w:tc>
      </w:tr>
      <w:tr>
        <w:tc>
          <w:tcPr>
            <w:tcW w:type="dxa" w:w="4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bCs/>
                <w:color w:val="C00000"/>
                <w:sz w:val="22"/>
                <w:szCs w:val="22"/>
              </w:rPr>
              <w:t xml:space="preserve">Stratified Three-Way — Validation</w:t>
            </w:r>
          </w:p>
        </w:tc>
        <w:tc>
          <w:tcPr>
            <w:tcW w:type="dxa" w:w="1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center"/>
            </w:pPr>
            <w:r>
              <w:rPr>
                <w:rFonts w:ascii="Times New Roman" w:cs="Times New Roman" w:eastAsia="Times New Roman" w:hAnsi="Times New Roman"/>
                <w:b/>
                <w:bCs/>
                <w:color w:val="C00000"/>
                <w:sz w:val="22"/>
                <w:szCs w:val="22"/>
              </w:rPr>
              <w:t xml:space="preserve">122.7724</w:t>
            </w:r>
          </w:p>
        </w:tc>
        <w:tc>
          <w:tcPr>
            <w:tcW w:type="dxa" w:w="33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Still shows split-to-split variance</w:t>
            </w:r>
          </w:p>
        </w:tc>
      </w:tr>
      <w:tr>
        <w:tc>
          <w:tcPr>
            <w:tcW w:type="dxa" w:w="44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bCs/>
                <w:color w:val="C00000"/>
                <w:sz w:val="22"/>
                <w:szCs w:val="22"/>
              </w:rPr>
              <w:t xml:space="preserve">Stratified Three-Way — Test</w:t>
            </w:r>
          </w:p>
        </w:tc>
        <w:tc>
          <w:tcPr>
            <w:tcW w:type="dxa" w:w="16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C00000"/>
                <w:sz w:val="22"/>
                <w:szCs w:val="22"/>
              </w:rPr>
              <w:t xml:space="preserve">98.9771</w:t>
            </w:r>
          </w:p>
        </w:tc>
        <w:tc>
          <w:tcPr>
            <w:tcW w:type="dxa" w:w="336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Inconsistent with its own Validation score</w:t>
            </w:r>
          </w:p>
        </w:tc>
      </w:tr>
    </w:tbl>
    <w:p>
      <w:pPr>
        <w:spacing w:before="200"/>
      </w:pPr>
    </w:p>
    <w:p>
      <w:pPr>
        <w:pStyle w:val="Heading2"/>
        <w:spacing w:after="120" w:before="240"/>
      </w:pPr>
      <w:r>
        <w:rPr>
          <w:rFonts w:ascii="Times New Roman" w:cs="Times New Roman" w:eastAsia="Times New Roman" w:hAnsi="Times New Roman"/>
          <w:b/>
          <w:bCs/>
          <w:color w:val="1F4E5F"/>
          <w:sz w:val="26"/>
          <w:szCs w:val="26"/>
        </w:rPr>
        <w:t xml:space="preserve">4.2 Part B — Cross-Validation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360"/>
      </w:tblGrid>
      <w:tr>
        <w:trPr>
          <w:tblHeader/>
        </w:trPr>
        <w:tc>
          <w:tcPr>
            <w:tcW w:type="dxa" w:w="44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Technique</w:t>
            </w:r>
          </w:p>
        </w:tc>
        <w:tc>
          <w:tcPr>
            <w:tcW w:type="dxa" w:w="16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MSE</w:t>
            </w:r>
          </w:p>
        </w:tc>
        <w:tc>
          <w:tcPr>
            <w:tcW w:type="dxa" w:w="336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Observation</w:t>
            </w:r>
          </w:p>
        </w:tc>
      </w:tr>
      <w:tr>
        <w:tc>
          <w:tcPr>
            <w:tcW w:type="dxa" w:w="4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bCs/>
                <w:color w:val="1F618D"/>
                <w:sz w:val="22"/>
                <w:szCs w:val="22"/>
              </w:rPr>
              <w:t xml:space="preserve">Standard 5-Fold CV</w:t>
            </w:r>
          </w:p>
        </w:tc>
        <w:tc>
          <w:tcPr>
            <w:tcW w:type="dxa" w:w="1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center"/>
            </w:pPr>
            <w:r>
              <w:rPr>
                <w:rFonts w:ascii="Times New Roman" w:cs="Times New Roman" w:eastAsia="Times New Roman" w:hAnsi="Times New Roman"/>
                <w:b/>
                <w:bCs/>
                <w:color w:val="1F618D"/>
                <w:sz w:val="22"/>
                <w:szCs w:val="22"/>
              </w:rPr>
              <w:t xml:space="preserve">124.0129</w:t>
            </w:r>
          </w:p>
        </w:tc>
        <w:tc>
          <w:tcPr>
            <w:tcW w:type="dxa" w:w="33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Solid general-purpose baseline</w:t>
            </w:r>
          </w:p>
        </w:tc>
      </w:tr>
      <w:tr>
        <w:tc>
          <w:tcPr>
            <w:tcW w:type="dxa" w:w="44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bCs/>
                <w:color w:val="1E8449"/>
                <w:sz w:val="22"/>
                <w:szCs w:val="22"/>
              </w:rPr>
              <w:t xml:space="preserve">Stratified 5-Fold CV</w:t>
            </w:r>
          </w:p>
        </w:tc>
        <w:tc>
          <w:tcPr>
            <w:tcW w:type="dxa" w:w="16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1E8449"/>
                <w:sz w:val="22"/>
                <w:szCs w:val="22"/>
              </w:rPr>
              <w:t xml:space="preserve">134.5309</w:t>
            </w:r>
          </w:p>
        </w:tc>
        <w:tc>
          <w:tcPr>
            <w:tcW w:type="dxa" w:w="336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Preserves target distribution per fold</w:t>
            </w:r>
          </w:p>
        </w:tc>
      </w:tr>
      <w:tr>
        <w:tc>
          <w:tcPr>
            <w:tcW w:type="dxa" w:w="4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bCs/>
                <w:color w:val="1F618D"/>
                <w:sz w:val="22"/>
                <w:szCs w:val="22"/>
              </w:rPr>
              <w:t xml:space="preserve">Repeated K-Fold (5×3)</w:t>
            </w:r>
          </w:p>
        </w:tc>
        <w:tc>
          <w:tcPr>
            <w:tcW w:type="dxa" w:w="1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center"/>
            </w:pPr>
            <w:r>
              <w:rPr>
                <w:rFonts w:ascii="Times New Roman" w:cs="Times New Roman" w:eastAsia="Times New Roman" w:hAnsi="Times New Roman"/>
                <w:b/>
                <w:bCs/>
                <w:color w:val="1F618D"/>
                <w:sz w:val="22"/>
                <w:szCs w:val="22"/>
              </w:rPr>
              <w:t xml:space="preserve">141.7138</w:t>
            </w:r>
          </w:p>
        </w:tc>
        <w:tc>
          <w:tcPr>
            <w:tcW w:type="dxa" w:w="33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Averaged over 15 fold-runs; very stable</w:t>
            </w:r>
          </w:p>
        </w:tc>
      </w:tr>
      <w:tr>
        <w:tc>
          <w:tcPr>
            <w:tcW w:type="dxa" w:w="44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bCs/>
                <w:color w:val="1E8449"/>
                <w:sz w:val="22"/>
                <w:szCs w:val="22"/>
              </w:rPr>
              <w:t xml:space="preserve">Repeated Stratified K-Fold (5×3)</w:t>
            </w:r>
          </w:p>
        </w:tc>
        <w:tc>
          <w:tcPr>
            <w:tcW w:type="dxa" w:w="16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1E8449"/>
                <w:sz w:val="22"/>
                <w:szCs w:val="22"/>
              </w:rPr>
              <w:t xml:space="preserve">138.2653</w:t>
            </w:r>
          </w:p>
        </w:tc>
        <w:tc>
          <w:tcPr>
            <w:tcW w:type="dxa" w:w="336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Most stable + distribution-aware — RECOMMENDED</w:t>
            </w:r>
          </w:p>
        </w:tc>
      </w:tr>
      <w:tr>
        <w:tc>
          <w:tcPr>
            <w:tcW w:type="dxa" w:w="4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bCs/>
                <w:color w:val="1E8449"/>
                <w:sz w:val="22"/>
                <w:szCs w:val="22"/>
              </w:rPr>
              <w:t xml:space="preserve">Leave-One-Out (LOOCV)</w:t>
            </w:r>
          </w:p>
        </w:tc>
        <w:tc>
          <w:tcPr>
            <w:tcW w:type="dxa" w:w="1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center"/>
            </w:pPr>
            <w:r>
              <w:rPr>
                <w:rFonts w:ascii="Times New Roman" w:cs="Times New Roman" w:eastAsia="Times New Roman" w:hAnsi="Times New Roman"/>
                <w:b/>
                <w:bCs/>
                <w:color w:val="1E8449"/>
                <w:sz w:val="22"/>
                <w:szCs w:val="22"/>
              </w:rPr>
              <w:t xml:space="preserve">136.0676</w:t>
            </w:r>
          </w:p>
        </w:tc>
        <w:tc>
          <w:tcPr>
            <w:tcW w:type="dxa" w:w="33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Near-unbiased; expensive (100 fits)</w:t>
            </w:r>
          </w:p>
        </w:tc>
      </w:tr>
      <w:tr>
        <w:tc>
          <w:tcPr>
            <w:tcW w:type="dxa" w:w="44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bCs/>
                <w:color w:val="1F618D"/>
                <w:sz w:val="22"/>
                <w:szCs w:val="22"/>
              </w:rPr>
              <w:t xml:space="preserve">Leave-p-Out (p=2, n=15 subset)</w:t>
            </w:r>
          </w:p>
        </w:tc>
        <w:tc>
          <w:tcPr>
            <w:tcW w:type="dxa" w:w="16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1F618D"/>
                <w:sz w:val="22"/>
                <w:szCs w:val="22"/>
              </w:rPr>
              <w:t xml:space="preserve">135.1412</w:t>
            </w:r>
          </w:p>
        </w:tc>
        <w:tc>
          <w:tcPr>
            <w:tcW w:type="dxa" w:w="336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Close to LOOCV trend; only on subset</w:t>
            </w:r>
          </w:p>
        </w:tc>
      </w:tr>
      <w:tr>
        <w:tc>
          <w:tcPr>
            <w:tcW w:type="dxa" w:w="4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bCs/>
                <w:color w:val="1F618D"/>
                <w:sz w:val="22"/>
                <w:szCs w:val="22"/>
              </w:rPr>
              <w:t xml:space="preserve">Shuffle Split (Monte Carlo)</w:t>
            </w:r>
          </w:p>
        </w:tc>
        <w:tc>
          <w:tcPr>
            <w:tcW w:type="dxa" w:w="1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center"/>
            </w:pPr>
            <w:r>
              <w:rPr>
                <w:rFonts w:ascii="Times New Roman" w:cs="Times New Roman" w:eastAsia="Times New Roman" w:hAnsi="Times New Roman"/>
                <w:b/>
                <w:bCs/>
                <w:color w:val="1F618D"/>
                <w:sz w:val="22"/>
                <w:szCs w:val="22"/>
              </w:rPr>
              <w:t xml:space="preserve">125.3920</w:t>
            </w:r>
          </w:p>
        </w:tc>
        <w:tc>
          <w:tcPr>
            <w:tcW w:type="dxa" w:w="33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Flexible but still single-shot per split</w:t>
            </w:r>
          </w:p>
        </w:tc>
      </w:tr>
      <w:tr>
        <w:tc>
          <w:tcPr>
            <w:tcW w:type="dxa" w:w="44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bCs/>
                <w:color w:val="1F618D"/>
                <w:sz w:val="22"/>
                <w:szCs w:val="22"/>
              </w:rPr>
              <w:t xml:space="preserve">Stratified Shuffle Split</w:t>
            </w:r>
          </w:p>
        </w:tc>
        <w:tc>
          <w:tcPr>
            <w:tcW w:type="dxa" w:w="16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1F618D"/>
                <w:sz w:val="22"/>
                <w:szCs w:val="22"/>
              </w:rPr>
              <w:t xml:space="preserve">113.0190</w:t>
            </w:r>
          </w:p>
        </w:tc>
        <w:tc>
          <w:tcPr>
            <w:tcW w:type="dxa" w:w="336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Good balance of speed and reliability</w:t>
            </w:r>
          </w:p>
        </w:tc>
      </w:tr>
    </w:tbl>
    <w:p>
      <w:pPr>
        <w:spacing w:before="200"/>
      </w:pPr>
    </w:p>
    <w:p>
      <w:pPr>
        <w:pStyle w:val="Heading2"/>
        <w:spacing w:after="120" w:before="240"/>
      </w:pPr>
      <w:r>
        <w:rPr>
          <w:rFonts w:ascii="Times New Roman" w:cs="Times New Roman" w:eastAsia="Times New Roman" w:hAnsi="Times New Roman"/>
          <w:b/>
          <w:bCs/>
          <w:color w:val="1F4E5F"/>
          <w:sz w:val="26"/>
          <w:szCs w:val="26"/>
        </w:rPr>
        <w:t xml:space="preserve">4.3 Part C — Group-Based and Bootstrap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360"/>
      </w:tblGrid>
      <w:tr>
        <w:trPr>
          <w:tblHeader/>
        </w:trPr>
        <w:tc>
          <w:tcPr>
            <w:tcW w:type="dxa" w:w="44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Technique</w:t>
            </w:r>
          </w:p>
        </w:tc>
        <w:tc>
          <w:tcPr>
            <w:tcW w:type="dxa" w:w="16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MSE</w:t>
            </w:r>
          </w:p>
        </w:tc>
        <w:tc>
          <w:tcPr>
            <w:tcW w:type="dxa" w:w="336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Observation</w:t>
            </w:r>
          </w:p>
        </w:tc>
      </w:tr>
      <w:tr>
        <w:tc>
          <w:tcPr>
            <w:tcW w:type="dxa" w:w="4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bCs/>
                <w:color w:val="C00000"/>
                <w:sz w:val="22"/>
                <w:szCs w:val="22"/>
              </w:rPr>
              <w:t xml:space="preserve">Group K-Fold</w:t>
            </w:r>
          </w:p>
        </w:tc>
        <w:tc>
          <w:tcPr>
            <w:tcW w:type="dxa" w:w="1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center"/>
            </w:pPr>
            <w:r>
              <w:rPr>
                <w:rFonts w:ascii="Times New Roman" w:cs="Times New Roman" w:eastAsia="Times New Roman" w:hAnsi="Times New Roman"/>
                <w:b/>
                <w:bCs/>
                <w:color w:val="C00000"/>
                <w:sz w:val="22"/>
                <w:szCs w:val="22"/>
              </w:rPr>
              <w:t xml:space="preserve">166.7230</w:t>
            </w:r>
          </w:p>
        </w:tc>
        <w:tc>
          <w:tcPr>
            <w:tcW w:type="dxa" w:w="33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Highest MSE — groups are artificial here</w:t>
            </w:r>
          </w:p>
        </w:tc>
      </w:tr>
      <w:tr>
        <w:tc>
          <w:tcPr>
            <w:tcW w:type="dxa" w:w="44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bCs/>
                <w:color w:val="B9770E"/>
                <w:sz w:val="22"/>
                <w:szCs w:val="22"/>
              </w:rPr>
              <w:t xml:space="preserve">Stratified Group K-Fold</w:t>
            </w:r>
          </w:p>
        </w:tc>
        <w:tc>
          <w:tcPr>
            <w:tcW w:type="dxa" w:w="160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B9770E"/>
                <w:sz w:val="22"/>
                <w:szCs w:val="22"/>
              </w:rPr>
              <w:t xml:space="preserve">139.1240</w:t>
            </w:r>
          </w:p>
        </w:tc>
        <w:tc>
          <w:tcPr>
            <w:tcW w:type="dxa" w:w="3360"/>
            <w:tcBorders>
              <w:top w:val="single" w:color="BFBFBF" w:sz="2"/>
              <w:left w:val="single" w:color="BFBFBF" w:sz="2"/>
              <w:bottom w:val="single" w:color="BFBFBF" w:sz="2"/>
              <w:right w:val="single" w:color="BFBFBF" w:sz="2"/>
            </w:tcBorders>
            <w:shd w:fill="EAF1F4"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Better than plain Group K-Fold</w:t>
            </w:r>
          </w:p>
        </w:tc>
      </w:tr>
      <w:tr>
        <w:tc>
          <w:tcPr>
            <w:tcW w:type="dxa" w:w="4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bCs/>
                <w:color w:val="B9770E"/>
                <w:sz w:val="22"/>
                <w:szCs w:val="22"/>
              </w:rPr>
              <w:t xml:space="preserve">Bootstrap (Out-of-Bag)</w:t>
            </w:r>
          </w:p>
        </w:tc>
        <w:tc>
          <w:tcPr>
            <w:tcW w:type="dxa" w:w="1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center"/>
            </w:pPr>
            <w:r>
              <w:rPr>
                <w:rFonts w:ascii="Times New Roman" w:cs="Times New Roman" w:eastAsia="Times New Roman" w:hAnsi="Times New Roman"/>
                <w:b/>
                <w:bCs/>
                <w:color w:val="B9770E"/>
                <w:sz w:val="22"/>
                <w:szCs w:val="22"/>
              </w:rPr>
              <w:t xml:space="preserve">147.6103</w:t>
            </w:r>
          </w:p>
        </w:tc>
        <w:tc>
          <w:tcPr>
            <w:tcW w:type="dxa" w:w="33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Reasonable, but higher than CV methods</w:t>
            </w:r>
          </w:p>
        </w:tc>
      </w:tr>
    </w:tbl>
    <w:p>
      <w:r>
        <w:br w:type="page"/>
      </w:r>
    </w:p>
    <w:p>
      <w:pPr>
        <w:pStyle w:val="Heading1"/>
        <w:spacing w:after="160" w:before="320"/>
      </w:pPr>
      <w:r>
        <w:rPr>
          <w:rFonts w:ascii="Times New Roman" w:cs="Times New Roman" w:eastAsia="Times New Roman" w:hAnsi="Times New Roman"/>
          <w:b/>
          <w:bCs/>
          <w:color w:val="1F4E5F"/>
          <w:sz w:val="30"/>
          <w:szCs w:val="30"/>
        </w:rPr>
        <w:t xml:space="preserve">5. Analysis</w:t>
      </w:r>
    </w:p>
    <w:p>
      <w:pPr>
        <w:pStyle w:val="Heading2"/>
        <w:spacing w:after="120" w:before="240"/>
      </w:pPr>
      <w:r>
        <w:rPr>
          <w:rFonts w:ascii="Times New Roman" w:cs="Times New Roman" w:eastAsia="Times New Roman" w:hAnsi="Times New Roman"/>
          <w:b/>
          <w:bCs/>
          <w:color w:val="C00000"/>
          <w:sz w:val="26"/>
          <w:szCs w:val="26"/>
        </w:rPr>
        <w:t xml:space="preserve">5.1 Hold-out methods are unstable on this dataset</w:t>
      </w:r>
    </w:p>
    <w:p>
      <w:pPr>
        <w:spacing w:after="160" w:line="360" w:lineRule="auto"/>
        <w:jc w:val="both"/>
      </w:pPr>
      <w:r>
        <w:rPr>
          <w:rFonts w:ascii="Times New Roman" w:cs="Times New Roman" w:eastAsia="Times New Roman" w:hAnsi="Times New Roman"/>
          <w:sz w:val="24"/>
          <w:szCs w:val="24"/>
        </w:rPr>
        <w:t xml:space="preserve">The hold-out results swing widely: the single shuffled split reports the lowest MSE of the entire report (92.35), while the three-way hold-out test split reports one of the highest (144.11) — a 56-point spread despite using the exact same dataset and model. This is the expected signature of a small dataset: with only 20 rows in a typical test fold, a handful of unusual points can swing the score dramatically. The fact that validation and test MSE disagree by 10-22 points within the same three-way split (Sections 4.1, rows 2-3 and 5-6) confirms that any single hold-out number here is more a reflection of which rows landed in the test set than of true model quality.</w:t>
      </w:r>
    </w:p>
    <w:p>
      <w:pPr>
        <w:pStyle w:val="Heading2"/>
        <w:spacing w:after="120" w:before="240"/>
      </w:pPr>
      <w:r>
        <w:rPr>
          <w:rFonts w:ascii="Times New Roman" w:cs="Times New Roman" w:eastAsia="Times New Roman" w:hAnsi="Times New Roman"/>
          <w:b/>
          <w:bCs/>
          <w:color w:val="1E8449"/>
          <w:sz w:val="26"/>
          <w:szCs w:val="26"/>
        </w:rPr>
        <w:t xml:space="preserve">5.2 Cross-validation methods converge to a more consistent range</w:t>
      </w:r>
    </w:p>
    <w:p>
      <w:pPr>
        <w:spacing w:after="160" w:line="360" w:lineRule="auto"/>
        <w:jc w:val="both"/>
      </w:pPr>
      <w:r>
        <w:rPr>
          <w:rFonts w:ascii="Times New Roman" w:cs="Times New Roman" w:eastAsia="Times New Roman" w:hAnsi="Times New Roman"/>
          <w:sz w:val="24"/>
          <w:szCs w:val="24"/>
        </w:rPr>
        <w:t xml:space="preserve">Once the evaluation is averaged across multiple folds or repetitions, scores cluster much more tightly — between 113 and 142 — compared with the 92-to-144 swing seen in hold-out. Repeated K-Fold and Repeated Stratified K-Fold, which each average 15 individual fold scores, sit close together (141.71 and 138.27), and LOOCV — which uses every possible single-row test set (100 fits) — lands right in the middle of that range (136.07). This convergence is the strongest evidence in the report that the 'true' generalization error of this AdaBoost model on this data is roughly 130-140 MSE, and that the very low hold-out score (92.35) was optimistic due to a favorable split rather than a better evaluation method.</w:t>
      </w:r>
    </w:p>
    <w:p>
      <w:pPr>
        <w:pStyle w:val="Heading2"/>
        <w:spacing w:after="120" w:before="240"/>
      </w:pPr>
      <w:r>
        <w:rPr>
          <w:rFonts w:ascii="Times New Roman" w:cs="Times New Roman" w:eastAsia="Times New Roman" w:hAnsi="Times New Roman"/>
          <w:b/>
          <w:bCs/>
          <w:color w:val="1F618D"/>
          <w:sz w:val="26"/>
          <w:szCs w:val="26"/>
        </w:rPr>
        <w:t xml:space="preserve">5.3 Stratification helps, but its effect is modest here</w:t>
      </w:r>
    </w:p>
    <w:p>
      <w:pPr>
        <w:spacing w:after="160" w:line="360" w:lineRule="auto"/>
        <w:jc w:val="both"/>
      </w:pPr>
      <w:r>
        <w:rPr>
          <w:rFonts w:ascii="Times New Roman" w:cs="Times New Roman" w:eastAsia="Times New Roman" w:hAnsi="Times New Roman"/>
          <w:sz w:val="24"/>
          <w:szCs w:val="24"/>
        </w:rPr>
        <w:t xml:space="preserve">Stratified variants score somewhat higher than their non-stratified counterparts in most pairs (Stratified 5-Fold 134.53 vs. Standard 5-Fold 124.01; Stratified Shuffle Split 113.02 vs. Shuffle Split 125.39 is the one exception). Because the target is continuous rather than categorical, stratification here only approximates balance via quantile bins, so its benefit is smaller than it would be for a genuinely imbalanced classification target. It remains good practice, but should not be treated as a dramatically more accurate measurement on this particular dataset.</w:t>
      </w:r>
    </w:p>
    <w:p>
      <w:pPr>
        <w:pStyle w:val="Heading2"/>
        <w:spacing w:after="120" w:before="240"/>
      </w:pPr>
      <w:r>
        <w:rPr>
          <w:rFonts w:ascii="Times New Roman" w:cs="Times New Roman" w:eastAsia="Times New Roman" w:hAnsi="Times New Roman"/>
          <w:b/>
          <w:bCs/>
          <w:color w:val="C00000"/>
          <w:sz w:val="26"/>
          <w:szCs w:val="26"/>
        </w:rPr>
        <w:t xml:space="preserve">5.4 Group K-Fold is not meaningful for this dataset</w:t>
      </w:r>
    </w:p>
    <w:p>
      <w:pPr>
        <w:spacing w:after="160" w:line="360" w:lineRule="auto"/>
        <w:jc w:val="both"/>
      </w:pPr>
      <w:r>
        <w:rPr>
          <w:rFonts w:ascii="Times New Roman" w:cs="Times New Roman" w:eastAsia="Times New Roman" w:hAnsi="Times New Roman"/>
          <w:sz w:val="24"/>
          <w:szCs w:val="24"/>
        </w:rPr>
        <w:t xml:space="preserve">Group K-Fold produced the highest MSE of every technique tested (166.72). This is expected and not a sign that the model performs poorly — the 'groups' are synthetic blocks of 10 consecutive rows with no real-world meaning, so forcing entire blocks out of the training set simply removes useful, representative information without protecting against any genuine data-leakage risk. Group-based splitting should only be used when the data truly contains correlated clusters (e.g., multiple readings from the same patient or sensor); applying it here mainly demonstrates the technique rather than producing a reliable estimate.</w:t>
      </w:r>
    </w:p>
    <w:p>
      <w:pPr>
        <w:pStyle w:val="Heading2"/>
        <w:spacing w:after="120" w:before="240"/>
      </w:pPr>
      <w:r>
        <w:rPr>
          <w:rFonts w:ascii="Times New Roman" w:cs="Times New Roman" w:eastAsia="Times New Roman" w:hAnsi="Times New Roman"/>
          <w:b/>
          <w:bCs/>
          <w:color w:val="B9770E"/>
          <w:sz w:val="26"/>
          <w:szCs w:val="26"/>
        </w:rPr>
        <w:t xml:space="preserve">5.5 Bootstrap OOB sits between hold-out and cross-validation</w:t>
      </w:r>
    </w:p>
    <w:p>
      <w:pPr>
        <w:spacing w:after="160" w:line="360" w:lineRule="auto"/>
        <w:jc w:val="both"/>
      </w:pPr>
      <w:r>
        <w:rPr>
          <w:rFonts w:ascii="Times New Roman" w:cs="Times New Roman" w:eastAsia="Times New Roman" w:hAnsi="Times New Roman"/>
          <w:sz w:val="24"/>
          <w:szCs w:val="24"/>
        </w:rPr>
        <w:t xml:space="preserve">The Bootstrap Out-of-Bag estimate (147.61) is close to the cross-validation range but slightly higher, which is typical — roughly 36.8% of rows are excluded from each bootstrap training sample on average, leaving a smaller and slightly biased OOB test set, especially noticeable on a 100-row dataset.</w:t>
      </w:r>
    </w:p>
    <w:p>
      <w:pPr>
        <w:pStyle w:val="Heading1"/>
        <w:spacing w:after="160" w:before="320"/>
      </w:pPr>
      <w:r>
        <w:rPr>
          <w:rFonts w:ascii="Times New Roman" w:cs="Times New Roman" w:eastAsia="Times New Roman" w:hAnsi="Times New Roman"/>
          <w:b/>
          <w:bCs/>
          <w:color w:val="1E8449"/>
          <w:sz w:val="30"/>
          <w:szCs w:val="30"/>
        </w:rPr>
        <w:t xml:space="preserve">6. Recommendation for This Dataset</w:t>
      </w:r>
    </w:p>
    <w:p>
      <w:pPr>
        <w:spacing w:after="160" w:line="360" w:lineRule="auto"/>
        <w:jc w:val="both"/>
      </w:pPr>
      <w:r>
        <w:rPr>
          <w:rFonts w:ascii="Times New Roman" w:cs="Times New Roman" w:eastAsia="Times New Roman" w:hAnsi="Times New Roman"/>
          <w:sz w:val="24"/>
          <w:szCs w:val="24"/>
        </w:rPr>
        <w:t xml:space="preserve">Given the small sample size (n = 100) and a continuous target with no genuine grouping structure, the recommended evaluation strategy is:</w:t>
      </w:r>
    </w:p>
    <w:p>
      <w:pPr>
        <w:spacing w:after="160" w:before="80" w:line="360" w:lineRule="auto"/>
        <w:jc w:val="both"/>
      </w:pPr>
      <w:r>
        <w:rPr>
          <w:rFonts w:ascii="Times New Roman" w:cs="Times New Roman" w:eastAsia="Times New Roman" w:hAnsi="Times New Roman"/>
          <w:b/>
          <w:bCs/>
          <w:color w:val="1E8449"/>
          <w:sz w:val="24"/>
          <w:szCs w:val="24"/>
        </w:rPr>
        <w:t xml:space="preserve">Repeated Stratified K-Fold Cross-Validation (5 folds × 3 repeats)</w:t>
      </w:r>
      <w:r>
        <w:rPr>
          <w:rFonts w:ascii="Times New Roman" w:cs="Times New Roman" w:eastAsia="Times New Roman" w:hAnsi="Times New Roman"/>
          <w:i/>
          <w:iCs/>
          <w:sz w:val="24"/>
          <w:szCs w:val="24"/>
        </w:rPr>
        <w:t xml:space="preserve"> — Mean MSE 138.2653</w:t>
      </w:r>
    </w:p>
    <w:p>
      <w:pPr>
        <w:spacing w:after="160" w:line="360" w:lineRule="auto"/>
        <w:jc w:val="both"/>
      </w:pPr>
      <w:r>
        <w:rPr>
          <w:rFonts w:ascii="Times New Roman" w:cs="Times New Roman" w:eastAsia="Times New Roman" w:hAnsi="Times New Roman"/>
          <w:sz w:val="24"/>
          <w:szCs w:val="24"/>
        </w:rPr>
        <w:t xml:space="preserve">Reasoning:</w:t>
      </w:r>
    </w:p>
    <w:p>
      <w:pPr>
        <w:pStyle w:val="ListParagraph"/>
        <w:numPr>
          <w:ilvl w:val="0"/>
          <w:numId w:val="2"/>
        </w:numPr>
        <w:spacing w:after="100" w:line="360" w:lineRule="auto"/>
        <w:jc w:val="both"/>
      </w:pPr>
      <w:r>
        <w:rPr>
          <w:rFonts w:ascii="Times New Roman" w:cs="Times New Roman" w:eastAsia="Times New Roman" w:hAnsi="Times New Roman"/>
          <w:color w:val="1E8449"/>
          <w:sz w:val="24"/>
          <w:szCs w:val="24"/>
        </w:rPr>
        <w:t xml:space="preserve">Stability: averaging 15 fold-scores smooths out the high split-to-split variance seen in every hold-out method, giving a far more trustworthy estimate than any single train/test split.</w:t>
      </w:r>
    </w:p>
    <w:p>
      <w:pPr>
        <w:pStyle w:val="ListParagraph"/>
        <w:numPr>
          <w:ilvl w:val="0"/>
          <w:numId w:val="2"/>
        </w:numPr>
        <w:spacing w:after="100" w:line="360" w:lineRule="auto"/>
        <w:jc w:val="both"/>
      </w:pPr>
      <w:r>
        <w:rPr>
          <w:rFonts w:ascii="Times New Roman" w:cs="Times New Roman" w:eastAsia="Times New Roman" w:hAnsi="Times New Roman"/>
          <w:color w:val="1E8449"/>
          <w:sz w:val="24"/>
          <w:szCs w:val="24"/>
        </w:rPr>
        <w:t xml:space="preserve">Full data utilization: with only 100 rows, every observation should contribute to both training and validation at some point — single hold-out wastes 20-40 rows on a one-time test set.</w:t>
      </w:r>
    </w:p>
    <w:p>
      <w:pPr>
        <w:pStyle w:val="ListParagraph"/>
        <w:numPr>
          <w:ilvl w:val="0"/>
          <w:numId w:val="2"/>
        </w:numPr>
        <w:spacing w:after="100" w:line="360" w:lineRule="auto"/>
        <w:jc w:val="both"/>
      </w:pPr>
      <w:r>
        <w:rPr>
          <w:rFonts w:ascii="Times New Roman" w:cs="Times New Roman" w:eastAsia="Times New Roman" w:hAnsi="Times New Roman"/>
          <w:color w:val="1E8449"/>
          <w:sz w:val="24"/>
          <w:szCs w:val="24"/>
        </w:rPr>
        <w:t xml:space="preserve">Distribution awareness: stratifying on quantile bins of the target keeps each fold's value range representative, which plain K-Fold does not guarantee on a small dataset.</w:t>
      </w:r>
    </w:p>
    <w:p>
      <w:pPr>
        <w:pStyle w:val="ListParagraph"/>
        <w:numPr>
          <w:ilvl w:val="0"/>
          <w:numId w:val="2"/>
        </w:numPr>
        <w:spacing w:after="100" w:line="360" w:lineRule="auto"/>
        <w:jc w:val="both"/>
      </w:pPr>
      <w:r>
        <w:rPr>
          <w:rFonts w:ascii="Times New Roman" w:cs="Times New Roman" w:eastAsia="Times New Roman" w:hAnsi="Times New Roman"/>
          <w:color w:val="1E8449"/>
          <w:sz w:val="24"/>
          <w:szCs w:val="24"/>
        </w:rPr>
        <w:t xml:space="preserve">Practical cost: at 15 total model fits it is far cheaper than LOOCV (100 fits) while landing on essentially the same estimate (138.27 vs. 136.07), making it the better cost-to-reliability trade-off.</w:t>
      </w:r>
    </w:p>
    <w:p>
      <w:pPr>
        <w:spacing w:after="160" w:line="360" w:lineRule="auto"/>
        <w:jc w:val="both"/>
      </w:pPr>
      <w:r>
        <w:rPr>
          <w:rFonts w:ascii="Times New Roman" w:cs="Times New Roman" w:eastAsia="Times New Roman" w:hAnsi="Times New Roman"/>
          <w:sz w:val="24"/>
          <w:szCs w:val="24"/>
        </w:rPr>
        <w:t xml:space="preserve">If computation time is a hard constraint, a single Stratified 5-Fold CV (134.53) is an acceptable lighter-weight alternative. If an unbiased reference point is needed for final reporting (e.g., for a thesis or paper), LOOCV (136.07) can be quoted alongside the Repeated Stratified K-Fold result, since the two agree closely and reinforce each other. Plain hold-out splits and Group K-Fold are not recommended for this dataset for the reasons given in Sections 5.1 and 5.4.</w:t>
      </w:r>
    </w:p>
    <w:p>
      <w:pPr>
        <w:pStyle w:val="Heading1"/>
        <w:spacing w:after="160" w:before="320"/>
      </w:pPr>
      <w:r>
        <w:rPr>
          <w:rFonts w:ascii="Times New Roman" w:cs="Times New Roman" w:eastAsia="Times New Roman" w:hAnsi="Times New Roman"/>
          <w:b/>
          <w:bCs/>
          <w:color w:val="1F4E5F"/>
          <w:sz w:val="30"/>
          <w:szCs w:val="30"/>
        </w:rPr>
        <w:t xml:space="preserve">7. Conclusion</w:t>
      </w:r>
    </w:p>
    <w:p>
      <w:pPr>
        <w:spacing w:after="160" w:line="360" w:lineRule="auto"/>
        <w:jc w:val="both"/>
      </w:pPr>
      <w:r>
        <w:rPr>
          <w:rFonts w:ascii="Times New Roman" w:cs="Times New Roman" w:eastAsia="Times New Roman" w:hAnsi="Times New Roman"/>
          <w:sz w:val="24"/>
          <w:szCs w:val="24"/>
        </w:rPr>
        <w:t xml:space="preserve">Across all seventeen techniques, the dataset's true generalization error for this AdaBoost Regressor configuration is best estimated at roughly 135-140 MSE — the range where every multi-fold, multi-repeat method converges. Single hold-out splits should be treated with caution on datasets this small, as they can both overstate (92.35) and understate (144.11) performance depending on luck of the draw. Repeated Stratified K-Fold offers the best balance of statistical reliability, data efficiency, and computational cost for evaluating this model on this dataset going forward.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4E5F"/>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4E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2026-06-21T08:21:45.961Z</dcterms:created>
  <dcterms:modified xsi:type="dcterms:W3CDTF">2026-06-21T08:21:45.962Z</dcterms:modified>
</cp:coreProperties>
</file>

<file path=docProps/custom.xml><?xml version="1.0" encoding="utf-8"?>
<Properties xmlns="http://schemas.openxmlformats.org/officeDocument/2006/custom-properties" xmlns:vt="http://schemas.openxmlformats.org/officeDocument/2006/docPropsVTypes"/>
</file>