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Times New Roman" w:cs="Times New Roman" w:eastAsia="Times New Roman" w:hAnsi="Times New Roman"/>
          <w:b/>
          <w:bCs/>
          <w:sz w:val="28"/>
          <w:szCs w:val="28"/>
        </w:rPr>
        <w:t xml:space="preserve">Self-Supervised Learning for Chest X-Ray Classification:</w:t>
      </w:r>
    </w:p>
    <w:p>
      <w:pPr>
        <w:spacing w:after="60" w:before="0" w:line="360"/>
        <w:jc w:val="center"/>
      </w:pPr>
      <w:r>
        <w:rPr>
          <w:rFonts w:ascii="Times New Roman" w:cs="Times New Roman" w:eastAsia="Times New Roman" w:hAnsi="Times New Roman"/>
          <w:b/>
          <w:bCs/>
          <w:sz w:val="28"/>
          <w:szCs w:val="28"/>
        </w:rPr>
        <w:t xml:space="preserve">Encoder Architectures, Multi-Disease Detection, and Low-Label Learning</w:t>
      </w:r>
    </w:p>
    <w:p>
      <w:pPr>
        <w:spacing w:after="60" w:before="0" w:line="360"/>
        <w:jc w:val="center"/>
      </w:pPr>
      <w:r>
        <w:rPr>
          <w:rFonts w:ascii="Times New Roman" w:cs="Times New Roman" w:eastAsia="Times New Roman" w:hAnsi="Times New Roman"/>
          <w:i/>
          <w:iCs/>
          <w:sz w:val="24"/>
          <w:szCs w:val="24"/>
        </w:rPr>
        <w:t xml:space="preserve">Thesis Proposal — East West University | Department of CSE</w:t>
      </w:r>
    </w:p>
    <w:p>
      <w:pPr>
        <w:spacing w:after="100" w:before="0" w:line="360"/>
      </w:pPr>
    </w:p>
    <w:p>
      <w:pPr>
        <w:pStyle w:val="Heading1"/>
        <w:spacing w:after="100" w:before="200" w:line="360"/>
      </w:pPr>
      <w:r>
        <w:rPr>
          <w:rFonts w:ascii="Times New Roman" w:cs="Times New Roman" w:eastAsia="Times New Roman" w:hAnsi="Times New Roman"/>
          <w:b/>
          <w:bCs/>
          <w:sz w:val="26"/>
          <w:szCs w:val="26"/>
          <w:u w:val="single"/>
        </w:rPr>
        <w:t xml:space="preserve">Abstract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Medical image annotation is expensive and time-consuming, requiring expert radiologists to label chest X-rays for supervised deep learning systems. Self-Supervised Learning (SSL) offers a promising solution by enabling models to learn meaningful representations from large pools of unlabeled data prior to fine-tuning on small labeled sets. This thesis proposes a comprehensive investigation into the effectiveness of SSL — specifically SimCLR, BYOL, and DINO — across four encoder architectures: ResNet-50, DenseNet-121, Vision Transformer (ViT), and Swin Transformer. The study evaluates multi-disease classification across 14 thoracic conditions using the ChestX-ray14 dataset and systematically analyzes labeling efficiency through experiments at label ratios of 5%, 10%, 20%, 50%, and 100%. The central hypothesis is that an SSL-pretrained model fine-tuned on as little as 10% of labeled data can achieve performance comparable to a fully supervised model trained on 100% labeled data. Results are expected to provide empirical benchmarks for architecture selection and evidence for significant reductions in annotation requirements for clinical AI deployment.</w:t>
      </w:r>
    </w:p>
    <w:p>
      <w:pPr>
        <w:pStyle w:val="Heading1"/>
        <w:spacing w:after="100" w:before="200" w:line="360"/>
      </w:pPr>
      <w:r>
        <w:rPr>
          <w:rFonts w:ascii="Times New Roman" w:cs="Times New Roman" w:eastAsia="Times New Roman" w:hAnsi="Times New Roman"/>
          <w:b/>
          <w:bCs/>
          <w:sz w:val="26"/>
          <w:szCs w:val="26"/>
          <w:u w:val="single"/>
        </w:rPr>
        <w:t xml:space="preserve">1. Introduction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Chest radiography is one of the most frequently performed diagnostic imaging procedures globally. Automated classification of thoracic pathologies such as pneumonia, atelectasis, cardiomegaly, and pleural effusion has the potential to reduce radiologist workload and accelerate patient care [1]. Supervised deep learning approaches have shown strong results in this domain [2]; however, they depend on large quantities of expert-annotated data, which is both scarce and costly to produce in clinical environments.</w:t>
      </w:r>
    </w:p>
    <w:p>
      <w:pPr>
        <w:spacing w:after="100" w:before="0" w:line="360" w:lineRule="auto"/>
        <w:jc w:val="both"/>
      </w:pPr>
      <w:r>
        <w:rPr>
          <w:rFonts w:ascii="Times New Roman" w:cs="Times New Roman" w:eastAsia="Times New Roman" w:hAnsi="Times New Roman"/>
          <w:b w:val="false"/>
          <w:bCs w:val="false"/>
          <w:i w:val="false"/>
          <w:iCs w:val="false"/>
          <w:sz w:val="24"/>
          <w:szCs w:val="24"/>
        </w:rPr>
        <w:t xml:space="preserve">Self-Supervised Learning addresses this bottleneck by allowing models to extract visual features from unlabeled images using proxy tasks — such as contrastive learning or self-distillation — before supervised fine-tuning on a smaller labeled set [3]. Recent SSL methods including SimCLR [3], BYOL [4], and DINO [5] have demonstrated near-supervised performance on natural image benchmarks, and early evidence suggests their utility in medical imaging [6]. Concurrently, Vision Transformers (ViT) [7] and hierarchical models such as Swin Transformer [8] have introduced attention-based architectures that may be especially well-suited for learning global spatial representations in X-ray images.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Despite these advances, a systematic comparison of SSL methods across multiple encoder architectures and disease categories for chest X-ray analysis remains largely absent from the literature. Furthermore, the minimum labeled data requirement under SSL pretraining has not been rigorously quantified in this context. This thesis fills these gaps through three structured research directions: (1) comparative encoder evaluation under SSL pretraining, (2) per-disease classification analysis, and (3) low-label learning experiments. The following research questions guide the work: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RQ1: Which encoder architecture benefits most from SSL pretraining on chest X-ray data?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RQ2: Are Transformer-based architectures superior to CNNs after SSL pretraining in multi-disease classification?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RQ3: Which thoracic diseases benefit most from SSL pretraining versus supervised baselines?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RQ4: How much labeled data can SSL pretraining effectively replace while maintaining clinical performance?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RQ5: Can SSL + 10% labels match Supervised + 100% labels in classification performance?</w:t>
      </w:r>
    </w:p>
    <w:p>
      <w:pPr>
        <w:spacing w:after="60" w:before="0" w:line="360"/>
      </w:pPr>
    </w:p>
    <w:p>
      <w:pPr>
        <w:pStyle w:val="Heading1"/>
        <w:spacing w:after="100" w:before="200" w:line="360"/>
      </w:pPr>
      <w:r>
        <w:rPr>
          <w:rFonts w:ascii="Times New Roman" w:cs="Times New Roman" w:eastAsia="Times New Roman" w:hAnsi="Times New Roman"/>
          <w:b/>
          <w:bCs/>
          <w:sz w:val="26"/>
          <w:szCs w:val="26"/>
          <w:u w:val="single"/>
        </w:rPr>
        <w:t xml:space="preserve">2. Methodology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experimental design is structured as a six-phase pipeline:</w:t>
      </w:r>
    </w:p>
    <w:p>
      <w:pPr>
        <w:spacing w:after="60" w:before="0" w:line="360"/>
      </w:pPr>
    </w:p>
    <w:p>
      <w:pPr>
        <w:spacing w:after="60" w:before="0" w:line="360" w:lineRule="auto"/>
        <w:jc w:val="both"/>
      </w:pPr>
      <w:r>
        <w:rPr>
          <w:rFonts w:ascii="Times New Roman" w:cs="Times New Roman" w:eastAsia="Times New Roman" w:hAnsi="Times New Roman"/>
          <w:b/>
          <w:bCs/>
          <w:i w:val="false"/>
          <w:iCs w:val="false"/>
          <w:sz w:val="24"/>
          <w:szCs w:val="24"/>
        </w:rPr>
        <w:t xml:space="preserve">Phase 1 — Dataset Preparation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primary dataset is ChestX-ray14 [9], comprising 112,120 frontal-view X-rays labeled for 14 disease classes. Supplemental unlabeled data from CheXpert [10] (224,316 images) and MIMIC-CXR [11] (370,000+ images) will expand the pretraining corpus. Images will be resized to 224×224 pixels, normalized, and augmented using random cropping, horizontal flipping, color jitter, and Gaussian blur — standard augmentations for SSL contrastive methods.</w:t>
      </w:r>
    </w:p>
    <w:p>
      <w:pPr>
        <w:spacing w:after="60" w:before="0" w:line="360" w:lineRule="auto"/>
        <w:jc w:val="both"/>
      </w:pPr>
      <w:r>
        <w:rPr>
          <w:rFonts w:ascii="Times New Roman" w:cs="Times New Roman" w:eastAsia="Times New Roman" w:hAnsi="Times New Roman"/>
          <w:b/>
          <w:bCs/>
          <w:i w:val="false"/>
          <w:iCs w:val="false"/>
          <w:sz w:val="24"/>
          <w:szCs w:val="24"/>
        </w:rPr>
        <w:t xml:space="preserve">Phase 2 — SSL Pretraining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Four encoder architectures — ResNet-50 [12], DenseNet-121 [13], ViT-Base [7], and Swin-Tiny [8] — will each be pretrained using three SSL methods: SimCLR (contrastive learning with data augmentation pairs), BYOL (self-predictive learning without negative pairs), and DINO (self-distillation with momentum encoder). This yields 12 pretrained encoder-method combinations. Pretraining will run for 200 epochs using the Adam optimizer with cosine annealing.</w:t>
      </w:r>
    </w:p>
    <w:p>
      <w:pPr>
        <w:spacing w:after="60" w:before="0" w:line="360" w:lineRule="auto"/>
        <w:jc w:val="both"/>
      </w:pPr>
      <w:r>
        <w:rPr>
          <w:rFonts w:ascii="Times New Roman" w:cs="Times New Roman" w:eastAsia="Times New Roman" w:hAnsi="Times New Roman"/>
          <w:b/>
          <w:bCs/>
          <w:i w:val="false"/>
          <w:iCs w:val="false"/>
          <w:sz w:val="24"/>
          <w:szCs w:val="24"/>
        </w:rPr>
        <w:t xml:space="preserve">Phase 3 — Supervised Fine-Tuning and Architecture Evaluation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Each SSL-pretrained encoder will be fine-tuned on the fully labeled ChestX-ray14 training split by appending a multi-label classification head. Supervised baselines (same architectures trained from scratch) will be trained under identical conditions. Evaluation metrics include AUC-ROC (primary), F1-score, accuracy, precision, and recall, reported per disease class and as macro-averages.</w:t>
      </w:r>
    </w:p>
    <w:p>
      <w:pPr>
        <w:spacing w:after="60" w:before="0" w:line="360" w:lineRule="auto"/>
        <w:jc w:val="both"/>
      </w:pPr>
      <w:r>
        <w:rPr>
          <w:rFonts w:ascii="Times New Roman" w:cs="Times New Roman" w:eastAsia="Times New Roman" w:hAnsi="Times New Roman"/>
          <w:b/>
          <w:bCs/>
          <w:i w:val="false"/>
          <w:iCs w:val="false"/>
          <w:sz w:val="24"/>
          <w:szCs w:val="24"/>
        </w:rPr>
        <w:t xml:space="preserve">Phase 4 — Multi-Disease Classification Analysis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Per-class AUC-ROC scores will be compared between SSL-pretrained and supervised models across all 14 ChestX-ray14 disease categories. Statistical significance will be assessed using DeLong's test for AUC comparison. This phase answers RQ2 and RQ3, identifying both architecture-level and disease-level benefits of SSL pretraining.</w:t>
      </w:r>
    </w:p>
    <w:p>
      <w:pPr>
        <w:spacing w:after="60" w:before="0" w:line="360" w:lineRule="auto"/>
        <w:jc w:val="both"/>
      </w:pPr>
      <w:r>
        <w:rPr>
          <w:rFonts w:ascii="Times New Roman" w:cs="Times New Roman" w:eastAsia="Times New Roman" w:hAnsi="Times New Roman"/>
          <w:b/>
          <w:bCs/>
          <w:i w:val="false"/>
          <w:iCs w:val="false"/>
          <w:sz w:val="24"/>
          <w:szCs w:val="24"/>
        </w:rPr>
        <w:t xml:space="preserve">Phase 5 — Low-Label Experiments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For each encoder architecture, fine-tuning will be repeated at five label ratios: 5%, 10%, 20%, 50%, and 100% of the labeled training set. At each ratio, SSL-pretrained models will be compared against supervised baselines trained from scratch on the same reduced labeled set. The primary comparison tests whether SSL + 10% labels achieves AUC-ROC within 2% of Supervised + 100% labels — a threshold considered clinically acceptable. Each experiment will be repeated with three random seeds to ensure statistical reliability.</w:t>
      </w:r>
    </w:p>
    <w:p>
      <w:pPr>
        <w:spacing w:after="60" w:before="0" w:line="360" w:lineRule="auto"/>
        <w:jc w:val="both"/>
      </w:pPr>
      <w:r>
        <w:rPr>
          <w:rFonts w:ascii="Times New Roman" w:cs="Times New Roman" w:eastAsia="Times New Roman" w:hAnsi="Times New Roman"/>
          <w:b/>
          <w:bCs/>
          <w:i w:val="false"/>
          <w:iCs w:val="false"/>
          <w:sz w:val="24"/>
          <w:szCs w:val="24"/>
        </w:rPr>
        <w:t xml:space="preserve">Phase 6 — Analysis and Reporting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Results from all phases will be synthesized into a unified performance matrix. Ablation studies will isolate the contribution of each SSL method and architecture type. Final analysis will address all five research questions and provide actionable recommendations for dataset selection, model architecture, and minimum annotation requirements for clinical deployment.</w:t>
      </w:r>
    </w:p>
    <w:p>
      <w:pPr>
        <w:pStyle w:val="Heading1"/>
        <w:spacing w:after="100" w:before="200" w:line="360"/>
      </w:pPr>
      <w:r>
        <w:rPr>
          <w:rFonts w:ascii="Times New Roman" w:cs="Times New Roman" w:eastAsia="Times New Roman" w:hAnsi="Times New Roman"/>
          <w:b/>
          <w:bCs/>
          <w:sz w:val="26"/>
          <w:szCs w:val="26"/>
          <w:u w:val="single"/>
        </w:rPr>
        <w:t xml:space="preserve">References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Wang, X., Peng, Y., Lu, L., Lu, Z., Bagheri, M., &amp; Summers, R. M. (2017). ChestX-ray8: Hospital-scale chest X-ray database and benchmarks. Proceedings of CVPR, pp. 2097–2106.</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Rajpurkar, P., Irvin, J., Ball, R. L., et al. (2017). CheXNet: Radiologist-level pneumonia detection on chest X-rays with deep learning. arXiv:1711.05225.</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Chen, T., Kornblith, S., Norouzi, M., &amp; Hinton, G. (2020). A simple framework for contrastive learning of visual representations. Proceedings of ICML, pp. 1597–1607.</w:t>
      </w:r>
    </w:p>
    <w:p>
      <w:pPr>
        <w:pStyle w:val="ListParagraph"/>
        <w:numPr>
          <w:ilvl w:val="0"/>
          <w:numId w:val="3"/>
        </w:numPr>
        <w:spacing w:after="80" w:line="360"/>
        <w:jc w:val="both"/>
      </w:pPr>
      <w:r>
        <w:rPr>
          <w:rFonts w:ascii="Times New Roman" w:cs="Times New Roman" w:eastAsia="Times New Roman" w:hAnsi="Times New Roman"/>
          <w:sz w:val="24"/>
          <w:szCs w:val="24"/>
        </w:rPr>
        <w:t xml:space="preserve">Grill, J. B., Strub, F., Altché, F., et al. (2020). Bootstrap your own latent: A new approach to self-supervised learning. Advances in NeurIPS, Vol. 33, pp. 21271–21284.</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Caron, M., Touvron, H., Misra, I., et al. (2021). Emerging properties in self-supervised vision transformers. Proceedings of ICCV, pp. 9630–9640.</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Sowrirajan, H., Yang, J., Ng, A. Y., &amp; Rajpurkar, P. (2021). MoCo-CXR: MoCo pretraining improves representation and transferability of chest X-ray models. arXiv:2010.05352.</w:t>
      </w:r>
    </w:p>
    <w:p>
      <w:pPr>
        <w:pStyle w:val="ListParagraph"/>
        <w:numPr>
          <w:ilvl w:val="0"/>
          <w:numId w:val="3"/>
        </w:numPr>
        <w:spacing w:after="80" w:line="360"/>
        <w:jc w:val="both"/>
      </w:pPr>
      <w:r>
        <w:rPr>
          <w:rFonts w:ascii="Times New Roman" w:cs="Times New Roman" w:eastAsia="Times New Roman" w:hAnsi="Times New Roman"/>
          <w:sz w:val="24"/>
          <w:szCs w:val="24"/>
        </w:rPr>
        <w:t xml:space="preserve">Dosovitskiy, A., Beyer, L., Kolesnikov, A., et al. (2021). An image is worth 16×16 words: Transformers for image recognition at scale. Proceedings of ICLR 2021.</w:t>
      </w:r>
    </w:p>
    <w:p>
      <w:pPr>
        <w:pStyle w:val="ListParagraph"/>
        <w:numPr>
          <w:ilvl w:val="0"/>
          <w:numId w:val="3"/>
        </w:numPr>
        <w:spacing w:after="80" w:line="360"/>
        <w:jc w:val="both"/>
      </w:pPr>
      <w:r>
        <w:rPr>
          <w:rFonts w:ascii="Times New Roman" w:cs="Times New Roman" w:eastAsia="Times New Roman" w:hAnsi="Times New Roman"/>
          <w:sz w:val="24"/>
          <w:szCs w:val="24"/>
        </w:rPr>
        <w:t xml:space="preserve">Liu, Z., Lin, Y., Cao, Y., et al. (2021). Swin Transformer: Hierarchical vision transformer using shifted windows. Proceedings of ICCV, pp. 10012–10022.</w:t>
      </w:r>
    </w:p>
    <w:p>
      <w:pPr>
        <w:pStyle w:val="ListParagraph"/>
        <w:numPr>
          <w:ilvl w:val="0"/>
          <w:numId w:val="3"/>
        </w:numPr>
        <w:spacing w:after="80" w:line="360"/>
        <w:jc w:val="both"/>
      </w:pPr>
      <w:r>
        <w:rPr>
          <w:rFonts w:ascii="Times New Roman" w:cs="Times New Roman" w:eastAsia="Times New Roman" w:hAnsi="Times New Roman"/>
          <w:sz w:val="24"/>
          <w:szCs w:val="24"/>
        </w:rPr>
        <w:t xml:space="preserve">Wang, X., Peng, Y., Lu, L., et al. (2017). ChestX-ray14 dataset. National Institutes of Health (NIH). Publicly available at nihcc.app.box.com.</w:t>
      </w:r>
    </w:p>
    <w:p>
      <w:pPr>
        <w:pStyle w:val="ListParagraph"/>
        <w:numPr>
          <w:ilvl w:val="0"/>
          <w:numId w:val="3"/>
        </w:numPr>
        <w:spacing w:after="80" w:line="360"/>
        <w:jc w:val="both"/>
      </w:pPr>
      <w:r>
        <w:rPr>
          <w:rFonts w:ascii="Times New Roman" w:cs="Times New Roman" w:eastAsia="Times New Roman" w:hAnsi="Times New Roman"/>
          <w:sz w:val="24"/>
          <w:szCs w:val="24"/>
        </w:rPr>
        <w:t xml:space="preserve">Irvin, J., Rajpurkar, P., Ko, M., et al. (2019). CheXpert: A large chest radiograph dataset with uncertainty labels. Proceedings of AAAI, pp. 590–597.</w:t>
      </w:r>
    </w:p>
    <w:p>
      <w:pPr>
        <w:pStyle w:val="ListParagraph"/>
        <w:numPr>
          <w:ilvl w:val="0"/>
          <w:numId w:val="3"/>
        </w:numPr>
        <w:spacing w:after="80" w:line="360"/>
        <w:jc w:val="both"/>
      </w:pPr>
      <w:r>
        <w:rPr>
          <w:rFonts w:ascii="Times New Roman" w:cs="Times New Roman" w:eastAsia="Times New Roman" w:hAnsi="Times New Roman"/>
          <w:sz w:val="24"/>
          <w:szCs w:val="24"/>
        </w:rPr>
        <w:t xml:space="preserve">Johnson, A. E., Pollard, T. J., Berkowitz, S. J., et al. (2019). MIMIC-CXR: A de-identified publicly available database of chest radiographs with free-text reports. Scientific Data, 6(1), 317.</w:t>
      </w:r>
    </w:p>
    <w:p>
      <w:pPr>
        <w:pStyle w:val="ListParagraph"/>
        <w:numPr>
          <w:ilvl w:val="0"/>
          <w:numId w:val="3"/>
        </w:numPr>
        <w:spacing w:after="80" w:line="360"/>
        <w:jc w:val="both"/>
      </w:pPr>
      <w:r>
        <w:rPr>
          <w:rFonts w:ascii="Times New Roman" w:cs="Times New Roman" w:eastAsia="Times New Roman" w:hAnsi="Times New Roman"/>
          <w:sz w:val="24"/>
          <w:szCs w:val="24"/>
        </w:rPr>
        <w:t xml:space="preserve">He, K., Zhang, X., Ren, S., &amp; Sun, J. (2016). Deep residual learning for image recognition. Proceedings of CVPR, pp. 770–778.</w:t>
      </w:r>
    </w:p>
    <w:p>
      <w:pPr>
        <w:pStyle w:val="ListParagraph"/>
        <w:numPr>
          <w:ilvl w:val="0"/>
          <w:numId w:val="3"/>
        </w:numPr>
        <w:spacing w:after="80" w:line="360"/>
        <w:jc w:val="both"/>
      </w:pPr>
      <w:r>
        <w:rPr>
          <w:rFonts w:ascii="Times New Roman" w:cs="Times New Roman" w:eastAsia="Times New Roman" w:hAnsi="Times New Roman"/>
          <w:sz w:val="24"/>
          <w:szCs w:val="24"/>
        </w:rPr>
        <w:t xml:space="preserve">Huang, G., Liu, Z., van der Maaten, L., &amp; Weinberger, K. Q. (2017). Densely connected convolutional networks. Proceedings of CVPR, pp. 4700–4708.</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Azizi, S., Mustafa, B., Ryan, F., et al. (2021). Big self-supervised models advance medical image classification. Proceedings of ICCV, pp. 3478–3488.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line="360"/>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2026-06-18T15:23:30.037Z</dcterms:created>
  <dcterms:modified xsi:type="dcterms:W3CDTF">2026-06-18T15:23:30.053Z</dcterms:modified>
</cp:coreProperties>
</file>

<file path=docProps/custom.xml><?xml version="1.0" encoding="utf-8"?>
<Properties xmlns="http://schemas.openxmlformats.org/officeDocument/2006/custom-properties" xmlns:vt="http://schemas.openxmlformats.org/officeDocument/2006/docPropsVTypes"/>
</file>