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7B07EC" w14:textId="77777777" w:rsidR="002240D6" w:rsidRPr="00A8752B" w:rsidRDefault="002240D6">
      <w:pPr>
        <w:pStyle w:val="NormalIndent"/>
      </w:pPr>
    </w:p>
    <w:p w14:paraId="50EBF440" w14:textId="77777777" w:rsidR="002240D6" w:rsidRPr="00A8752B" w:rsidRDefault="002240D6">
      <w:pPr>
        <w:pStyle w:val="NormalIndent"/>
        <w:rPr>
          <w:rFonts w:ascii="Times New Roman" w:hAnsi="Times New Roman"/>
          <w:noProof/>
        </w:rPr>
      </w:pPr>
    </w:p>
    <w:p w14:paraId="07061D7C" w14:textId="77777777" w:rsidR="002240D6" w:rsidRPr="00A8752B" w:rsidRDefault="002240D6">
      <w:pPr>
        <w:pStyle w:val="NormalIndent"/>
        <w:rPr>
          <w:rFonts w:ascii="Times New Roman" w:hAnsi="Times New Roman"/>
          <w:noProof/>
        </w:rPr>
      </w:pPr>
    </w:p>
    <w:p w14:paraId="10A5D68C" w14:textId="77777777" w:rsidR="002240D6" w:rsidRPr="00A8752B" w:rsidRDefault="002240D6">
      <w:pPr>
        <w:pStyle w:val="NormalIndent"/>
        <w:rPr>
          <w:rFonts w:ascii="Times New Roman" w:hAnsi="Times New Roman"/>
          <w:noProof/>
        </w:rPr>
      </w:pPr>
    </w:p>
    <w:p w14:paraId="45246AB0" w14:textId="77777777" w:rsidR="002240D6" w:rsidRPr="00A8752B" w:rsidRDefault="002240D6">
      <w:pPr>
        <w:pStyle w:val="NormalIndent"/>
        <w:rPr>
          <w:rFonts w:ascii="Times New Roman" w:hAnsi="Times New Roman"/>
          <w:noProof/>
        </w:rPr>
      </w:pPr>
    </w:p>
    <w:p w14:paraId="211DB3C3" w14:textId="77777777" w:rsidR="002240D6" w:rsidRPr="00A8752B" w:rsidRDefault="002240D6">
      <w:pPr>
        <w:pStyle w:val="NormalIndent"/>
        <w:rPr>
          <w:rFonts w:ascii="Times New Roman" w:hAnsi="Times New Roman"/>
          <w:noProof/>
        </w:rPr>
      </w:pPr>
    </w:p>
    <w:p w14:paraId="0B8600CE" w14:textId="77777777" w:rsidR="002240D6" w:rsidRPr="00A8752B" w:rsidRDefault="002240D6">
      <w:pPr>
        <w:pStyle w:val="NormalIndent"/>
        <w:rPr>
          <w:rFonts w:ascii="Times New Roman" w:hAnsi="Times New Roman"/>
          <w:noProof/>
        </w:rPr>
      </w:pPr>
    </w:p>
    <w:p w14:paraId="6B3B3F16" w14:textId="3A1D2B92" w:rsidR="009C016A" w:rsidRPr="0014402D" w:rsidRDefault="009C016A" w:rsidP="009C016A">
      <w:pPr>
        <w:pStyle w:val="NormalIndent"/>
        <w:spacing w:after="0"/>
        <w:rPr>
          <w:rFonts w:cs="Arial"/>
          <w:noProof/>
          <w:color w:val="7F7F7F"/>
          <w:sz w:val="44"/>
          <w:szCs w:val="44"/>
        </w:rPr>
      </w:pPr>
      <w:r w:rsidRPr="00C30A79">
        <w:rPr>
          <w:rFonts w:cs="Arial"/>
          <w:iCs/>
          <w:noProof/>
          <w:color w:val="7F7F7F"/>
          <w:sz w:val="44"/>
          <w:szCs w:val="44"/>
        </w:rPr>
        <w:fldChar w:fldCharType="begin"/>
      </w:r>
      <w:r w:rsidRPr="00C30A79">
        <w:rPr>
          <w:rFonts w:cs="Arial"/>
          <w:iCs/>
          <w:noProof/>
          <w:color w:val="7F7F7F"/>
          <w:sz w:val="44"/>
          <w:szCs w:val="44"/>
        </w:rPr>
        <w:instrText xml:space="preserve"> DOCPROPERTY  Subject  \* MERGEFORMAT </w:instrText>
      </w:r>
      <w:r w:rsidRPr="00C30A79">
        <w:rPr>
          <w:rFonts w:cs="Arial"/>
          <w:iCs/>
          <w:noProof/>
          <w:color w:val="7F7F7F"/>
          <w:sz w:val="44"/>
          <w:szCs w:val="44"/>
        </w:rPr>
        <w:fldChar w:fldCharType="separate"/>
      </w:r>
      <w:r w:rsidR="00575608">
        <w:rPr>
          <w:rFonts w:cs="Arial"/>
          <w:iCs/>
          <w:noProof/>
          <w:color w:val="7F7F7F"/>
          <w:sz w:val="44"/>
          <w:szCs w:val="44"/>
        </w:rPr>
        <w:t>Findings and Recommendations</w:t>
      </w:r>
      <w:r w:rsidRPr="00C30A79">
        <w:rPr>
          <w:rFonts w:cs="Arial"/>
          <w:iCs/>
          <w:noProof/>
          <w:color w:val="7F7F7F"/>
          <w:sz w:val="44"/>
          <w:szCs w:val="44"/>
        </w:rPr>
        <w:fldChar w:fldCharType="end"/>
      </w:r>
    </w:p>
    <w:p w14:paraId="5AF01186" w14:textId="77777777" w:rsidR="009C016A" w:rsidRPr="00A8752B" w:rsidRDefault="001E5508" w:rsidP="009C016A">
      <w:pPr>
        <w:pStyle w:val="NormalIndent"/>
        <w:ind w:left="0"/>
        <w:rPr>
          <w:rFonts w:cs="Arial"/>
          <w:noProof/>
          <w:sz w:val="32"/>
        </w:rPr>
      </w:pPr>
      <w:r>
        <w:rPr>
          <w:noProof/>
        </w:rPr>
        <w:pict w14:anchorId="1B0A0A56">
          <v:group id="Group 58" o:spid="_x0000_s1028" style="position:absolute;margin-left:106.15pt;margin-top:288.75pt;width:302.25pt;height:10.5pt;z-index:-251658240;mso-position-horizontal-relative:page;mso-position-vertical-relative:page" coordorigin="9631,5450" coordsize="17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">
            <v:shape id="Freeform 91" o:spid="_x0000_s1029" style="position:absolute;left:9631;top:5450;width:1704;height:2;visibility:visible;mso-wrap-style:square;v-text-anchor:top" coordsize="17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path="m,l1705,e" filled="f" strokecolor="#bdd626" strokeweight="2pt">
              <v:path arrowok="t" o:connecttype="custom" o:connectlocs="0,0;1705,0" o:connectangles="0,0"/>
            </v:shape>
            <w10:wrap anchorx="page" anchory="page"/>
          </v:group>
        </w:pict>
      </w:r>
    </w:p>
    <w:p w14:paraId="46DD1620" w14:textId="5D21FD81" w:rsidR="009C016A" w:rsidRPr="00005766" w:rsidRDefault="009C016A" w:rsidP="009C016A">
      <w:pPr>
        <w:pStyle w:val="NormalIndent"/>
        <w:spacing w:before="300" w:after="0"/>
        <w:rPr>
          <w:b/>
          <w:caps/>
          <w:color w:val="808080"/>
          <w:sz w:val="22"/>
        </w:rPr>
      </w:pPr>
      <w:r w:rsidRPr="00005766">
        <w:rPr>
          <w:b/>
          <w:caps/>
          <w:color w:val="808080"/>
          <w:sz w:val="22"/>
        </w:rPr>
        <w:fldChar w:fldCharType="begin"/>
      </w:r>
      <w:r w:rsidRPr="00005766">
        <w:rPr>
          <w:b/>
          <w:caps/>
          <w:color w:val="808080"/>
          <w:sz w:val="22"/>
        </w:rPr>
        <w:instrText xml:space="preserve"> DOCPROPERTY  Category  \* MERGEFORMAT </w:instrText>
      </w:r>
      <w:r w:rsidRPr="00005766">
        <w:rPr>
          <w:b/>
          <w:caps/>
          <w:color w:val="808080"/>
          <w:sz w:val="22"/>
        </w:rPr>
        <w:fldChar w:fldCharType="separate"/>
      </w:r>
      <w:r w:rsidR="00575608">
        <w:rPr>
          <w:b/>
          <w:caps/>
          <w:color w:val="808080"/>
          <w:sz w:val="22"/>
        </w:rPr>
        <w:t>Grainger PLC</w:t>
      </w:r>
      <w:r w:rsidRPr="00005766">
        <w:rPr>
          <w:b/>
          <w:caps/>
          <w:color w:val="808080"/>
          <w:sz w:val="22"/>
        </w:rPr>
        <w:fldChar w:fldCharType="end"/>
      </w:r>
    </w:p>
    <w:p w14:paraId="2AA6984D" w14:textId="3880F66A" w:rsidR="009C016A" w:rsidRPr="00005766" w:rsidRDefault="009C016A" w:rsidP="009C016A">
      <w:pPr>
        <w:pStyle w:val="NormalIndent"/>
        <w:spacing w:after="0"/>
        <w:rPr>
          <w:caps/>
          <w:color w:val="808080"/>
          <w:sz w:val="22"/>
        </w:rPr>
      </w:pPr>
      <w:r w:rsidRPr="00005766">
        <w:rPr>
          <w:caps/>
          <w:color w:val="808080"/>
          <w:sz w:val="22"/>
        </w:rPr>
        <w:fldChar w:fldCharType="begin"/>
      </w:r>
      <w:r w:rsidRPr="00005766">
        <w:rPr>
          <w:caps/>
          <w:color w:val="808080"/>
          <w:sz w:val="22"/>
        </w:rPr>
        <w:instrText xml:space="preserve"> DOCPROPERTY  Title  \* MERGEFORMAT </w:instrText>
      </w:r>
      <w:r w:rsidRPr="00005766">
        <w:rPr>
          <w:caps/>
          <w:color w:val="808080"/>
          <w:sz w:val="22"/>
        </w:rPr>
        <w:fldChar w:fldCharType="separate"/>
      </w:r>
      <w:r w:rsidR="00575608">
        <w:rPr>
          <w:caps/>
          <w:color w:val="808080"/>
          <w:sz w:val="22"/>
        </w:rPr>
        <w:t>MRI Implementation Consulting</w:t>
      </w:r>
      <w:r w:rsidRPr="00005766">
        <w:rPr>
          <w:caps/>
          <w:color w:val="808080"/>
          <w:sz w:val="22"/>
        </w:rPr>
        <w:fldChar w:fldCharType="end"/>
      </w:r>
      <w:r w:rsidRPr="00005766">
        <w:rPr>
          <w:caps/>
          <w:color w:val="808080"/>
          <w:sz w:val="22"/>
        </w:rPr>
        <w:t xml:space="preserve"> </w:t>
      </w:r>
    </w:p>
    <w:p w14:paraId="4102BE27" w14:textId="77777777" w:rsidR="00005766" w:rsidRPr="00A8752B" w:rsidRDefault="00005766">
      <w:pPr>
        <w:spacing w:line="240" w:lineRule="atLeast"/>
        <w:ind w:left="709"/>
        <w:rPr>
          <w:color w:val="808080"/>
          <w:sz w:val="24"/>
        </w:rPr>
      </w:pPr>
    </w:p>
    <w:p w14:paraId="2145B6F6" w14:textId="77777777" w:rsidR="00A75B36" w:rsidRPr="00A8752B" w:rsidRDefault="00A75B36">
      <w:pPr>
        <w:spacing w:line="240" w:lineRule="atLeast"/>
        <w:ind w:left="709"/>
        <w:rPr>
          <w:color w:val="808080"/>
          <w:sz w:val="24"/>
        </w:rPr>
      </w:pPr>
    </w:p>
    <w:p w14:paraId="0A88B836" w14:textId="77777777" w:rsidR="00A75B36" w:rsidRPr="00A8752B" w:rsidRDefault="00A75B36">
      <w:pPr>
        <w:spacing w:line="240" w:lineRule="atLeast"/>
        <w:ind w:left="709"/>
        <w:rPr>
          <w:color w:val="808080"/>
          <w:sz w:val="24"/>
        </w:rPr>
      </w:pPr>
    </w:p>
    <w:p w14:paraId="3A0FB5FA" w14:textId="77777777" w:rsidR="00A75B36" w:rsidRPr="00A8752B" w:rsidRDefault="00A75B36">
      <w:pPr>
        <w:spacing w:line="240" w:lineRule="atLeast"/>
        <w:ind w:left="709"/>
        <w:rPr>
          <w:color w:val="808080"/>
          <w:sz w:val="24"/>
        </w:rPr>
      </w:pPr>
    </w:p>
    <w:p w14:paraId="07C500CE" w14:textId="77777777" w:rsidR="00A75B36" w:rsidRPr="00A8752B" w:rsidRDefault="00A75B36">
      <w:pPr>
        <w:spacing w:line="240" w:lineRule="atLeast"/>
        <w:ind w:left="709"/>
        <w:rPr>
          <w:color w:val="808080"/>
          <w:sz w:val="24"/>
        </w:rPr>
      </w:pPr>
    </w:p>
    <w:p w14:paraId="2BBC8F2B" w14:textId="77777777" w:rsidR="00A75B36" w:rsidRPr="00A8752B" w:rsidRDefault="00A75B36">
      <w:pPr>
        <w:spacing w:line="240" w:lineRule="atLeast"/>
        <w:ind w:left="709"/>
        <w:rPr>
          <w:color w:val="808080"/>
          <w:sz w:val="24"/>
        </w:rPr>
      </w:pPr>
    </w:p>
    <w:p w14:paraId="7BCD1E2A" w14:textId="77777777" w:rsidR="00A75B36" w:rsidRPr="00A8752B" w:rsidRDefault="00A75B36">
      <w:pPr>
        <w:spacing w:line="240" w:lineRule="atLeast"/>
        <w:ind w:left="709"/>
        <w:rPr>
          <w:color w:val="808080"/>
          <w:sz w:val="24"/>
        </w:rPr>
      </w:pPr>
    </w:p>
    <w:p w14:paraId="070B1E48" w14:textId="77777777" w:rsidR="00A75B36" w:rsidRPr="00A8752B" w:rsidRDefault="00A75B36">
      <w:pPr>
        <w:spacing w:line="240" w:lineRule="atLeast"/>
        <w:ind w:left="709"/>
        <w:rPr>
          <w:color w:val="808080"/>
          <w:sz w:val="24"/>
        </w:rPr>
      </w:pPr>
    </w:p>
    <w:p w14:paraId="50956EB8" w14:textId="77777777" w:rsidR="00A75B36" w:rsidRPr="00A8752B" w:rsidRDefault="00A75B36">
      <w:pPr>
        <w:spacing w:line="240" w:lineRule="atLeast"/>
        <w:ind w:left="709"/>
        <w:rPr>
          <w:color w:val="808080"/>
          <w:sz w:val="24"/>
        </w:rPr>
      </w:pPr>
    </w:p>
    <w:p w14:paraId="0FC57C63" w14:textId="77777777" w:rsidR="00A75B36" w:rsidRPr="00A8752B" w:rsidRDefault="00A75B36">
      <w:pPr>
        <w:spacing w:line="240" w:lineRule="atLeast"/>
        <w:ind w:left="709"/>
        <w:rPr>
          <w:color w:val="808080"/>
          <w:sz w:val="24"/>
        </w:rPr>
      </w:pPr>
    </w:p>
    <w:p w14:paraId="264198E4" w14:textId="77777777" w:rsidR="00A75B36" w:rsidRPr="00A8752B" w:rsidRDefault="00A75B36">
      <w:pPr>
        <w:spacing w:line="240" w:lineRule="atLeast"/>
        <w:ind w:left="709"/>
        <w:rPr>
          <w:color w:val="808080"/>
          <w:sz w:val="24"/>
        </w:rPr>
      </w:pPr>
    </w:p>
    <w:p w14:paraId="3D931BC6" w14:textId="77777777" w:rsidR="00A75B36" w:rsidRPr="00A8752B" w:rsidRDefault="00A75B36">
      <w:pPr>
        <w:spacing w:line="240" w:lineRule="atLeast"/>
        <w:ind w:left="709"/>
        <w:rPr>
          <w:color w:val="808080"/>
          <w:sz w:val="24"/>
        </w:rPr>
      </w:pPr>
    </w:p>
    <w:p w14:paraId="4F9D5691" w14:textId="77777777" w:rsidR="00A75B36" w:rsidRPr="00A8752B" w:rsidRDefault="00A75B36">
      <w:pPr>
        <w:spacing w:line="240" w:lineRule="atLeast"/>
        <w:ind w:left="709"/>
        <w:rPr>
          <w:color w:val="808080"/>
          <w:sz w:val="24"/>
        </w:rPr>
      </w:pPr>
    </w:p>
    <w:p w14:paraId="620ED822" w14:textId="77777777" w:rsidR="00A75B36" w:rsidRPr="00A8752B" w:rsidRDefault="00A75B36">
      <w:pPr>
        <w:spacing w:line="240" w:lineRule="atLeast"/>
        <w:ind w:left="709"/>
        <w:rPr>
          <w:color w:val="808080"/>
          <w:sz w:val="24"/>
        </w:rPr>
      </w:pPr>
    </w:p>
    <w:p w14:paraId="6E8679EC" w14:textId="77777777" w:rsidR="00A75B36" w:rsidRPr="00A8752B" w:rsidRDefault="00A75B36">
      <w:pPr>
        <w:spacing w:line="240" w:lineRule="atLeast"/>
        <w:ind w:left="709"/>
        <w:rPr>
          <w:color w:val="808080"/>
          <w:sz w:val="24"/>
        </w:rPr>
      </w:pPr>
    </w:p>
    <w:p w14:paraId="38005051" w14:textId="77777777" w:rsidR="00A75B36" w:rsidRPr="00A8752B" w:rsidRDefault="00A75B36">
      <w:pPr>
        <w:spacing w:line="240" w:lineRule="atLeast"/>
        <w:ind w:left="709"/>
        <w:rPr>
          <w:color w:val="808080"/>
          <w:sz w:val="24"/>
        </w:rPr>
      </w:pPr>
    </w:p>
    <w:p w14:paraId="7F15F762" w14:textId="77777777" w:rsidR="00A75B36" w:rsidRPr="00A8752B" w:rsidRDefault="00A75B36">
      <w:pPr>
        <w:spacing w:line="240" w:lineRule="atLeast"/>
        <w:ind w:left="709"/>
        <w:rPr>
          <w:color w:val="808080"/>
          <w:sz w:val="24"/>
        </w:rPr>
      </w:pPr>
    </w:p>
    <w:p w14:paraId="08C06124" w14:textId="77777777" w:rsidR="00A75B36" w:rsidRPr="00A8752B" w:rsidRDefault="00A75B36">
      <w:pPr>
        <w:spacing w:line="240" w:lineRule="atLeast"/>
        <w:ind w:left="709"/>
        <w:rPr>
          <w:color w:val="808080"/>
          <w:sz w:val="24"/>
        </w:rPr>
      </w:pPr>
    </w:p>
    <w:p w14:paraId="575B6357" w14:textId="77777777" w:rsidR="00A75B36" w:rsidRPr="00A8752B" w:rsidRDefault="00A75B36">
      <w:pPr>
        <w:spacing w:line="240" w:lineRule="atLeast"/>
        <w:ind w:left="709"/>
        <w:rPr>
          <w:color w:val="808080"/>
          <w:sz w:val="24"/>
        </w:rPr>
      </w:pPr>
    </w:p>
    <w:p w14:paraId="67FEE276" w14:textId="77777777" w:rsidR="00A75B36" w:rsidRDefault="00A75B36" w:rsidP="003D0162">
      <w:pPr>
        <w:spacing w:line="240" w:lineRule="atLeast"/>
        <w:ind w:left="709"/>
        <w:jc w:val="right"/>
        <w:rPr>
          <w:color w:val="808080"/>
          <w:sz w:val="24"/>
        </w:rPr>
      </w:pPr>
    </w:p>
    <w:p w14:paraId="3842AB40" w14:textId="77777777" w:rsidR="00BE15EC" w:rsidRDefault="00BE15EC" w:rsidP="003D0162">
      <w:pPr>
        <w:spacing w:line="240" w:lineRule="atLeast"/>
        <w:ind w:left="709"/>
        <w:jc w:val="right"/>
        <w:rPr>
          <w:color w:val="808080"/>
          <w:sz w:val="24"/>
        </w:rPr>
      </w:pPr>
    </w:p>
    <w:p w14:paraId="70B07CAE" w14:textId="77777777" w:rsidR="00A75B36" w:rsidRDefault="00A75B36" w:rsidP="003D0162">
      <w:pPr>
        <w:spacing w:line="240" w:lineRule="atLeast"/>
        <w:ind w:left="709"/>
        <w:jc w:val="right"/>
        <w:rPr>
          <w:color w:val="808080"/>
          <w:sz w:val="24"/>
        </w:rPr>
      </w:pPr>
    </w:p>
    <w:p w14:paraId="3DAC1586" w14:textId="77777777" w:rsidR="00BE15EC" w:rsidRPr="00A8752B" w:rsidRDefault="00BE15EC" w:rsidP="003D0162">
      <w:pPr>
        <w:spacing w:line="240" w:lineRule="atLeast"/>
        <w:ind w:left="709"/>
        <w:jc w:val="right"/>
        <w:rPr>
          <w:color w:val="808080"/>
          <w:sz w:val="24"/>
        </w:rPr>
      </w:pPr>
    </w:p>
    <w:p w14:paraId="0DC28854" w14:textId="55461A85" w:rsidR="003D0162" w:rsidRPr="005D778C" w:rsidRDefault="003D0162" w:rsidP="003D0162">
      <w:pPr>
        <w:ind w:left="709"/>
        <w:jc w:val="right"/>
        <w:rPr>
          <w:i/>
          <w:color w:val="808080"/>
          <w:sz w:val="24"/>
        </w:rPr>
      </w:pPr>
      <w:r w:rsidRPr="005D778C">
        <w:rPr>
          <w:i/>
          <w:color w:val="808080"/>
          <w:sz w:val="24"/>
        </w:rPr>
        <w:fldChar w:fldCharType="begin"/>
      </w:r>
      <w:r w:rsidRPr="005D778C">
        <w:rPr>
          <w:i/>
          <w:color w:val="808080"/>
          <w:sz w:val="24"/>
        </w:rPr>
        <w:instrText xml:space="preserve"> DOCPROPERTY  Manager  \* MERGEFORMAT </w:instrText>
      </w:r>
      <w:r w:rsidRPr="005D778C">
        <w:rPr>
          <w:i/>
          <w:color w:val="808080"/>
          <w:sz w:val="24"/>
        </w:rPr>
        <w:fldChar w:fldCharType="separate"/>
      </w:r>
      <w:r w:rsidR="00575608">
        <w:rPr>
          <w:i/>
          <w:color w:val="808080"/>
          <w:sz w:val="24"/>
        </w:rPr>
        <w:t>Version 1.0</w:t>
      </w:r>
      <w:r w:rsidRPr="005D778C">
        <w:rPr>
          <w:i/>
          <w:color w:val="808080"/>
          <w:sz w:val="24"/>
        </w:rPr>
        <w:fldChar w:fldCharType="end"/>
      </w:r>
    </w:p>
    <w:p w14:paraId="55562FD2" w14:textId="04F5C52F" w:rsidR="002432F8" w:rsidRPr="00A8752B" w:rsidRDefault="002432F8" w:rsidP="002432F8">
      <w:pPr>
        <w:spacing w:line="240" w:lineRule="atLeast"/>
        <w:ind w:left="709"/>
        <w:jc w:val="right"/>
        <w:rPr>
          <w:color w:val="808080"/>
          <w:sz w:val="24"/>
        </w:rPr>
      </w:pPr>
      <w:r w:rsidRPr="005D778C">
        <w:rPr>
          <w:i/>
          <w:color w:val="808080"/>
          <w:sz w:val="22"/>
        </w:rPr>
        <w:fldChar w:fldCharType="begin"/>
      </w:r>
      <w:r w:rsidRPr="005D778C">
        <w:rPr>
          <w:i/>
          <w:color w:val="808080"/>
          <w:sz w:val="22"/>
        </w:rPr>
        <w:instrText xml:space="preserve"> DOCPROPERTY  LastSavedTime \@ "d</w:instrText>
      </w:r>
      <w:r>
        <w:rPr>
          <w:i/>
          <w:color w:val="808080"/>
          <w:sz w:val="22"/>
        </w:rPr>
        <w:instrText xml:space="preserve"> MMMM</w:instrText>
      </w:r>
      <w:r w:rsidRPr="005D778C">
        <w:rPr>
          <w:i/>
          <w:color w:val="808080"/>
          <w:sz w:val="22"/>
        </w:rPr>
        <w:instrText xml:space="preserve"> yyyy" \* MERGEFORMAT </w:instrText>
      </w:r>
      <w:r w:rsidRPr="005D778C">
        <w:rPr>
          <w:i/>
          <w:color w:val="808080"/>
          <w:sz w:val="22"/>
        </w:rPr>
        <w:fldChar w:fldCharType="separate"/>
      </w:r>
      <w:r w:rsidR="005A1DF8">
        <w:rPr>
          <w:i/>
          <w:color w:val="808080"/>
          <w:sz w:val="22"/>
        </w:rPr>
        <w:t>4 March 2021</w:t>
      </w:r>
      <w:r w:rsidRPr="005D778C">
        <w:rPr>
          <w:i/>
          <w:color w:val="808080"/>
          <w:sz w:val="22"/>
        </w:rPr>
        <w:fldChar w:fldCharType="end"/>
      </w:r>
    </w:p>
    <w:p w14:paraId="1A5FB7CC" w14:textId="77777777" w:rsidR="00A75B36" w:rsidRPr="00A8752B" w:rsidRDefault="00A75B36">
      <w:pPr>
        <w:spacing w:line="240" w:lineRule="atLeast"/>
        <w:ind w:left="709"/>
        <w:rPr>
          <w:color w:val="808080"/>
          <w:sz w:val="24"/>
        </w:rPr>
      </w:pPr>
    </w:p>
    <w:p w14:paraId="651ADDCE" w14:textId="77777777" w:rsidR="007145AB" w:rsidRPr="0014402D" w:rsidRDefault="00005766" w:rsidP="00005766">
      <w:pPr>
        <w:widowControl w:val="0"/>
        <w:tabs>
          <w:tab w:val="left" w:pos="426"/>
          <w:tab w:val="left" w:pos="709"/>
          <w:tab w:val="left" w:pos="993"/>
        </w:tabs>
        <w:adjustRightInd w:val="0"/>
        <w:jc w:val="both"/>
        <w:textAlignment w:val="baseline"/>
        <w:rPr>
          <w:color w:val="808080"/>
        </w:rPr>
      </w:pPr>
      <w:r>
        <w:rPr>
          <w:color w:val="808080"/>
        </w:rPr>
        <w:br w:type="page"/>
      </w:r>
      <w:r w:rsidR="007145AB" w:rsidRPr="0014402D">
        <w:rPr>
          <w:color w:val="808080"/>
          <w:sz w:val="36"/>
        </w:rPr>
        <w:t>Contents</w:t>
      </w:r>
    </w:p>
    <w:p w14:paraId="2E23811B" w14:textId="303AE257" w:rsidR="0040350F" w:rsidRDefault="00005766">
      <w:pPr>
        <w:pStyle w:val="TOC1"/>
        <w:tabs>
          <w:tab w:val="left" w:pos="440"/>
          <w:tab w:val="right" w:leader="dot" w:pos="9061"/>
        </w:tabs>
        <w:rPr>
          <w:rFonts w:asciiTheme="minorHAnsi" w:eastAsiaTheme="minorEastAsia" w:hAnsiTheme="minorHAnsi" w:cstheme="minorBidi"/>
          <w:b w:val="0"/>
          <w:bCs w:val="0"/>
          <w:caps w:val="0"/>
          <w:noProof/>
          <w:sz w:val="22"/>
          <w:szCs w:val="22"/>
          <w:lang w:val="en-US"/>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65775587" w:history="1">
        <w:r w:rsidR="0040350F" w:rsidRPr="00D470F8">
          <w:rPr>
            <w:rStyle w:val="Hyperlink"/>
            <w:noProof/>
          </w:rPr>
          <w:t>1</w:t>
        </w:r>
        <w:r w:rsidR="0040350F">
          <w:rPr>
            <w:rFonts w:asciiTheme="minorHAnsi" w:eastAsiaTheme="minorEastAsia" w:hAnsiTheme="minorHAnsi" w:cstheme="minorBidi"/>
            <w:b w:val="0"/>
            <w:bCs w:val="0"/>
            <w:caps w:val="0"/>
            <w:noProof/>
            <w:sz w:val="22"/>
            <w:szCs w:val="22"/>
            <w:lang w:val="en-US"/>
          </w:rPr>
          <w:tab/>
        </w:r>
        <w:r w:rsidR="0040350F" w:rsidRPr="00D470F8">
          <w:rPr>
            <w:rStyle w:val="Hyperlink"/>
            <w:noProof/>
          </w:rPr>
          <w:t>Introduction</w:t>
        </w:r>
        <w:r w:rsidR="0040350F">
          <w:rPr>
            <w:noProof/>
            <w:webHidden/>
          </w:rPr>
          <w:tab/>
        </w:r>
        <w:r w:rsidR="0040350F">
          <w:rPr>
            <w:noProof/>
            <w:webHidden/>
          </w:rPr>
          <w:fldChar w:fldCharType="begin"/>
        </w:r>
        <w:r w:rsidR="0040350F">
          <w:rPr>
            <w:noProof/>
            <w:webHidden/>
          </w:rPr>
          <w:instrText xml:space="preserve"> PAGEREF _Toc65775587 \h </w:instrText>
        </w:r>
        <w:r w:rsidR="0040350F">
          <w:rPr>
            <w:noProof/>
            <w:webHidden/>
          </w:rPr>
        </w:r>
        <w:r w:rsidR="0040350F">
          <w:rPr>
            <w:noProof/>
            <w:webHidden/>
          </w:rPr>
          <w:fldChar w:fldCharType="separate"/>
        </w:r>
        <w:r w:rsidR="0040350F">
          <w:rPr>
            <w:noProof/>
            <w:webHidden/>
          </w:rPr>
          <w:t>3</w:t>
        </w:r>
        <w:r w:rsidR="0040350F">
          <w:rPr>
            <w:noProof/>
            <w:webHidden/>
          </w:rPr>
          <w:fldChar w:fldCharType="end"/>
        </w:r>
      </w:hyperlink>
    </w:p>
    <w:p w14:paraId="231CA98C" w14:textId="1B047B3D" w:rsidR="0040350F" w:rsidRDefault="0040350F">
      <w:pPr>
        <w:pStyle w:val="TOC2"/>
        <w:tabs>
          <w:tab w:val="left" w:pos="880"/>
          <w:tab w:val="right" w:leader="dot" w:pos="9061"/>
        </w:tabs>
        <w:rPr>
          <w:rFonts w:asciiTheme="minorHAnsi" w:eastAsiaTheme="minorEastAsia" w:hAnsiTheme="minorHAnsi" w:cstheme="minorBidi"/>
          <w:smallCaps w:val="0"/>
          <w:noProof/>
          <w:sz w:val="22"/>
          <w:szCs w:val="22"/>
          <w:lang w:val="en-US"/>
        </w:rPr>
      </w:pPr>
      <w:hyperlink w:anchor="_Toc65775588" w:history="1">
        <w:r w:rsidRPr="00D470F8">
          <w:rPr>
            <w:rStyle w:val="Hyperlink"/>
            <w:noProof/>
          </w:rPr>
          <w:t>1.1</w:t>
        </w:r>
        <w:r>
          <w:rPr>
            <w:rFonts w:asciiTheme="minorHAnsi" w:eastAsiaTheme="minorEastAsia" w:hAnsiTheme="minorHAnsi" w:cstheme="minorBidi"/>
            <w:smallCaps w:val="0"/>
            <w:noProof/>
            <w:sz w:val="22"/>
            <w:szCs w:val="22"/>
            <w:lang w:val="en-US"/>
          </w:rPr>
          <w:tab/>
        </w:r>
        <w:r w:rsidRPr="00D470F8">
          <w:rPr>
            <w:rStyle w:val="Hyperlink"/>
            <w:noProof/>
          </w:rPr>
          <w:t>Background</w:t>
        </w:r>
        <w:r>
          <w:rPr>
            <w:noProof/>
            <w:webHidden/>
          </w:rPr>
          <w:tab/>
        </w:r>
        <w:r>
          <w:rPr>
            <w:noProof/>
            <w:webHidden/>
          </w:rPr>
          <w:fldChar w:fldCharType="begin"/>
        </w:r>
        <w:r>
          <w:rPr>
            <w:noProof/>
            <w:webHidden/>
          </w:rPr>
          <w:instrText xml:space="preserve"> PAGEREF _Toc65775588 \h </w:instrText>
        </w:r>
        <w:r>
          <w:rPr>
            <w:noProof/>
            <w:webHidden/>
          </w:rPr>
        </w:r>
        <w:r>
          <w:rPr>
            <w:noProof/>
            <w:webHidden/>
          </w:rPr>
          <w:fldChar w:fldCharType="separate"/>
        </w:r>
        <w:r>
          <w:rPr>
            <w:noProof/>
            <w:webHidden/>
          </w:rPr>
          <w:t>3</w:t>
        </w:r>
        <w:r>
          <w:rPr>
            <w:noProof/>
            <w:webHidden/>
          </w:rPr>
          <w:fldChar w:fldCharType="end"/>
        </w:r>
      </w:hyperlink>
    </w:p>
    <w:p w14:paraId="1DA1374E" w14:textId="5358151D" w:rsidR="0040350F" w:rsidRDefault="0040350F">
      <w:pPr>
        <w:pStyle w:val="TOC2"/>
        <w:tabs>
          <w:tab w:val="left" w:pos="880"/>
          <w:tab w:val="right" w:leader="dot" w:pos="9061"/>
        </w:tabs>
        <w:rPr>
          <w:rFonts w:asciiTheme="minorHAnsi" w:eastAsiaTheme="minorEastAsia" w:hAnsiTheme="minorHAnsi" w:cstheme="minorBidi"/>
          <w:smallCaps w:val="0"/>
          <w:noProof/>
          <w:sz w:val="22"/>
          <w:szCs w:val="22"/>
          <w:lang w:val="en-US"/>
        </w:rPr>
      </w:pPr>
      <w:hyperlink w:anchor="_Toc65775589" w:history="1">
        <w:r w:rsidRPr="00D470F8">
          <w:rPr>
            <w:rStyle w:val="Hyperlink"/>
            <w:noProof/>
          </w:rPr>
          <w:t>1.2</w:t>
        </w:r>
        <w:r>
          <w:rPr>
            <w:rFonts w:asciiTheme="minorHAnsi" w:eastAsiaTheme="minorEastAsia" w:hAnsiTheme="minorHAnsi" w:cstheme="minorBidi"/>
            <w:smallCaps w:val="0"/>
            <w:noProof/>
            <w:sz w:val="22"/>
            <w:szCs w:val="22"/>
            <w:lang w:val="en-US"/>
          </w:rPr>
          <w:tab/>
        </w:r>
        <w:r w:rsidRPr="00D470F8">
          <w:rPr>
            <w:rStyle w:val="Hyperlink"/>
            <w:noProof/>
          </w:rPr>
          <w:t>Objectives</w:t>
        </w:r>
        <w:r>
          <w:rPr>
            <w:noProof/>
            <w:webHidden/>
          </w:rPr>
          <w:tab/>
        </w:r>
        <w:r>
          <w:rPr>
            <w:noProof/>
            <w:webHidden/>
          </w:rPr>
          <w:fldChar w:fldCharType="begin"/>
        </w:r>
        <w:r>
          <w:rPr>
            <w:noProof/>
            <w:webHidden/>
          </w:rPr>
          <w:instrText xml:space="preserve"> PAGEREF _Toc65775589 \h </w:instrText>
        </w:r>
        <w:r>
          <w:rPr>
            <w:noProof/>
            <w:webHidden/>
          </w:rPr>
        </w:r>
        <w:r>
          <w:rPr>
            <w:noProof/>
            <w:webHidden/>
          </w:rPr>
          <w:fldChar w:fldCharType="separate"/>
        </w:r>
        <w:r>
          <w:rPr>
            <w:noProof/>
            <w:webHidden/>
          </w:rPr>
          <w:t>3</w:t>
        </w:r>
        <w:r>
          <w:rPr>
            <w:noProof/>
            <w:webHidden/>
          </w:rPr>
          <w:fldChar w:fldCharType="end"/>
        </w:r>
      </w:hyperlink>
    </w:p>
    <w:p w14:paraId="4CD35DD6" w14:textId="0E9563E8" w:rsidR="0040350F" w:rsidRDefault="0040350F">
      <w:pPr>
        <w:pStyle w:val="TOC2"/>
        <w:tabs>
          <w:tab w:val="left" w:pos="880"/>
          <w:tab w:val="right" w:leader="dot" w:pos="9061"/>
        </w:tabs>
        <w:rPr>
          <w:rFonts w:asciiTheme="minorHAnsi" w:eastAsiaTheme="minorEastAsia" w:hAnsiTheme="minorHAnsi" w:cstheme="minorBidi"/>
          <w:smallCaps w:val="0"/>
          <w:noProof/>
          <w:sz w:val="22"/>
          <w:szCs w:val="22"/>
          <w:lang w:val="en-US"/>
        </w:rPr>
      </w:pPr>
      <w:hyperlink w:anchor="_Toc65775590" w:history="1">
        <w:r w:rsidRPr="00D470F8">
          <w:rPr>
            <w:rStyle w:val="Hyperlink"/>
            <w:noProof/>
          </w:rPr>
          <w:t>1.3</w:t>
        </w:r>
        <w:r>
          <w:rPr>
            <w:rFonts w:asciiTheme="minorHAnsi" w:eastAsiaTheme="minorEastAsia" w:hAnsiTheme="minorHAnsi" w:cstheme="minorBidi"/>
            <w:smallCaps w:val="0"/>
            <w:noProof/>
            <w:sz w:val="22"/>
            <w:szCs w:val="22"/>
            <w:lang w:val="en-US"/>
          </w:rPr>
          <w:tab/>
        </w:r>
        <w:r w:rsidRPr="00D470F8">
          <w:rPr>
            <w:rStyle w:val="Hyperlink"/>
            <w:noProof/>
          </w:rPr>
          <w:t>Definitions</w:t>
        </w:r>
        <w:r>
          <w:rPr>
            <w:noProof/>
            <w:webHidden/>
          </w:rPr>
          <w:tab/>
        </w:r>
        <w:r>
          <w:rPr>
            <w:noProof/>
            <w:webHidden/>
          </w:rPr>
          <w:fldChar w:fldCharType="begin"/>
        </w:r>
        <w:r>
          <w:rPr>
            <w:noProof/>
            <w:webHidden/>
          </w:rPr>
          <w:instrText xml:space="preserve"> PAGEREF _Toc65775590 \h </w:instrText>
        </w:r>
        <w:r>
          <w:rPr>
            <w:noProof/>
            <w:webHidden/>
          </w:rPr>
        </w:r>
        <w:r>
          <w:rPr>
            <w:noProof/>
            <w:webHidden/>
          </w:rPr>
          <w:fldChar w:fldCharType="separate"/>
        </w:r>
        <w:r>
          <w:rPr>
            <w:noProof/>
            <w:webHidden/>
          </w:rPr>
          <w:t>4</w:t>
        </w:r>
        <w:r>
          <w:rPr>
            <w:noProof/>
            <w:webHidden/>
          </w:rPr>
          <w:fldChar w:fldCharType="end"/>
        </w:r>
      </w:hyperlink>
    </w:p>
    <w:p w14:paraId="63C3C4EA" w14:textId="7EB673D4" w:rsidR="0040350F" w:rsidRDefault="0040350F">
      <w:pPr>
        <w:pStyle w:val="TOC1"/>
        <w:tabs>
          <w:tab w:val="left" w:pos="440"/>
          <w:tab w:val="right" w:leader="dot" w:pos="9061"/>
        </w:tabs>
        <w:rPr>
          <w:rFonts w:asciiTheme="minorHAnsi" w:eastAsiaTheme="minorEastAsia" w:hAnsiTheme="minorHAnsi" w:cstheme="minorBidi"/>
          <w:b w:val="0"/>
          <w:bCs w:val="0"/>
          <w:caps w:val="0"/>
          <w:noProof/>
          <w:sz w:val="22"/>
          <w:szCs w:val="22"/>
          <w:lang w:val="en-US"/>
        </w:rPr>
      </w:pPr>
      <w:hyperlink w:anchor="_Toc65775591" w:history="1">
        <w:r w:rsidRPr="00D470F8">
          <w:rPr>
            <w:rStyle w:val="Hyperlink"/>
            <w:noProof/>
          </w:rPr>
          <w:t>2</w:t>
        </w:r>
        <w:r>
          <w:rPr>
            <w:rFonts w:asciiTheme="minorHAnsi" w:eastAsiaTheme="minorEastAsia" w:hAnsiTheme="minorHAnsi" w:cstheme="minorBidi"/>
            <w:b w:val="0"/>
            <w:bCs w:val="0"/>
            <w:caps w:val="0"/>
            <w:noProof/>
            <w:sz w:val="22"/>
            <w:szCs w:val="22"/>
            <w:lang w:val="en-US"/>
          </w:rPr>
          <w:tab/>
        </w:r>
        <w:r w:rsidRPr="00D470F8">
          <w:rPr>
            <w:rStyle w:val="Hyperlink"/>
            <w:noProof/>
          </w:rPr>
          <w:t>Current State</w:t>
        </w:r>
        <w:r>
          <w:rPr>
            <w:noProof/>
            <w:webHidden/>
          </w:rPr>
          <w:tab/>
        </w:r>
        <w:r>
          <w:rPr>
            <w:noProof/>
            <w:webHidden/>
          </w:rPr>
          <w:fldChar w:fldCharType="begin"/>
        </w:r>
        <w:r>
          <w:rPr>
            <w:noProof/>
            <w:webHidden/>
          </w:rPr>
          <w:instrText xml:space="preserve"> PAGEREF _Toc65775591 \h </w:instrText>
        </w:r>
        <w:r>
          <w:rPr>
            <w:noProof/>
            <w:webHidden/>
          </w:rPr>
        </w:r>
        <w:r>
          <w:rPr>
            <w:noProof/>
            <w:webHidden/>
          </w:rPr>
          <w:fldChar w:fldCharType="separate"/>
        </w:r>
        <w:r>
          <w:rPr>
            <w:noProof/>
            <w:webHidden/>
          </w:rPr>
          <w:t>5</w:t>
        </w:r>
        <w:r>
          <w:rPr>
            <w:noProof/>
            <w:webHidden/>
          </w:rPr>
          <w:fldChar w:fldCharType="end"/>
        </w:r>
      </w:hyperlink>
    </w:p>
    <w:p w14:paraId="68662D9B" w14:textId="49713670" w:rsidR="0040350F" w:rsidRDefault="0040350F">
      <w:pPr>
        <w:pStyle w:val="TOC2"/>
        <w:tabs>
          <w:tab w:val="left" w:pos="880"/>
          <w:tab w:val="right" w:leader="dot" w:pos="9061"/>
        </w:tabs>
        <w:rPr>
          <w:rFonts w:asciiTheme="minorHAnsi" w:eastAsiaTheme="minorEastAsia" w:hAnsiTheme="minorHAnsi" w:cstheme="minorBidi"/>
          <w:smallCaps w:val="0"/>
          <w:noProof/>
          <w:sz w:val="22"/>
          <w:szCs w:val="22"/>
          <w:lang w:val="en-US"/>
        </w:rPr>
      </w:pPr>
      <w:hyperlink w:anchor="_Toc65775592" w:history="1">
        <w:r w:rsidRPr="00D470F8">
          <w:rPr>
            <w:rStyle w:val="Hyperlink"/>
            <w:noProof/>
          </w:rPr>
          <w:t>2.1</w:t>
        </w:r>
        <w:r>
          <w:rPr>
            <w:rFonts w:asciiTheme="minorHAnsi" w:eastAsiaTheme="minorEastAsia" w:hAnsiTheme="minorHAnsi" w:cstheme="minorBidi"/>
            <w:smallCaps w:val="0"/>
            <w:noProof/>
            <w:sz w:val="22"/>
            <w:szCs w:val="22"/>
            <w:lang w:val="en-US"/>
          </w:rPr>
          <w:tab/>
        </w:r>
        <w:r w:rsidRPr="00D470F8">
          <w:rPr>
            <w:rStyle w:val="Hyperlink"/>
            <w:noProof/>
          </w:rPr>
          <w:t>Portfolio Requirements</w:t>
        </w:r>
        <w:r>
          <w:rPr>
            <w:noProof/>
            <w:webHidden/>
          </w:rPr>
          <w:tab/>
        </w:r>
        <w:r>
          <w:rPr>
            <w:noProof/>
            <w:webHidden/>
          </w:rPr>
          <w:fldChar w:fldCharType="begin"/>
        </w:r>
        <w:r>
          <w:rPr>
            <w:noProof/>
            <w:webHidden/>
          </w:rPr>
          <w:instrText xml:space="preserve"> PAGEREF _Toc65775592 \h </w:instrText>
        </w:r>
        <w:r>
          <w:rPr>
            <w:noProof/>
            <w:webHidden/>
          </w:rPr>
        </w:r>
        <w:r>
          <w:rPr>
            <w:noProof/>
            <w:webHidden/>
          </w:rPr>
          <w:fldChar w:fldCharType="separate"/>
        </w:r>
        <w:r>
          <w:rPr>
            <w:noProof/>
            <w:webHidden/>
          </w:rPr>
          <w:t>5</w:t>
        </w:r>
        <w:r>
          <w:rPr>
            <w:noProof/>
            <w:webHidden/>
          </w:rPr>
          <w:fldChar w:fldCharType="end"/>
        </w:r>
      </w:hyperlink>
    </w:p>
    <w:p w14:paraId="32F08307" w14:textId="5F125129" w:rsidR="0040350F" w:rsidRDefault="0040350F">
      <w:pPr>
        <w:pStyle w:val="TOC2"/>
        <w:tabs>
          <w:tab w:val="left" w:pos="880"/>
          <w:tab w:val="right" w:leader="dot" w:pos="9061"/>
        </w:tabs>
        <w:rPr>
          <w:rFonts w:asciiTheme="minorHAnsi" w:eastAsiaTheme="minorEastAsia" w:hAnsiTheme="minorHAnsi" w:cstheme="minorBidi"/>
          <w:smallCaps w:val="0"/>
          <w:noProof/>
          <w:sz w:val="22"/>
          <w:szCs w:val="22"/>
          <w:lang w:val="en-US"/>
        </w:rPr>
      </w:pPr>
      <w:hyperlink w:anchor="_Toc65775593" w:history="1">
        <w:r w:rsidRPr="00D470F8">
          <w:rPr>
            <w:rStyle w:val="Hyperlink"/>
            <w:noProof/>
          </w:rPr>
          <w:t>2.2</w:t>
        </w:r>
        <w:r>
          <w:rPr>
            <w:rFonts w:asciiTheme="minorHAnsi" w:eastAsiaTheme="minorEastAsia" w:hAnsiTheme="minorHAnsi" w:cstheme="minorBidi"/>
            <w:smallCaps w:val="0"/>
            <w:noProof/>
            <w:sz w:val="22"/>
            <w:szCs w:val="22"/>
            <w:lang w:val="en-US"/>
          </w:rPr>
          <w:tab/>
        </w:r>
        <w:r w:rsidRPr="00D470F8">
          <w:rPr>
            <w:rStyle w:val="Hyperlink"/>
            <w:noProof/>
          </w:rPr>
          <w:t>Connect Platform</w:t>
        </w:r>
        <w:r>
          <w:rPr>
            <w:noProof/>
            <w:webHidden/>
          </w:rPr>
          <w:tab/>
        </w:r>
        <w:r>
          <w:rPr>
            <w:noProof/>
            <w:webHidden/>
          </w:rPr>
          <w:fldChar w:fldCharType="begin"/>
        </w:r>
        <w:r>
          <w:rPr>
            <w:noProof/>
            <w:webHidden/>
          </w:rPr>
          <w:instrText xml:space="preserve"> PAGEREF _Toc65775593 \h </w:instrText>
        </w:r>
        <w:r>
          <w:rPr>
            <w:noProof/>
            <w:webHidden/>
          </w:rPr>
        </w:r>
        <w:r>
          <w:rPr>
            <w:noProof/>
            <w:webHidden/>
          </w:rPr>
          <w:fldChar w:fldCharType="separate"/>
        </w:r>
        <w:r>
          <w:rPr>
            <w:noProof/>
            <w:webHidden/>
          </w:rPr>
          <w:t>7</w:t>
        </w:r>
        <w:r>
          <w:rPr>
            <w:noProof/>
            <w:webHidden/>
          </w:rPr>
          <w:fldChar w:fldCharType="end"/>
        </w:r>
      </w:hyperlink>
    </w:p>
    <w:p w14:paraId="4FDF76B6" w14:textId="773EDBB5" w:rsidR="0040350F" w:rsidRDefault="0040350F">
      <w:pPr>
        <w:pStyle w:val="TOC1"/>
        <w:tabs>
          <w:tab w:val="left" w:pos="440"/>
          <w:tab w:val="right" w:leader="dot" w:pos="9061"/>
        </w:tabs>
        <w:rPr>
          <w:rFonts w:asciiTheme="minorHAnsi" w:eastAsiaTheme="minorEastAsia" w:hAnsiTheme="minorHAnsi" w:cstheme="minorBidi"/>
          <w:b w:val="0"/>
          <w:bCs w:val="0"/>
          <w:caps w:val="0"/>
          <w:noProof/>
          <w:sz w:val="22"/>
          <w:szCs w:val="22"/>
          <w:lang w:val="en-US"/>
        </w:rPr>
      </w:pPr>
      <w:hyperlink w:anchor="_Toc65775594" w:history="1">
        <w:r w:rsidRPr="00D470F8">
          <w:rPr>
            <w:rStyle w:val="Hyperlink"/>
            <w:noProof/>
          </w:rPr>
          <w:t>3</w:t>
        </w:r>
        <w:r>
          <w:rPr>
            <w:rFonts w:asciiTheme="minorHAnsi" w:eastAsiaTheme="minorEastAsia" w:hAnsiTheme="minorHAnsi" w:cstheme="minorBidi"/>
            <w:b w:val="0"/>
            <w:bCs w:val="0"/>
            <w:caps w:val="0"/>
            <w:noProof/>
            <w:sz w:val="22"/>
            <w:szCs w:val="22"/>
            <w:lang w:val="en-US"/>
          </w:rPr>
          <w:tab/>
        </w:r>
        <w:r w:rsidRPr="00D470F8">
          <w:rPr>
            <w:rStyle w:val="Hyperlink"/>
            <w:noProof/>
          </w:rPr>
          <w:t>Recommendation</w:t>
        </w:r>
        <w:r>
          <w:rPr>
            <w:noProof/>
            <w:webHidden/>
          </w:rPr>
          <w:tab/>
        </w:r>
        <w:r>
          <w:rPr>
            <w:noProof/>
            <w:webHidden/>
          </w:rPr>
          <w:fldChar w:fldCharType="begin"/>
        </w:r>
        <w:r>
          <w:rPr>
            <w:noProof/>
            <w:webHidden/>
          </w:rPr>
          <w:instrText xml:space="preserve"> PAGEREF _Toc65775594 \h </w:instrText>
        </w:r>
        <w:r>
          <w:rPr>
            <w:noProof/>
            <w:webHidden/>
          </w:rPr>
        </w:r>
        <w:r>
          <w:rPr>
            <w:noProof/>
            <w:webHidden/>
          </w:rPr>
          <w:fldChar w:fldCharType="separate"/>
        </w:r>
        <w:r>
          <w:rPr>
            <w:noProof/>
            <w:webHidden/>
          </w:rPr>
          <w:t>9</w:t>
        </w:r>
        <w:r>
          <w:rPr>
            <w:noProof/>
            <w:webHidden/>
          </w:rPr>
          <w:fldChar w:fldCharType="end"/>
        </w:r>
      </w:hyperlink>
    </w:p>
    <w:p w14:paraId="4ADA15C8" w14:textId="34CBB96A" w:rsidR="0040350F" w:rsidRDefault="0040350F">
      <w:pPr>
        <w:pStyle w:val="TOC3"/>
        <w:tabs>
          <w:tab w:val="left" w:pos="1320"/>
          <w:tab w:val="right" w:leader="dot" w:pos="9061"/>
        </w:tabs>
        <w:rPr>
          <w:rFonts w:asciiTheme="minorHAnsi" w:eastAsiaTheme="minorEastAsia" w:hAnsiTheme="minorHAnsi" w:cstheme="minorBidi"/>
          <w:i w:val="0"/>
          <w:iCs w:val="0"/>
          <w:noProof/>
          <w:sz w:val="22"/>
          <w:szCs w:val="22"/>
          <w:lang w:val="en-US"/>
        </w:rPr>
      </w:pPr>
      <w:hyperlink w:anchor="_Toc65775595" w:history="1">
        <w:r w:rsidRPr="00D470F8">
          <w:rPr>
            <w:rStyle w:val="Hyperlink"/>
            <w:noProof/>
          </w:rPr>
          <w:t>3.1.1</w:t>
        </w:r>
        <w:r>
          <w:rPr>
            <w:rFonts w:asciiTheme="minorHAnsi" w:eastAsiaTheme="minorEastAsia" w:hAnsiTheme="minorHAnsi" w:cstheme="minorBidi"/>
            <w:i w:val="0"/>
            <w:iCs w:val="0"/>
            <w:noProof/>
            <w:sz w:val="22"/>
            <w:szCs w:val="22"/>
            <w:lang w:val="en-US"/>
          </w:rPr>
          <w:tab/>
        </w:r>
        <w:r w:rsidRPr="00D470F8">
          <w:rPr>
            <w:rStyle w:val="Hyperlink"/>
            <w:noProof/>
          </w:rPr>
          <w:t>Our Experience with RM and CM MRI Modules</w:t>
        </w:r>
        <w:r>
          <w:rPr>
            <w:noProof/>
            <w:webHidden/>
          </w:rPr>
          <w:tab/>
        </w:r>
        <w:r>
          <w:rPr>
            <w:noProof/>
            <w:webHidden/>
          </w:rPr>
          <w:fldChar w:fldCharType="begin"/>
        </w:r>
        <w:r>
          <w:rPr>
            <w:noProof/>
            <w:webHidden/>
          </w:rPr>
          <w:instrText xml:space="preserve"> PAGEREF _Toc65775595 \h </w:instrText>
        </w:r>
        <w:r>
          <w:rPr>
            <w:noProof/>
            <w:webHidden/>
          </w:rPr>
        </w:r>
        <w:r>
          <w:rPr>
            <w:noProof/>
            <w:webHidden/>
          </w:rPr>
          <w:fldChar w:fldCharType="separate"/>
        </w:r>
        <w:r>
          <w:rPr>
            <w:noProof/>
            <w:webHidden/>
          </w:rPr>
          <w:t>9</w:t>
        </w:r>
        <w:r>
          <w:rPr>
            <w:noProof/>
            <w:webHidden/>
          </w:rPr>
          <w:fldChar w:fldCharType="end"/>
        </w:r>
      </w:hyperlink>
    </w:p>
    <w:p w14:paraId="2B82888D" w14:textId="59EEF244" w:rsidR="0040350F" w:rsidRDefault="0040350F">
      <w:pPr>
        <w:pStyle w:val="TOC3"/>
        <w:tabs>
          <w:tab w:val="left" w:pos="1320"/>
          <w:tab w:val="right" w:leader="dot" w:pos="9061"/>
        </w:tabs>
        <w:rPr>
          <w:rFonts w:asciiTheme="minorHAnsi" w:eastAsiaTheme="minorEastAsia" w:hAnsiTheme="minorHAnsi" w:cstheme="minorBidi"/>
          <w:i w:val="0"/>
          <w:iCs w:val="0"/>
          <w:noProof/>
          <w:sz w:val="22"/>
          <w:szCs w:val="22"/>
          <w:lang w:val="en-US"/>
        </w:rPr>
      </w:pPr>
      <w:hyperlink w:anchor="_Toc65775596" w:history="1">
        <w:r w:rsidRPr="00D470F8">
          <w:rPr>
            <w:rStyle w:val="Hyperlink"/>
            <w:noProof/>
          </w:rPr>
          <w:t>3.1.2</w:t>
        </w:r>
        <w:r>
          <w:rPr>
            <w:rFonts w:asciiTheme="minorHAnsi" w:eastAsiaTheme="minorEastAsia" w:hAnsiTheme="minorHAnsi" w:cstheme="minorBidi"/>
            <w:i w:val="0"/>
            <w:iCs w:val="0"/>
            <w:noProof/>
            <w:sz w:val="22"/>
            <w:szCs w:val="22"/>
            <w:lang w:val="en-US"/>
          </w:rPr>
          <w:tab/>
        </w:r>
        <w:r w:rsidRPr="00D470F8">
          <w:rPr>
            <w:rStyle w:val="Hyperlink"/>
            <w:noProof/>
          </w:rPr>
          <w:t>Addressing Initial Concerns</w:t>
        </w:r>
        <w:r>
          <w:rPr>
            <w:noProof/>
            <w:webHidden/>
          </w:rPr>
          <w:tab/>
        </w:r>
        <w:r>
          <w:rPr>
            <w:noProof/>
            <w:webHidden/>
          </w:rPr>
          <w:fldChar w:fldCharType="begin"/>
        </w:r>
        <w:r>
          <w:rPr>
            <w:noProof/>
            <w:webHidden/>
          </w:rPr>
          <w:instrText xml:space="preserve"> PAGEREF _Toc65775596 \h </w:instrText>
        </w:r>
        <w:r>
          <w:rPr>
            <w:noProof/>
            <w:webHidden/>
          </w:rPr>
        </w:r>
        <w:r>
          <w:rPr>
            <w:noProof/>
            <w:webHidden/>
          </w:rPr>
          <w:fldChar w:fldCharType="separate"/>
        </w:r>
        <w:r>
          <w:rPr>
            <w:noProof/>
            <w:webHidden/>
          </w:rPr>
          <w:t>10</w:t>
        </w:r>
        <w:r>
          <w:rPr>
            <w:noProof/>
            <w:webHidden/>
          </w:rPr>
          <w:fldChar w:fldCharType="end"/>
        </w:r>
      </w:hyperlink>
    </w:p>
    <w:p w14:paraId="49BD5C78" w14:textId="0055B4CF" w:rsidR="0040350F" w:rsidRDefault="0040350F">
      <w:pPr>
        <w:pStyle w:val="TOC3"/>
        <w:tabs>
          <w:tab w:val="left" w:pos="1320"/>
          <w:tab w:val="right" w:leader="dot" w:pos="9061"/>
        </w:tabs>
        <w:rPr>
          <w:rFonts w:asciiTheme="minorHAnsi" w:eastAsiaTheme="minorEastAsia" w:hAnsiTheme="minorHAnsi" w:cstheme="minorBidi"/>
          <w:i w:val="0"/>
          <w:iCs w:val="0"/>
          <w:noProof/>
          <w:sz w:val="22"/>
          <w:szCs w:val="22"/>
          <w:lang w:val="en-US"/>
        </w:rPr>
      </w:pPr>
      <w:hyperlink w:anchor="_Toc65775597" w:history="1">
        <w:r w:rsidRPr="00D470F8">
          <w:rPr>
            <w:rStyle w:val="Hyperlink"/>
            <w:noProof/>
          </w:rPr>
          <w:t>3.1.3</w:t>
        </w:r>
        <w:r>
          <w:rPr>
            <w:rFonts w:asciiTheme="minorHAnsi" w:eastAsiaTheme="minorEastAsia" w:hAnsiTheme="minorHAnsi" w:cstheme="minorBidi"/>
            <w:i w:val="0"/>
            <w:iCs w:val="0"/>
            <w:noProof/>
            <w:sz w:val="22"/>
            <w:szCs w:val="22"/>
            <w:lang w:val="en-US"/>
          </w:rPr>
          <w:tab/>
        </w:r>
        <w:r w:rsidRPr="00D470F8">
          <w:rPr>
            <w:rStyle w:val="Hyperlink"/>
            <w:noProof/>
          </w:rPr>
          <w:t>Feasibility</w:t>
        </w:r>
        <w:r>
          <w:rPr>
            <w:noProof/>
            <w:webHidden/>
          </w:rPr>
          <w:tab/>
        </w:r>
        <w:r>
          <w:rPr>
            <w:noProof/>
            <w:webHidden/>
          </w:rPr>
          <w:fldChar w:fldCharType="begin"/>
        </w:r>
        <w:r>
          <w:rPr>
            <w:noProof/>
            <w:webHidden/>
          </w:rPr>
          <w:instrText xml:space="preserve"> PAGEREF _Toc65775597 \h </w:instrText>
        </w:r>
        <w:r>
          <w:rPr>
            <w:noProof/>
            <w:webHidden/>
          </w:rPr>
        </w:r>
        <w:r>
          <w:rPr>
            <w:noProof/>
            <w:webHidden/>
          </w:rPr>
          <w:fldChar w:fldCharType="separate"/>
        </w:r>
        <w:r>
          <w:rPr>
            <w:noProof/>
            <w:webHidden/>
          </w:rPr>
          <w:t>11</w:t>
        </w:r>
        <w:r>
          <w:rPr>
            <w:noProof/>
            <w:webHidden/>
          </w:rPr>
          <w:fldChar w:fldCharType="end"/>
        </w:r>
      </w:hyperlink>
    </w:p>
    <w:p w14:paraId="009139DF" w14:textId="2AE5A9C1" w:rsidR="0040350F" w:rsidRDefault="0040350F">
      <w:pPr>
        <w:pStyle w:val="TOC3"/>
        <w:tabs>
          <w:tab w:val="left" w:pos="1320"/>
          <w:tab w:val="right" w:leader="dot" w:pos="9061"/>
        </w:tabs>
        <w:rPr>
          <w:rFonts w:asciiTheme="minorHAnsi" w:eastAsiaTheme="minorEastAsia" w:hAnsiTheme="minorHAnsi" w:cstheme="minorBidi"/>
          <w:i w:val="0"/>
          <w:iCs w:val="0"/>
          <w:noProof/>
          <w:sz w:val="22"/>
          <w:szCs w:val="22"/>
          <w:lang w:val="en-US"/>
        </w:rPr>
      </w:pPr>
      <w:hyperlink w:anchor="_Toc65775598" w:history="1">
        <w:r w:rsidRPr="00D470F8">
          <w:rPr>
            <w:rStyle w:val="Hyperlink"/>
            <w:noProof/>
          </w:rPr>
          <w:t>3.1.4</w:t>
        </w:r>
        <w:r>
          <w:rPr>
            <w:rFonts w:asciiTheme="minorHAnsi" w:eastAsiaTheme="minorEastAsia" w:hAnsiTheme="minorHAnsi" w:cstheme="minorBidi"/>
            <w:i w:val="0"/>
            <w:iCs w:val="0"/>
            <w:noProof/>
            <w:sz w:val="22"/>
            <w:szCs w:val="22"/>
            <w:lang w:val="en-US"/>
          </w:rPr>
          <w:tab/>
        </w:r>
        <w:r w:rsidRPr="00D470F8">
          <w:rPr>
            <w:rStyle w:val="Hyperlink"/>
            <w:noProof/>
          </w:rPr>
          <w:t>Other Benefits</w:t>
        </w:r>
        <w:r>
          <w:rPr>
            <w:noProof/>
            <w:webHidden/>
          </w:rPr>
          <w:tab/>
        </w:r>
        <w:r>
          <w:rPr>
            <w:noProof/>
            <w:webHidden/>
          </w:rPr>
          <w:fldChar w:fldCharType="begin"/>
        </w:r>
        <w:r>
          <w:rPr>
            <w:noProof/>
            <w:webHidden/>
          </w:rPr>
          <w:instrText xml:space="preserve"> PAGEREF _Toc65775598 \h </w:instrText>
        </w:r>
        <w:r>
          <w:rPr>
            <w:noProof/>
            <w:webHidden/>
          </w:rPr>
        </w:r>
        <w:r>
          <w:rPr>
            <w:noProof/>
            <w:webHidden/>
          </w:rPr>
          <w:fldChar w:fldCharType="separate"/>
        </w:r>
        <w:r>
          <w:rPr>
            <w:noProof/>
            <w:webHidden/>
          </w:rPr>
          <w:t>13</w:t>
        </w:r>
        <w:r>
          <w:rPr>
            <w:noProof/>
            <w:webHidden/>
          </w:rPr>
          <w:fldChar w:fldCharType="end"/>
        </w:r>
      </w:hyperlink>
    </w:p>
    <w:p w14:paraId="5E65BE0E" w14:textId="028B4D9A" w:rsidR="0040350F" w:rsidRDefault="0040350F">
      <w:pPr>
        <w:pStyle w:val="TOC1"/>
        <w:tabs>
          <w:tab w:val="left" w:pos="440"/>
          <w:tab w:val="right" w:leader="dot" w:pos="9061"/>
        </w:tabs>
        <w:rPr>
          <w:rFonts w:asciiTheme="minorHAnsi" w:eastAsiaTheme="minorEastAsia" w:hAnsiTheme="minorHAnsi" w:cstheme="minorBidi"/>
          <w:b w:val="0"/>
          <w:bCs w:val="0"/>
          <w:caps w:val="0"/>
          <w:noProof/>
          <w:sz w:val="22"/>
          <w:szCs w:val="22"/>
          <w:lang w:val="en-US"/>
        </w:rPr>
      </w:pPr>
      <w:hyperlink w:anchor="_Toc65775599" w:history="1">
        <w:r w:rsidRPr="00D470F8">
          <w:rPr>
            <w:rStyle w:val="Hyperlink"/>
            <w:noProof/>
          </w:rPr>
          <w:t>4</w:t>
        </w:r>
        <w:r>
          <w:rPr>
            <w:rFonts w:asciiTheme="minorHAnsi" w:eastAsiaTheme="minorEastAsia" w:hAnsiTheme="minorHAnsi" w:cstheme="minorBidi"/>
            <w:b w:val="0"/>
            <w:bCs w:val="0"/>
            <w:caps w:val="0"/>
            <w:noProof/>
            <w:sz w:val="22"/>
            <w:szCs w:val="22"/>
            <w:lang w:val="en-US"/>
          </w:rPr>
          <w:tab/>
        </w:r>
        <w:r w:rsidRPr="00D470F8">
          <w:rPr>
            <w:rStyle w:val="Hyperlink"/>
            <w:noProof/>
          </w:rPr>
          <w:t>Next Steps</w:t>
        </w:r>
        <w:r>
          <w:rPr>
            <w:noProof/>
            <w:webHidden/>
          </w:rPr>
          <w:tab/>
        </w:r>
        <w:r>
          <w:rPr>
            <w:noProof/>
            <w:webHidden/>
          </w:rPr>
          <w:fldChar w:fldCharType="begin"/>
        </w:r>
        <w:r>
          <w:rPr>
            <w:noProof/>
            <w:webHidden/>
          </w:rPr>
          <w:instrText xml:space="preserve"> PAGEREF _Toc65775599 \h </w:instrText>
        </w:r>
        <w:r>
          <w:rPr>
            <w:noProof/>
            <w:webHidden/>
          </w:rPr>
        </w:r>
        <w:r>
          <w:rPr>
            <w:noProof/>
            <w:webHidden/>
          </w:rPr>
          <w:fldChar w:fldCharType="separate"/>
        </w:r>
        <w:r>
          <w:rPr>
            <w:noProof/>
            <w:webHidden/>
          </w:rPr>
          <w:t>15</w:t>
        </w:r>
        <w:r>
          <w:rPr>
            <w:noProof/>
            <w:webHidden/>
          </w:rPr>
          <w:fldChar w:fldCharType="end"/>
        </w:r>
      </w:hyperlink>
    </w:p>
    <w:p w14:paraId="00391913" w14:textId="66609A3B" w:rsidR="0040350F" w:rsidRDefault="0040350F">
      <w:pPr>
        <w:pStyle w:val="TOC1"/>
        <w:tabs>
          <w:tab w:val="left" w:pos="440"/>
          <w:tab w:val="right" w:leader="dot" w:pos="9061"/>
        </w:tabs>
        <w:rPr>
          <w:rFonts w:asciiTheme="minorHAnsi" w:eastAsiaTheme="minorEastAsia" w:hAnsiTheme="minorHAnsi" w:cstheme="minorBidi"/>
          <w:b w:val="0"/>
          <w:bCs w:val="0"/>
          <w:caps w:val="0"/>
          <w:noProof/>
          <w:sz w:val="22"/>
          <w:szCs w:val="22"/>
          <w:lang w:val="en-US"/>
        </w:rPr>
      </w:pPr>
      <w:hyperlink w:anchor="_Toc65775600" w:history="1">
        <w:r w:rsidRPr="00D470F8">
          <w:rPr>
            <w:rStyle w:val="Hyperlink"/>
            <w:noProof/>
          </w:rPr>
          <w:t>5</w:t>
        </w:r>
        <w:r>
          <w:rPr>
            <w:rFonts w:asciiTheme="minorHAnsi" w:eastAsiaTheme="minorEastAsia" w:hAnsiTheme="minorHAnsi" w:cstheme="minorBidi"/>
            <w:b w:val="0"/>
            <w:bCs w:val="0"/>
            <w:caps w:val="0"/>
            <w:noProof/>
            <w:sz w:val="22"/>
            <w:szCs w:val="22"/>
            <w:lang w:val="en-US"/>
          </w:rPr>
          <w:tab/>
        </w:r>
        <w:r w:rsidRPr="00D470F8">
          <w:rPr>
            <w:rStyle w:val="Hyperlink"/>
            <w:noProof/>
          </w:rPr>
          <w:t>Appendices</w:t>
        </w:r>
        <w:r>
          <w:rPr>
            <w:noProof/>
            <w:webHidden/>
          </w:rPr>
          <w:tab/>
        </w:r>
        <w:r>
          <w:rPr>
            <w:noProof/>
            <w:webHidden/>
          </w:rPr>
          <w:fldChar w:fldCharType="begin"/>
        </w:r>
        <w:r>
          <w:rPr>
            <w:noProof/>
            <w:webHidden/>
          </w:rPr>
          <w:instrText xml:space="preserve"> PAGEREF _Toc65775600 \h </w:instrText>
        </w:r>
        <w:r>
          <w:rPr>
            <w:noProof/>
            <w:webHidden/>
          </w:rPr>
        </w:r>
        <w:r>
          <w:rPr>
            <w:noProof/>
            <w:webHidden/>
          </w:rPr>
          <w:fldChar w:fldCharType="separate"/>
        </w:r>
        <w:r>
          <w:rPr>
            <w:noProof/>
            <w:webHidden/>
          </w:rPr>
          <w:t>16</w:t>
        </w:r>
        <w:r>
          <w:rPr>
            <w:noProof/>
            <w:webHidden/>
          </w:rPr>
          <w:fldChar w:fldCharType="end"/>
        </w:r>
      </w:hyperlink>
    </w:p>
    <w:p w14:paraId="2983A1C1" w14:textId="28E6D28B" w:rsidR="0040350F" w:rsidRDefault="0040350F">
      <w:pPr>
        <w:pStyle w:val="TOC2"/>
        <w:tabs>
          <w:tab w:val="left" w:pos="880"/>
          <w:tab w:val="right" w:leader="dot" w:pos="9061"/>
        </w:tabs>
        <w:rPr>
          <w:rFonts w:asciiTheme="minorHAnsi" w:eastAsiaTheme="minorEastAsia" w:hAnsiTheme="minorHAnsi" w:cstheme="minorBidi"/>
          <w:smallCaps w:val="0"/>
          <w:noProof/>
          <w:sz w:val="22"/>
          <w:szCs w:val="22"/>
          <w:lang w:val="en-US"/>
        </w:rPr>
      </w:pPr>
      <w:hyperlink w:anchor="_Toc65775601" w:history="1">
        <w:r w:rsidRPr="00D470F8">
          <w:rPr>
            <w:rStyle w:val="Hyperlink"/>
            <w:noProof/>
          </w:rPr>
          <w:t>5.1</w:t>
        </w:r>
        <w:r>
          <w:rPr>
            <w:rFonts w:asciiTheme="minorHAnsi" w:eastAsiaTheme="minorEastAsia" w:hAnsiTheme="minorHAnsi" w:cstheme="minorBidi"/>
            <w:smallCaps w:val="0"/>
            <w:noProof/>
            <w:sz w:val="22"/>
            <w:szCs w:val="22"/>
            <w:lang w:val="en-US"/>
          </w:rPr>
          <w:tab/>
        </w:r>
        <w:r w:rsidRPr="00D470F8">
          <w:rPr>
            <w:rStyle w:val="Hyperlink"/>
            <w:noProof/>
          </w:rPr>
          <w:t>MRI HIERARCHY</w:t>
        </w:r>
        <w:r>
          <w:rPr>
            <w:noProof/>
            <w:webHidden/>
          </w:rPr>
          <w:tab/>
        </w:r>
        <w:r>
          <w:rPr>
            <w:noProof/>
            <w:webHidden/>
          </w:rPr>
          <w:fldChar w:fldCharType="begin"/>
        </w:r>
        <w:r>
          <w:rPr>
            <w:noProof/>
            <w:webHidden/>
          </w:rPr>
          <w:instrText xml:space="preserve"> PAGEREF _Toc65775601 \h </w:instrText>
        </w:r>
        <w:r>
          <w:rPr>
            <w:noProof/>
            <w:webHidden/>
          </w:rPr>
        </w:r>
        <w:r>
          <w:rPr>
            <w:noProof/>
            <w:webHidden/>
          </w:rPr>
          <w:fldChar w:fldCharType="separate"/>
        </w:r>
        <w:r>
          <w:rPr>
            <w:noProof/>
            <w:webHidden/>
          </w:rPr>
          <w:t>16</w:t>
        </w:r>
        <w:r>
          <w:rPr>
            <w:noProof/>
            <w:webHidden/>
          </w:rPr>
          <w:fldChar w:fldCharType="end"/>
        </w:r>
      </w:hyperlink>
    </w:p>
    <w:p w14:paraId="29B36B9F" w14:textId="2FBB91B1" w:rsidR="007145AB" w:rsidRPr="007145AB" w:rsidRDefault="00005766" w:rsidP="007145AB">
      <w:pPr>
        <w:pStyle w:val="NormalIndent"/>
      </w:pPr>
      <w:r>
        <w:rPr>
          <w:b/>
          <w:bCs/>
          <w:caps/>
        </w:rPr>
        <w:fldChar w:fldCharType="end"/>
      </w:r>
    </w:p>
    <w:p w14:paraId="63346C9B" w14:textId="77777777" w:rsidR="0063029F" w:rsidRPr="00FF7530" w:rsidRDefault="007145AB" w:rsidP="00FF7530">
      <w:pPr>
        <w:pStyle w:val="Heading1"/>
      </w:pPr>
      <w:bookmarkStart w:id="0" w:name="_Toc65775587"/>
      <w:r w:rsidRPr="00FF7530">
        <w:t>Introduction</w:t>
      </w:r>
      <w:bookmarkEnd w:id="0"/>
    </w:p>
    <w:p w14:paraId="6D3758D6" w14:textId="503457A0" w:rsidR="000A04C0" w:rsidRDefault="002633D7" w:rsidP="000A04C0">
      <w:pPr>
        <w:pStyle w:val="Heading2"/>
      </w:pPr>
      <w:bookmarkStart w:id="1" w:name="_Toc65775588"/>
      <w:r>
        <w:t>Background</w:t>
      </w:r>
      <w:bookmarkEnd w:id="1"/>
    </w:p>
    <w:p w14:paraId="7F580479" w14:textId="517E6881" w:rsidR="000A04C0" w:rsidRDefault="002633D7" w:rsidP="000A04C0">
      <w:pPr>
        <w:pStyle w:val="NormalIndent"/>
      </w:pPr>
      <w:r>
        <w:t>Grainger PLC</w:t>
      </w:r>
      <w:r w:rsidR="0039555D">
        <w:t xml:space="preserve"> is the largest private landlord in the UK. </w:t>
      </w:r>
      <w:r w:rsidR="003B645A">
        <w:t>Today, their core segment is Build-to-Rent, but their portfolio includes a number of legacy properties with various types of tenure</w:t>
      </w:r>
      <w:r w:rsidR="00465BEA">
        <w:t xml:space="preserve"> and legislative </w:t>
      </w:r>
      <w:r w:rsidR="008F7687">
        <w:t>restrictions</w:t>
      </w:r>
      <w:r w:rsidR="00465BEA">
        <w:t xml:space="preserve">. Grainger </w:t>
      </w:r>
      <w:r>
        <w:t>a</w:t>
      </w:r>
      <w:r w:rsidR="00E06632">
        <w:t xml:space="preserve">re in the process of </w:t>
      </w:r>
      <w:r w:rsidR="00B222C3">
        <w:t xml:space="preserve">implementing Connect, an integrated property management platform intended to replace their existing solution. Central to this </w:t>
      </w:r>
      <w:r w:rsidR="004B4F4E">
        <w:t>solution</w:t>
      </w:r>
      <w:r w:rsidR="00B222C3">
        <w:t xml:space="preserve"> is MRI Platform X</w:t>
      </w:r>
      <w:r w:rsidR="0039555D">
        <w:t xml:space="preserve">. </w:t>
      </w:r>
    </w:p>
    <w:p w14:paraId="5D578A46" w14:textId="24873280" w:rsidR="00465BEA" w:rsidRDefault="00465BEA" w:rsidP="000A04C0">
      <w:pPr>
        <w:pStyle w:val="NormalIndent"/>
      </w:pPr>
      <w:r>
        <w:t xml:space="preserve">During the design of the solution, a number of key limitations were encountered in applying Grainger’s portfolio and specific needs to MRI. This resulted in some key decisions </w:t>
      </w:r>
      <w:r w:rsidR="00DD5452">
        <w:t>as to how to apply the available property management modules (specifically Commercial Management vs. Residential Management)</w:t>
      </w:r>
      <w:r w:rsidR="00652492">
        <w:t xml:space="preserve">, and various customisations to address </w:t>
      </w:r>
      <w:r w:rsidR="00D03040">
        <w:t xml:space="preserve">accounting </w:t>
      </w:r>
      <w:r w:rsidR="00652492">
        <w:t xml:space="preserve">requirements. </w:t>
      </w:r>
    </w:p>
    <w:p w14:paraId="6C9701C5" w14:textId="3678163C" w:rsidR="00652492" w:rsidRPr="00381339" w:rsidRDefault="00652492" w:rsidP="000A04C0">
      <w:pPr>
        <w:pStyle w:val="NormalIndent"/>
      </w:pPr>
      <w:r>
        <w:t xml:space="preserve">As the solution moved into UAT, many issues were encountered, especially around performance. Grainger is now at a stage where they must make some key strategic decisions about the platform and how to move forward. Open Box Software has been engaged as an expert in MRI to </w:t>
      </w:r>
      <w:r w:rsidR="00824E0D">
        <w:t>help advise on options.</w:t>
      </w:r>
    </w:p>
    <w:p w14:paraId="6EB0842D" w14:textId="106F6480" w:rsidR="007A59A0" w:rsidRPr="00381339" w:rsidRDefault="002633D7" w:rsidP="000A04C0">
      <w:pPr>
        <w:pStyle w:val="Heading2"/>
      </w:pPr>
      <w:bookmarkStart w:id="2" w:name="_Toc65775589"/>
      <w:r>
        <w:t>Objectives</w:t>
      </w:r>
      <w:bookmarkEnd w:id="2"/>
    </w:p>
    <w:p w14:paraId="04CB93AF" w14:textId="3543C915" w:rsidR="000A04C0" w:rsidRDefault="00824E0D" w:rsidP="000A04C0">
      <w:pPr>
        <w:pStyle w:val="NormalIndent"/>
      </w:pPr>
      <w:r>
        <w:t>As a priority, the following key questions have been identified by Grainger to be addressed in this investigation:</w:t>
      </w:r>
    </w:p>
    <w:p w14:paraId="04860D04" w14:textId="5AE23802" w:rsidR="00824E0D" w:rsidRDefault="00824E0D" w:rsidP="00824E0D">
      <w:pPr>
        <w:pStyle w:val="NormalIndent"/>
        <w:numPr>
          <w:ilvl w:val="0"/>
          <w:numId w:val="29"/>
        </w:numPr>
      </w:pPr>
      <w:r>
        <w:t xml:space="preserve">Are the design decisions that have been made to date </w:t>
      </w:r>
      <w:r w:rsidR="00824F7B">
        <w:t>appropriate</w:t>
      </w:r>
      <w:r w:rsidR="001059C3">
        <w:t>?</w:t>
      </w:r>
    </w:p>
    <w:p w14:paraId="735E1AF1" w14:textId="0265D20F" w:rsidR="001059C3" w:rsidRDefault="001059C3" w:rsidP="00824E0D">
      <w:pPr>
        <w:pStyle w:val="NormalIndent"/>
        <w:numPr>
          <w:ilvl w:val="0"/>
          <w:numId w:val="29"/>
        </w:numPr>
      </w:pPr>
      <w:r>
        <w:t>If not, what</w:t>
      </w:r>
      <w:r w:rsidR="00824F7B">
        <w:t xml:space="preserve"> other</w:t>
      </w:r>
      <w:r>
        <w:t xml:space="preserve"> options </w:t>
      </w:r>
      <w:r w:rsidR="00824F7B">
        <w:t>or approaches can be recommended</w:t>
      </w:r>
      <w:r>
        <w:t>?</w:t>
      </w:r>
    </w:p>
    <w:p w14:paraId="17382A92" w14:textId="5A340B02" w:rsidR="00824F7B" w:rsidRDefault="00824F7B" w:rsidP="00824E0D">
      <w:pPr>
        <w:pStyle w:val="NormalIndent"/>
        <w:numPr>
          <w:ilvl w:val="0"/>
          <w:numId w:val="29"/>
        </w:numPr>
      </w:pPr>
      <w:r>
        <w:t>Given this, what is the best way forward at this time?</w:t>
      </w:r>
    </w:p>
    <w:p w14:paraId="4994B857" w14:textId="0E517AC0" w:rsidR="001059C3" w:rsidRDefault="001059C3" w:rsidP="001059C3">
      <w:pPr>
        <w:pStyle w:val="NormalIndent"/>
      </w:pPr>
      <w:r>
        <w:t xml:space="preserve">These questions will </w:t>
      </w:r>
      <w:r w:rsidR="00824F7B">
        <w:t xml:space="preserve">be specifically focused on the following four key functional </w:t>
      </w:r>
      <w:r w:rsidR="00A97BB8">
        <w:t>areas</w:t>
      </w:r>
      <w:r w:rsidR="00824F7B">
        <w:t>:</w:t>
      </w:r>
    </w:p>
    <w:p w14:paraId="17CDA115" w14:textId="4462A1B9" w:rsidR="000A04C0" w:rsidRDefault="006F4051" w:rsidP="008F6FC0">
      <w:pPr>
        <w:pStyle w:val="NormalIndent"/>
        <w:numPr>
          <w:ilvl w:val="0"/>
          <w:numId w:val="31"/>
        </w:numPr>
      </w:pPr>
      <w:r>
        <w:t>Use of RM/CM Modules – ability to hold residential units of multiple tenures with different requirements in terms of billing, service charges etc.</w:t>
      </w:r>
    </w:p>
    <w:p w14:paraId="4A1AECDC" w14:textId="39034CFB" w:rsidR="00086A16" w:rsidRDefault="006F4051" w:rsidP="008F6FC0">
      <w:pPr>
        <w:pStyle w:val="NormalIndent"/>
        <w:numPr>
          <w:ilvl w:val="0"/>
          <w:numId w:val="31"/>
        </w:numPr>
      </w:pPr>
      <w:r>
        <w:t>Ability to manage Service charge for blocks with units of multiple tenures including mixed ownership.</w:t>
      </w:r>
    </w:p>
    <w:p w14:paraId="481D337C" w14:textId="637E0CD3" w:rsidR="00086A16" w:rsidRDefault="006F4051" w:rsidP="008F6FC0">
      <w:pPr>
        <w:pStyle w:val="NormalIndent"/>
        <w:numPr>
          <w:ilvl w:val="0"/>
          <w:numId w:val="31"/>
        </w:numPr>
      </w:pPr>
      <w:r>
        <w:t>Ability to do unit level account / apportion revenues and expenses across units.</w:t>
      </w:r>
    </w:p>
    <w:p w14:paraId="6387916A" w14:textId="4E25DFE4" w:rsidR="00086A16" w:rsidRDefault="006F4051" w:rsidP="008F6FC0">
      <w:pPr>
        <w:pStyle w:val="NormalIndent"/>
        <w:numPr>
          <w:ilvl w:val="0"/>
          <w:numId w:val="31"/>
        </w:numPr>
      </w:pPr>
      <w:r>
        <w:t>Ability to register intercompany transactions (including ‘capital’ transactions e.g. sale of property from one entity to another).</w:t>
      </w:r>
    </w:p>
    <w:p w14:paraId="049245FE" w14:textId="45F28258" w:rsidR="00194BCF" w:rsidRDefault="00194BCF" w:rsidP="00194BCF">
      <w:pPr>
        <w:pStyle w:val="Heading2"/>
      </w:pPr>
      <w:bookmarkStart w:id="3" w:name="_Toc65775590"/>
      <w:r>
        <w:t>Definitions</w:t>
      </w:r>
      <w:bookmarkEnd w:id="3"/>
    </w:p>
    <w:p w14:paraId="037F355A" w14:textId="31ACBCAD" w:rsidR="00194BCF" w:rsidRDefault="00194BCF" w:rsidP="00194BCF">
      <w:pPr>
        <w:pStyle w:val="NormalIndent"/>
      </w:pPr>
      <w:r>
        <w:t>For simplicity, we will use the following terminology in this document:</w:t>
      </w:r>
    </w:p>
    <w:p w14:paraId="4ACF0B91" w14:textId="11790E2A" w:rsidR="00194BCF" w:rsidRDefault="00194BCF" w:rsidP="00715FC6">
      <w:pPr>
        <w:pStyle w:val="NormalIndent"/>
        <w:numPr>
          <w:ilvl w:val="0"/>
          <w:numId w:val="32"/>
        </w:numPr>
      </w:pPr>
      <w:r w:rsidRPr="00961E68">
        <w:rPr>
          <w:b/>
          <w:bCs/>
        </w:rPr>
        <w:t>Property</w:t>
      </w:r>
      <w:r w:rsidR="005623BE">
        <w:t xml:space="preserve">: </w:t>
      </w:r>
      <w:r w:rsidR="00715FC6">
        <w:t>the asset as a whole. This may be a development or estate comprising of many separate homes, or an apartment block that represents a single</w:t>
      </w:r>
      <w:r w:rsidR="0005461A">
        <w:t xml:space="preserve"> physical</w:t>
      </w:r>
      <w:r w:rsidR="00715FC6">
        <w:t xml:space="preserve"> building.</w:t>
      </w:r>
    </w:p>
    <w:p w14:paraId="4AE0A448" w14:textId="2F7E6362" w:rsidR="00202BB6" w:rsidRDefault="00961E68" w:rsidP="00715FC6">
      <w:pPr>
        <w:pStyle w:val="NormalIndent"/>
        <w:numPr>
          <w:ilvl w:val="0"/>
          <w:numId w:val="32"/>
        </w:numPr>
      </w:pPr>
      <w:r w:rsidRPr="00961E68">
        <w:rPr>
          <w:b/>
          <w:bCs/>
        </w:rPr>
        <w:t>Building</w:t>
      </w:r>
      <w:r w:rsidR="005623BE">
        <w:t xml:space="preserve">: </w:t>
      </w:r>
      <w:r>
        <w:t>the logical structure within MRI, which may or may not correspond to a single physical building. One property might be split into several buildings in the current implementation.</w:t>
      </w:r>
    </w:p>
    <w:p w14:paraId="26BC239B" w14:textId="60274761" w:rsidR="00FE3EA4" w:rsidRDefault="00FE3EA4" w:rsidP="00FE3EA4">
      <w:pPr>
        <w:pStyle w:val="NormalIndent"/>
        <w:numPr>
          <w:ilvl w:val="0"/>
          <w:numId w:val="32"/>
        </w:numPr>
      </w:pPr>
      <w:r w:rsidRPr="00961E68">
        <w:rPr>
          <w:b/>
          <w:bCs/>
        </w:rPr>
        <w:t>Unit</w:t>
      </w:r>
      <w:r w:rsidR="005623BE">
        <w:t>: a</w:t>
      </w:r>
      <w:r>
        <w:t xml:space="preserve"> lettable or sellable space within the property</w:t>
      </w:r>
      <w:r w:rsidR="005623BE">
        <w:t xml:space="preserve"> e.g.</w:t>
      </w:r>
      <w:r>
        <w:t xml:space="preserve"> a flat, a house, a parking space, etc.</w:t>
      </w:r>
    </w:p>
    <w:p w14:paraId="7585E519" w14:textId="44F92DBC" w:rsidR="00827821" w:rsidRDefault="00176689" w:rsidP="00827821">
      <w:pPr>
        <w:pStyle w:val="NormalIndent"/>
        <w:numPr>
          <w:ilvl w:val="0"/>
          <w:numId w:val="32"/>
        </w:numPr>
      </w:pPr>
      <w:r>
        <w:rPr>
          <w:b/>
          <w:bCs/>
        </w:rPr>
        <w:t>Tenure Type</w:t>
      </w:r>
      <w:r w:rsidR="005623BE">
        <w:rPr>
          <w:b/>
          <w:bCs/>
        </w:rPr>
        <w:t xml:space="preserve">: </w:t>
      </w:r>
      <w:r w:rsidR="007F646E">
        <w:t xml:space="preserve">the </w:t>
      </w:r>
      <w:r w:rsidR="00FF0F05">
        <w:t>regime of occupancy that applies</w:t>
      </w:r>
      <w:r w:rsidR="007F646E">
        <w:t xml:space="preserve"> to a given unit</w:t>
      </w:r>
      <w:r w:rsidR="00FE3EA4">
        <w:t xml:space="preserve"> e.g. AST, Ground Rent, Assured, Shared Ownership</w:t>
      </w:r>
      <w:r w:rsidR="005623BE">
        <w:t>.</w:t>
      </w:r>
    </w:p>
    <w:p w14:paraId="7384D2C0" w14:textId="7AD5A5C4" w:rsidR="00AB2DB1" w:rsidRPr="00194BCF" w:rsidRDefault="00FE3EA4" w:rsidP="00827821">
      <w:pPr>
        <w:pStyle w:val="NormalIndent"/>
        <w:numPr>
          <w:ilvl w:val="0"/>
          <w:numId w:val="32"/>
        </w:numPr>
      </w:pPr>
      <w:r>
        <w:rPr>
          <w:b/>
          <w:bCs/>
        </w:rPr>
        <w:t>Unit Status</w:t>
      </w:r>
      <w:r w:rsidR="005623BE">
        <w:rPr>
          <w:b/>
          <w:bCs/>
        </w:rPr>
        <w:t xml:space="preserve">: </w:t>
      </w:r>
      <w:r w:rsidR="003A3E21">
        <w:t>the current state of the unit e.g. tenanted, under development, void</w:t>
      </w:r>
      <w:r w:rsidR="00494C69">
        <w:t>.</w:t>
      </w:r>
    </w:p>
    <w:p w14:paraId="05E5F728" w14:textId="44F31CEC" w:rsidR="001F2B31" w:rsidRPr="000A04C0" w:rsidRDefault="001F2B31" w:rsidP="001F2B31">
      <w:pPr>
        <w:pStyle w:val="NormalIndent"/>
        <w:ind w:left="0"/>
      </w:pPr>
    </w:p>
    <w:p w14:paraId="46A95DBD" w14:textId="3DA973E9" w:rsidR="000A04C0" w:rsidRDefault="00575608" w:rsidP="00FF7530">
      <w:pPr>
        <w:pStyle w:val="Heading1"/>
      </w:pPr>
      <w:bookmarkStart w:id="4" w:name="_Toc65775591"/>
      <w:r>
        <w:t>Current State</w:t>
      </w:r>
      <w:bookmarkEnd w:id="4"/>
    </w:p>
    <w:p w14:paraId="7CF938C4" w14:textId="12F1E29D" w:rsidR="009D738F" w:rsidRDefault="009D738F" w:rsidP="009D738F">
      <w:pPr>
        <w:pStyle w:val="Heading2"/>
      </w:pPr>
      <w:bookmarkStart w:id="5" w:name="_Toc65775592"/>
      <w:r>
        <w:t>Portfolio</w:t>
      </w:r>
      <w:r w:rsidR="00C93B56">
        <w:t xml:space="preserve"> Requirements</w:t>
      </w:r>
      <w:bookmarkEnd w:id="5"/>
    </w:p>
    <w:p w14:paraId="1C01DD05" w14:textId="52F43099" w:rsidR="00194BCF" w:rsidRDefault="00424FC0" w:rsidP="001F2B31">
      <w:pPr>
        <w:pStyle w:val="NormalIndent"/>
      </w:pPr>
      <w:r>
        <w:t>At a high level, Grainger’s portfolio encompasses a wide range of different t</w:t>
      </w:r>
      <w:r w:rsidR="00335154">
        <w:t>enure types</w:t>
      </w:r>
      <w:r w:rsidR="00B532C0">
        <w:t>, as well as mixed-use properties that may include commercial units.</w:t>
      </w:r>
      <w:r w:rsidR="00A57277">
        <w:t xml:space="preserve"> Many of these </w:t>
      </w:r>
      <w:r w:rsidR="00B532C0">
        <w:t xml:space="preserve">tenures </w:t>
      </w:r>
      <w:r w:rsidR="00A57277">
        <w:t xml:space="preserve">may </w:t>
      </w:r>
      <w:r w:rsidR="004749C5">
        <w:t>occur together</w:t>
      </w:r>
      <w:r w:rsidR="00A57277">
        <w:t xml:space="preserve"> within a single </w:t>
      </w:r>
      <w:r w:rsidR="00B532C0">
        <w:t xml:space="preserve">residential or mixed-use </w:t>
      </w:r>
      <w:r w:rsidR="00A57277">
        <w:t>property.</w:t>
      </w:r>
      <w:r w:rsidR="007E6120">
        <w:t xml:space="preserve"> Each may have different billing frequencies and service charge recoverability rules.</w:t>
      </w:r>
    </w:p>
    <w:p w14:paraId="1D5C4586" w14:textId="77777777" w:rsidR="00C64C86" w:rsidRDefault="001E5508" w:rsidP="00C64C86">
      <w:pPr>
        <w:pStyle w:val="NormalIndent"/>
        <w:keepNext/>
        <w:ind w:left="0"/>
      </w:pPr>
      <w:r>
        <w:rPr>
          <w:noProof/>
        </w:rPr>
        <w:pict w14:anchorId="7157F5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53.75pt;height:252.75pt;visibility:visible">
            <v:imagedata r:id="rId12" o:title=""/>
          </v:shape>
        </w:pict>
      </w:r>
    </w:p>
    <w:p w14:paraId="1D66F933" w14:textId="4C18B55D" w:rsidR="00A57277" w:rsidRDefault="00C64C86" w:rsidP="00C64C86">
      <w:pPr>
        <w:pStyle w:val="Caption"/>
        <w:rPr>
          <w:noProof/>
        </w:rPr>
      </w:pPr>
      <w:r>
        <w:t xml:space="preserve">Figure </w:t>
      </w:r>
      <w:r>
        <w:fldChar w:fldCharType="begin"/>
      </w:r>
      <w:r>
        <w:instrText xml:space="preserve"> SEQ Figure \* ARABIC </w:instrText>
      </w:r>
      <w:r>
        <w:fldChar w:fldCharType="separate"/>
      </w:r>
      <w:r>
        <w:rPr>
          <w:noProof/>
        </w:rPr>
        <w:t>1</w:t>
      </w:r>
      <w:r>
        <w:fldChar w:fldCharType="end"/>
      </w:r>
      <w:r>
        <w:t>: Billing Frequencies by Tenure Type</w:t>
      </w:r>
    </w:p>
    <w:p w14:paraId="31A56DEF" w14:textId="77777777" w:rsidR="00C93B56" w:rsidRDefault="00C93B56" w:rsidP="00C93B56">
      <w:pPr>
        <w:pStyle w:val="NormalIndent"/>
      </w:pPr>
      <w:r>
        <w:t>When it was initially realised that MRI’s RM module was unable to satisfy all portfolio requirements, three options were brought before the design authority for consideration:</w:t>
      </w:r>
    </w:p>
    <w:p w14:paraId="32773A60" w14:textId="6D2D3793" w:rsidR="00C93B56" w:rsidRDefault="00C93B56" w:rsidP="00C93B56">
      <w:pPr>
        <w:pStyle w:val="NormalIndent"/>
        <w:numPr>
          <w:ilvl w:val="0"/>
          <w:numId w:val="35"/>
        </w:numPr>
      </w:pPr>
      <w:r>
        <w:t>Option 1: Customise MRI RM to handle weekly charges</w:t>
      </w:r>
      <w:r w:rsidR="000E4940">
        <w:t>.</w:t>
      </w:r>
    </w:p>
    <w:p w14:paraId="23073278" w14:textId="7AB9EF92" w:rsidR="00C93B56" w:rsidRDefault="00C93B56" w:rsidP="00C93B56">
      <w:pPr>
        <w:pStyle w:val="NormalIndent"/>
        <w:numPr>
          <w:ilvl w:val="0"/>
          <w:numId w:val="35"/>
        </w:numPr>
      </w:pPr>
      <w:r>
        <w:t>Option 2: Move regulated tenancies to CM</w:t>
      </w:r>
      <w:r w:rsidR="000E4940">
        <w:t>.</w:t>
      </w:r>
    </w:p>
    <w:p w14:paraId="6627E4E8" w14:textId="5912AC6D" w:rsidR="00C93B56" w:rsidRDefault="00C93B56" w:rsidP="00C93B56">
      <w:pPr>
        <w:pStyle w:val="NormalIndent"/>
        <w:numPr>
          <w:ilvl w:val="0"/>
          <w:numId w:val="35"/>
        </w:numPr>
      </w:pPr>
      <w:r>
        <w:t>Option 3: Adjust processes to charge monthly and be paid weekly.</w:t>
      </w:r>
    </w:p>
    <w:p w14:paraId="23F3CD6E" w14:textId="2695E449" w:rsidR="000E4940" w:rsidRDefault="000E4940" w:rsidP="000E4940">
      <w:pPr>
        <w:pStyle w:val="NormalIndent"/>
        <w:rPr>
          <w:noProof/>
        </w:rPr>
      </w:pPr>
      <w:r>
        <w:rPr>
          <w:noProof/>
        </w:rPr>
        <w:t>Option 2 ultimately won out: to resolve these inconsistencies, properties are currently split across two modules, with one property frequently represented by more than one building in MRI.</w:t>
      </w:r>
    </w:p>
    <w:p w14:paraId="5F6390F2" w14:textId="060BB3F3" w:rsidR="000E4940" w:rsidRDefault="000E4940" w:rsidP="00CC43B6">
      <w:pPr>
        <w:pStyle w:val="NormalIndent"/>
        <w:ind w:left="0"/>
        <w:rPr>
          <w:noProof/>
        </w:rPr>
      </w:pPr>
    </w:p>
    <w:p w14:paraId="3C6DA9B7" w14:textId="77777777" w:rsidR="000E4940" w:rsidRDefault="000E4940" w:rsidP="000E4940">
      <w:pPr>
        <w:pStyle w:val="NormalIndent"/>
      </w:pPr>
    </w:p>
    <w:p w14:paraId="6C3D72DA" w14:textId="77777777" w:rsidR="00C64C86" w:rsidRDefault="001E5508" w:rsidP="00C64C86">
      <w:pPr>
        <w:pStyle w:val="NormalIndent"/>
        <w:keepNext/>
        <w:ind w:left="0"/>
      </w:pPr>
      <w:r>
        <w:rPr>
          <w:noProof/>
        </w:rPr>
        <w:pict w14:anchorId="732D7319">
          <v:shape id="_x0000_i1026" type="#_x0000_t75" style="width:453pt;height:344.25pt;visibility:visible">
            <v:imagedata r:id="rId13" o:title=""/>
          </v:shape>
        </w:pict>
      </w:r>
    </w:p>
    <w:p w14:paraId="238584C8" w14:textId="0DE2DDF7" w:rsidR="00C93B56" w:rsidRDefault="00C64C86" w:rsidP="00C64C86">
      <w:pPr>
        <w:pStyle w:val="Caption"/>
        <w:rPr>
          <w:noProof/>
        </w:rPr>
      </w:pPr>
      <w:r>
        <w:t xml:space="preserve">Figure </w:t>
      </w:r>
      <w:r>
        <w:fldChar w:fldCharType="begin"/>
      </w:r>
      <w:r>
        <w:instrText xml:space="preserve"> SEQ Figure \* ARABIC </w:instrText>
      </w:r>
      <w:r>
        <w:fldChar w:fldCharType="separate"/>
      </w:r>
      <w:r>
        <w:rPr>
          <w:noProof/>
        </w:rPr>
        <w:t>2</w:t>
      </w:r>
      <w:r>
        <w:fldChar w:fldCharType="end"/>
      </w:r>
      <w:r>
        <w:t>: Solutions Considered</w:t>
      </w:r>
    </w:p>
    <w:p w14:paraId="3D013A7C" w14:textId="77777777" w:rsidR="00C93B56" w:rsidRDefault="00C93B56" w:rsidP="00E27835">
      <w:pPr>
        <w:pStyle w:val="NormalIndent"/>
        <w:rPr>
          <w:noProof/>
        </w:rPr>
      </w:pPr>
    </w:p>
    <w:p w14:paraId="6E282833" w14:textId="27E83EB1" w:rsidR="007D772B" w:rsidRDefault="007D772B" w:rsidP="00E27835">
      <w:pPr>
        <w:pStyle w:val="NormalIndent"/>
        <w:rPr>
          <w:noProof/>
        </w:rPr>
      </w:pPr>
      <w:r>
        <w:rPr>
          <w:noProof/>
        </w:rPr>
        <w:t>There are two factors that currently determine if a</w:t>
      </w:r>
      <w:r w:rsidR="00E27835">
        <w:rPr>
          <w:noProof/>
        </w:rPr>
        <w:t xml:space="preserve"> unit with a given</w:t>
      </w:r>
      <w:r>
        <w:rPr>
          <w:noProof/>
        </w:rPr>
        <w:t xml:space="preserve"> tenure type must be implemented in Commercial Management (CM)</w:t>
      </w:r>
      <w:r w:rsidR="00A6202F">
        <w:rPr>
          <w:noProof/>
        </w:rPr>
        <w:t>, as the Residential Management module does not cater for them:</w:t>
      </w:r>
    </w:p>
    <w:p w14:paraId="16B3E3B6" w14:textId="117E2AAD" w:rsidR="00A6202F" w:rsidRDefault="007D772B" w:rsidP="00A6202F">
      <w:pPr>
        <w:pStyle w:val="NormalIndent"/>
        <w:numPr>
          <w:ilvl w:val="0"/>
          <w:numId w:val="33"/>
        </w:numPr>
      </w:pPr>
      <w:r>
        <w:t xml:space="preserve">It has a weekly </w:t>
      </w:r>
      <w:r w:rsidR="00A6202F">
        <w:t>billing frequency</w:t>
      </w:r>
      <w:r w:rsidR="006B1C70">
        <w:t xml:space="preserve"> (highlighted in red in the above table)</w:t>
      </w:r>
      <w:r w:rsidR="00A6202F">
        <w:t>.</w:t>
      </w:r>
    </w:p>
    <w:p w14:paraId="6C109925" w14:textId="405ACF71" w:rsidR="00A6202F" w:rsidRDefault="00A6202F" w:rsidP="00A6202F">
      <w:pPr>
        <w:pStyle w:val="NormalIndent"/>
        <w:numPr>
          <w:ilvl w:val="0"/>
          <w:numId w:val="33"/>
        </w:numPr>
      </w:pPr>
      <w:r>
        <w:t>Service charges apply and are recoverable.</w:t>
      </w:r>
    </w:p>
    <w:p w14:paraId="76D4F6B7" w14:textId="2EFF67C7" w:rsidR="00A6202F" w:rsidRDefault="00301749" w:rsidP="00A6202F">
      <w:pPr>
        <w:pStyle w:val="NormalIndent"/>
      </w:pPr>
      <w:r>
        <w:t xml:space="preserve">As is typical for most </w:t>
      </w:r>
      <w:r w:rsidR="00624093">
        <w:t xml:space="preserve">asset classes with service charges, common charges need to be apportioned across all units and spaces, even those that are not </w:t>
      </w:r>
      <w:r w:rsidR="0051658A">
        <w:t xml:space="preserve">recoverable or </w:t>
      </w:r>
      <w:r w:rsidR="003A3E21">
        <w:t>void</w:t>
      </w:r>
      <w:r w:rsidR="0051658A">
        <w:t>. This is especially challenging in assets where multiple tenure types apply.</w:t>
      </w:r>
    </w:p>
    <w:p w14:paraId="173D0E71" w14:textId="574A1ED2" w:rsidR="004B7249" w:rsidRDefault="004B7249" w:rsidP="00A6202F">
      <w:pPr>
        <w:pStyle w:val="NormalIndent"/>
      </w:pPr>
      <w:r>
        <w:t>For example, the following different types of tenures may all apply within the same property:</w:t>
      </w:r>
    </w:p>
    <w:p w14:paraId="11246248" w14:textId="0A031C11" w:rsidR="004B7249" w:rsidRDefault="004B7249" w:rsidP="00A6202F">
      <w:pPr>
        <w:pStyle w:val="NormalIndent"/>
      </w:pPr>
    </w:p>
    <w:p w14:paraId="345860CA" w14:textId="3D85EA18" w:rsidR="00CC43B6" w:rsidRDefault="00CC43B6" w:rsidP="00A6202F">
      <w:pPr>
        <w:pStyle w:val="NormalIndent"/>
      </w:pPr>
    </w:p>
    <w:p w14:paraId="557263D9" w14:textId="206D6077" w:rsidR="00CC43B6" w:rsidRDefault="00CC43B6" w:rsidP="00A6202F">
      <w:pPr>
        <w:pStyle w:val="NormalIndent"/>
      </w:pPr>
    </w:p>
    <w:p w14:paraId="1F1A6689" w14:textId="77777777" w:rsidR="00CC43B6" w:rsidRDefault="00CC43B6" w:rsidP="00A6202F">
      <w:pPr>
        <w:pStyle w:val="NormalIndent"/>
      </w:pPr>
    </w:p>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0"/>
        <w:gridCol w:w="1623"/>
        <w:gridCol w:w="3196"/>
        <w:gridCol w:w="1729"/>
      </w:tblGrid>
      <w:tr w:rsidR="00CA7FF2" w14:paraId="4813A121" w14:textId="77777777" w:rsidTr="00CC43B6">
        <w:trPr>
          <w:cantSplit/>
        </w:trPr>
        <w:tc>
          <w:tcPr>
            <w:tcW w:w="0" w:type="auto"/>
            <w:shd w:val="clear" w:color="auto" w:fill="auto"/>
          </w:tcPr>
          <w:p w14:paraId="4024131B" w14:textId="1F54C1E9" w:rsidR="004B7249" w:rsidRPr="00CA7FF2" w:rsidRDefault="004B7249" w:rsidP="00CA7FF2">
            <w:pPr>
              <w:pStyle w:val="NormalIndent"/>
              <w:ind w:left="0"/>
              <w:rPr>
                <w:b/>
                <w:bCs/>
              </w:rPr>
            </w:pPr>
            <w:r w:rsidRPr="00CA7FF2">
              <w:rPr>
                <w:b/>
                <w:bCs/>
              </w:rPr>
              <w:t>Tenure Type</w:t>
            </w:r>
          </w:p>
        </w:tc>
        <w:tc>
          <w:tcPr>
            <w:tcW w:w="0" w:type="auto"/>
            <w:shd w:val="clear" w:color="auto" w:fill="auto"/>
          </w:tcPr>
          <w:p w14:paraId="42FDCEF8" w14:textId="51174D31" w:rsidR="004B7249" w:rsidRPr="00CA7FF2" w:rsidRDefault="004B7249" w:rsidP="00CA7FF2">
            <w:pPr>
              <w:pStyle w:val="NormalIndent"/>
              <w:ind w:left="0"/>
              <w:rPr>
                <w:b/>
                <w:bCs/>
              </w:rPr>
            </w:pPr>
            <w:r w:rsidRPr="00CA7FF2">
              <w:rPr>
                <w:b/>
                <w:bCs/>
              </w:rPr>
              <w:t xml:space="preserve">Rent </w:t>
            </w:r>
            <w:r w:rsidR="007076D5" w:rsidRPr="00CA7FF2">
              <w:rPr>
                <w:b/>
                <w:bCs/>
              </w:rPr>
              <w:t>Freq</w:t>
            </w:r>
          </w:p>
        </w:tc>
        <w:tc>
          <w:tcPr>
            <w:tcW w:w="0" w:type="auto"/>
            <w:shd w:val="clear" w:color="auto" w:fill="auto"/>
          </w:tcPr>
          <w:p w14:paraId="1DF9E9F8" w14:textId="433B7015" w:rsidR="004B7249" w:rsidRPr="00CA7FF2" w:rsidRDefault="004B7249" w:rsidP="00CA7FF2">
            <w:pPr>
              <w:pStyle w:val="NormalIndent"/>
              <w:ind w:left="0"/>
              <w:rPr>
                <w:b/>
                <w:bCs/>
              </w:rPr>
            </w:pPr>
            <w:r w:rsidRPr="00CA7FF2">
              <w:rPr>
                <w:b/>
                <w:bCs/>
              </w:rPr>
              <w:t>Service Charges</w:t>
            </w:r>
          </w:p>
        </w:tc>
        <w:tc>
          <w:tcPr>
            <w:tcW w:w="0" w:type="auto"/>
            <w:shd w:val="clear" w:color="auto" w:fill="auto"/>
          </w:tcPr>
          <w:p w14:paraId="17919BD3" w14:textId="064FACA9" w:rsidR="004B7249" w:rsidRPr="00CA7FF2" w:rsidRDefault="0072720B" w:rsidP="00CA7FF2">
            <w:pPr>
              <w:pStyle w:val="NormalIndent"/>
              <w:ind w:left="0"/>
              <w:rPr>
                <w:b/>
                <w:bCs/>
              </w:rPr>
            </w:pPr>
            <w:r w:rsidRPr="00CA7FF2">
              <w:rPr>
                <w:b/>
                <w:bCs/>
              </w:rPr>
              <w:t>Customer</w:t>
            </w:r>
          </w:p>
        </w:tc>
      </w:tr>
      <w:tr w:rsidR="00CA7FF2" w14:paraId="674A5CA1" w14:textId="77777777" w:rsidTr="00CC43B6">
        <w:trPr>
          <w:cantSplit/>
        </w:trPr>
        <w:tc>
          <w:tcPr>
            <w:tcW w:w="0" w:type="auto"/>
            <w:shd w:val="clear" w:color="auto" w:fill="auto"/>
          </w:tcPr>
          <w:p w14:paraId="341940A9" w14:textId="36CCBE18" w:rsidR="004B7249" w:rsidRDefault="00A908E4" w:rsidP="00CA7FF2">
            <w:pPr>
              <w:pStyle w:val="NormalIndent"/>
              <w:ind w:left="0"/>
            </w:pPr>
            <w:r>
              <w:t>AST</w:t>
            </w:r>
          </w:p>
        </w:tc>
        <w:tc>
          <w:tcPr>
            <w:tcW w:w="0" w:type="auto"/>
            <w:shd w:val="clear" w:color="auto" w:fill="auto"/>
          </w:tcPr>
          <w:p w14:paraId="47D26CC9" w14:textId="2921D5D3" w:rsidR="004B7249" w:rsidRDefault="00A908E4" w:rsidP="00CA7FF2">
            <w:pPr>
              <w:pStyle w:val="NormalIndent"/>
              <w:ind w:left="0"/>
            </w:pPr>
            <w:r>
              <w:t>Monthly</w:t>
            </w:r>
          </w:p>
        </w:tc>
        <w:tc>
          <w:tcPr>
            <w:tcW w:w="0" w:type="auto"/>
            <w:shd w:val="clear" w:color="auto" w:fill="auto"/>
          </w:tcPr>
          <w:p w14:paraId="6EA4293E" w14:textId="129F16B6" w:rsidR="004B7249" w:rsidRDefault="00A908E4" w:rsidP="00CA7FF2">
            <w:pPr>
              <w:pStyle w:val="NormalIndent"/>
              <w:ind w:left="0"/>
            </w:pPr>
            <w:r>
              <w:t>No</w:t>
            </w:r>
            <w:r w:rsidR="007512F1">
              <w:t xml:space="preserve"> (common charges apportioned but not recoverable)</w:t>
            </w:r>
          </w:p>
        </w:tc>
        <w:tc>
          <w:tcPr>
            <w:tcW w:w="0" w:type="auto"/>
            <w:shd w:val="clear" w:color="auto" w:fill="auto"/>
          </w:tcPr>
          <w:p w14:paraId="2ACF21A4" w14:textId="1B55E21D" w:rsidR="004B7249" w:rsidRDefault="0079545A" w:rsidP="00CA7FF2">
            <w:pPr>
              <w:pStyle w:val="NormalIndent"/>
              <w:ind w:left="0"/>
            </w:pPr>
            <w:r>
              <w:t>Pri</w:t>
            </w:r>
            <w:r w:rsidR="007C2A1F">
              <w:t xml:space="preserve">vate </w:t>
            </w:r>
            <w:r w:rsidR="00F14D50">
              <w:t>tenant</w:t>
            </w:r>
          </w:p>
        </w:tc>
      </w:tr>
      <w:tr w:rsidR="00CA7FF2" w14:paraId="46110CCB" w14:textId="77777777" w:rsidTr="00CC43B6">
        <w:trPr>
          <w:cantSplit/>
        </w:trPr>
        <w:tc>
          <w:tcPr>
            <w:tcW w:w="0" w:type="auto"/>
            <w:shd w:val="clear" w:color="auto" w:fill="auto"/>
          </w:tcPr>
          <w:p w14:paraId="2675CE9A" w14:textId="6B392A9F" w:rsidR="007076D5" w:rsidRDefault="007076D5" w:rsidP="00CA7FF2">
            <w:pPr>
              <w:pStyle w:val="NormalIndent"/>
              <w:ind w:left="0"/>
            </w:pPr>
            <w:r>
              <w:t>Regulated</w:t>
            </w:r>
          </w:p>
        </w:tc>
        <w:tc>
          <w:tcPr>
            <w:tcW w:w="0" w:type="auto"/>
            <w:shd w:val="clear" w:color="auto" w:fill="auto"/>
          </w:tcPr>
          <w:p w14:paraId="1083C031" w14:textId="3C235B8A" w:rsidR="007076D5" w:rsidRDefault="007076D5" w:rsidP="00CA7FF2">
            <w:pPr>
              <w:pStyle w:val="NormalIndent"/>
              <w:ind w:left="0"/>
            </w:pPr>
            <w:r>
              <w:t>Variable</w:t>
            </w:r>
            <w:r w:rsidR="007512F1">
              <w:t xml:space="preserve"> incl. Weekly</w:t>
            </w:r>
          </w:p>
        </w:tc>
        <w:tc>
          <w:tcPr>
            <w:tcW w:w="0" w:type="auto"/>
            <w:shd w:val="clear" w:color="auto" w:fill="auto"/>
          </w:tcPr>
          <w:p w14:paraId="2970CDE7" w14:textId="75CC741C" w:rsidR="007076D5" w:rsidRDefault="007076D5" w:rsidP="00CA7FF2">
            <w:pPr>
              <w:pStyle w:val="NormalIndent"/>
              <w:ind w:left="0"/>
            </w:pPr>
            <w:r>
              <w:t>Yes (Within Rent)</w:t>
            </w:r>
          </w:p>
        </w:tc>
        <w:tc>
          <w:tcPr>
            <w:tcW w:w="0" w:type="auto"/>
            <w:shd w:val="clear" w:color="auto" w:fill="auto"/>
          </w:tcPr>
          <w:p w14:paraId="6797CFF0" w14:textId="486CBDA6" w:rsidR="007076D5" w:rsidRDefault="004E0A92" w:rsidP="00CA7FF2">
            <w:pPr>
              <w:pStyle w:val="NormalIndent"/>
              <w:ind w:left="0"/>
            </w:pPr>
            <w:r>
              <w:t>Private tenant</w:t>
            </w:r>
          </w:p>
        </w:tc>
      </w:tr>
      <w:tr w:rsidR="00613D54" w14:paraId="0A0A50CE" w14:textId="77777777" w:rsidTr="00CC43B6">
        <w:trPr>
          <w:cantSplit/>
        </w:trPr>
        <w:tc>
          <w:tcPr>
            <w:tcW w:w="0" w:type="auto"/>
            <w:shd w:val="clear" w:color="auto" w:fill="auto"/>
          </w:tcPr>
          <w:p w14:paraId="0BDCF30A" w14:textId="60F22374" w:rsidR="004E0A92" w:rsidRDefault="004E0A92" w:rsidP="00CA7FF2">
            <w:pPr>
              <w:pStyle w:val="NormalIndent"/>
              <w:ind w:left="0"/>
            </w:pPr>
            <w:r>
              <w:t>AST - Affordable</w:t>
            </w:r>
          </w:p>
        </w:tc>
        <w:tc>
          <w:tcPr>
            <w:tcW w:w="0" w:type="auto"/>
            <w:shd w:val="clear" w:color="auto" w:fill="auto"/>
          </w:tcPr>
          <w:p w14:paraId="36648101" w14:textId="15ECDB3B" w:rsidR="004E0A92" w:rsidRDefault="00332D1B" w:rsidP="00CA7FF2">
            <w:pPr>
              <w:pStyle w:val="NormalIndent"/>
              <w:ind w:left="0"/>
            </w:pPr>
            <w:r>
              <w:t>Monthly</w:t>
            </w:r>
          </w:p>
        </w:tc>
        <w:tc>
          <w:tcPr>
            <w:tcW w:w="0" w:type="auto"/>
            <w:shd w:val="clear" w:color="auto" w:fill="auto"/>
          </w:tcPr>
          <w:p w14:paraId="48B5C9F2" w14:textId="1F3D1AA5" w:rsidR="004E0A92" w:rsidRDefault="00D40A5E" w:rsidP="00CA7FF2">
            <w:pPr>
              <w:pStyle w:val="NormalIndent"/>
              <w:ind w:left="0"/>
            </w:pPr>
            <w:r>
              <w:t xml:space="preserve">Yes (but SC+Rent </w:t>
            </w:r>
            <w:r w:rsidR="002D4033">
              <w:t>capped at 80% market rate)</w:t>
            </w:r>
          </w:p>
        </w:tc>
        <w:tc>
          <w:tcPr>
            <w:tcW w:w="0" w:type="auto"/>
            <w:shd w:val="clear" w:color="auto" w:fill="auto"/>
          </w:tcPr>
          <w:p w14:paraId="011126CE" w14:textId="38DC4A8A" w:rsidR="004E0A92" w:rsidRDefault="00C36D22" w:rsidP="00CA7FF2">
            <w:pPr>
              <w:pStyle w:val="NormalIndent"/>
              <w:ind w:left="0"/>
            </w:pPr>
            <w:r>
              <w:t>Private tenant</w:t>
            </w:r>
          </w:p>
        </w:tc>
      </w:tr>
      <w:tr w:rsidR="00CA7FF2" w14:paraId="19A0F748" w14:textId="77777777" w:rsidTr="00CC43B6">
        <w:trPr>
          <w:cantSplit/>
        </w:trPr>
        <w:tc>
          <w:tcPr>
            <w:tcW w:w="0" w:type="auto"/>
            <w:shd w:val="clear" w:color="auto" w:fill="auto"/>
          </w:tcPr>
          <w:p w14:paraId="2AD07457" w14:textId="392B8879" w:rsidR="004B7249" w:rsidRDefault="00B8117F" w:rsidP="00CA7FF2">
            <w:pPr>
              <w:pStyle w:val="NormalIndent"/>
              <w:ind w:left="0"/>
            </w:pPr>
            <w:r>
              <w:t>Leasehold</w:t>
            </w:r>
            <w:r w:rsidR="00613D54">
              <w:t>, Nil Ground Rent</w:t>
            </w:r>
          </w:p>
        </w:tc>
        <w:tc>
          <w:tcPr>
            <w:tcW w:w="0" w:type="auto"/>
            <w:shd w:val="clear" w:color="auto" w:fill="auto"/>
          </w:tcPr>
          <w:p w14:paraId="1A0BFE02" w14:textId="123F4965" w:rsidR="004B7249" w:rsidRDefault="00B8117F" w:rsidP="00CA7FF2">
            <w:pPr>
              <w:pStyle w:val="NormalIndent"/>
              <w:ind w:left="0"/>
            </w:pPr>
            <w:r>
              <w:t>N/A</w:t>
            </w:r>
          </w:p>
        </w:tc>
        <w:tc>
          <w:tcPr>
            <w:tcW w:w="0" w:type="auto"/>
            <w:shd w:val="clear" w:color="auto" w:fill="auto"/>
          </w:tcPr>
          <w:p w14:paraId="591C4261" w14:textId="1E8E9624" w:rsidR="004B7249" w:rsidRDefault="00B8117F" w:rsidP="00CA7FF2">
            <w:pPr>
              <w:pStyle w:val="NormalIndent"/>
              <w:ind w:left="0"/>
            </w:pPr>
            <w:r>
              <w:t>Yes</w:t>
            </w:r>
          </w:p>
        </w:tc>
        <w:tc>
          <w:tcPr>
            <w:tcW w:w="0" w:type="auto"/>
            <w:shd w:val="clear" w:color="auto" w:fill="auto"/>
          </w:tcPr>
          <w:p w14:paraId="2C2B7129" w14:textId="34298A30" w:rsidR="004B7249" w:rsidRDefault="009452FC" w:rsidP="00CA7FF2">
            <w:pPr>
              <w:pStyle w:val="NormalIndent"/>
              <w:ind w:left="0"/>
            </w:pPr>
            <w:r>
              <w:t>Private Leaseholder</w:t>
            </w:r>
          </w:p>
        </w:tc>
      </w:tr>
      <w:tr w:rsidR="00CA7FF2" w14:paraId="34E11285" w14:textId="77777777" w:rsidTr="00CC43B6">
        <w:trPr>
          <w:cantSplit/>
        </w:trPr>
        <w:tc>
          <w:tcPr>
            <w:tcW w:w="0" w:type="auto"/>
            <w:shd w:val="clear" w:color="auto" w:fill="auto"/>
          </w:tcPr>
          <w:p w14:paraId="79028B6C" w14:textId="7202FB8F" w:rsidR="00B8117F" w:rsidRDefault="009819CF" w:rsidP="00CA7FF2">
            <w:pPr>
              <w:pStyle w:val="NormalIndent"/>
              <w:ind w:left="0"/>
            </w:pPr>
            <w:r>
              <w:t>Commercial</w:t>
            </w:r>
            <w:r w:rsidR="00061D9C">
              <w:t xml:space="preserve"> Lease</w:t>
            </w:r>
          </w:p>
        </w:tc>
        <w:tc>
          <w:tcPr>
            <w:tcW w:w="0" w:type="auto"/>
            <w:shd w:val="clear" w:color="auto" w:fill="auto"/>
          </w:tcPr>
          <w:p w14:paraId="71AB9AE1" w14:textId="6C319B78" w:rsidR="00B8117F" w:rsidRDefault="00061D9C" w:rsidP="00CA7FF2">
            <w:pPr>
              <w:pStyle w:val="NormalIndent"/>
              <w:ind w:left="0"/>
            </w:pPr>
            <w:r>
              <w:t>Quarterly or Monthly</w:t>
            </w:r>
          </w:p>
        </w:tc>
        <w:tc>
          <w:tcPr>
            <w:tcW w:w="0" w:type="auto"/>
            <w:shd w:val="clear" w:color="auto" w:fill="auto"/>
          </w:tcPr>
          <w:p w14:paraId="5F619243" w14:textId="2AA1C835" w:rsidR="00B8117F" w:rsidRDefault="009819CF" w:rsidP="00CA7FF2">
            <w:pPr>
              <w:pStyle w:val="NormalIndent"/>
              <w:ind w:left="0"/>
            </w:pPr>
            <w:r>
              <w:t>Yes</w:t>
            </w:r>
          </w:p>
        </w:tc>
        <w:tc>
          <w:tcPr>
            <w:tcW w:w="0" w:type="auto"/>
            <w:shd w:val="clear" w:color="auto" w:fill="auto"/>
          </w:tcPr>
          <w:p w14:paraId="3D34FD2A" w14:textId="16B50C14" w:rsidR="00B8117F" w:rsidRDefault="007C2A1F" w:rsidP="00CA7FF2">
            <w:pPr>
              <w:pStyle w:val="NormalIndent"/>
              <w:ind w:left="0"/>
            </w:pPr>
            <w:r>
              <w:t>Company</w:t>
            </w:r>
          </w:p>
        </w:tc>
      </w:tr>
    </w:tbl>
    <w:p w14:paraId="3D201570" w14:textId="77777777" w:rsidR="004B7249" w:rsidRDefault="004B7249" w:rsidP="00A6202F">
      <w:pPr>
        <w:pStyle w:val="NormalIndent"/>
      </w:pPr>
    </w:p>
    <w:p w14:paraId="2F9277B6" w14:textId="44AF9623" w:rsidR="006627E0" w:rsidRDefault="006627E0" w:rsidP="00A6202F">
      <w:pPr>
        <w:pStyle w:val="NormalIndent"/>
      </w:pPr>
      <w:r>
        <w:t xml:space="preserve">Shared Ownership properties also exist where </w:t>
      </w:r>
      <w:r w:rsidR="0072720B">
        <w:t>the customer owns only part of the unit and Grainger owns the other. This makes the customer both a tenant and leaseholder at the same time.</w:t>
      </w:r>
    </w:p>
    <w:p w14:paraId="49C193C3" w14:textId="67E74D6F" w:rsidR="0051658A" w:rsidRDefault="006F4051" w:rsidP="00A6202F">
      <w:pPr>
        <w:pStyle w:val="NormalIndent"/>
      </w:pPr>
      <w:r>
        <w:t xml:space="preserve">Further, different tenure types may fall under a different legal entity associated with the same property. </w:t>
      </w:r>
      <w:r w:rsidR="005C71DD">
        <w:t>Where a unit transitions from a regulated tenancy to a leasehold, this further complicates the process as the unit must be ‘sold’ to the other entity.</w:t>
      </w:r>
    </w:p>
    <w:p w14:paraId="65FA7688" w14:textId="6D5661C8" w:rsidR="00FA3EF8" w:rsidRDefault="005C71DD" w:rsidP="00FA3EF8">
      <w:pPr>
        <w:pStyle w:val="NormalIndent"/>
      </w:pPr>
      <w:r>
        <w:t>F</w:t>
      </w:r>
      <w:r w:rsidR="00E27835">
        <w:t xml:space="preserve">inally, this structure creates additional complexity at the consolidation and reporting stage, in order to report on the asset as a whole. </w:t>
      </w:r>
    </w:p>
    <w:p w14:paraId="0575CC8D" w14:textId="30370D5E" w:rsidR="009D738F" w:rsidRDefault="009D738F" w:rsidP="009D738F">
      <w:pPr>
        <w:pStyle w:val="Heading2"/>
      </w:pPr>
      <w:bookmarkStart w:id="6" w:name="_Toc65775593"/>
      <w:r>
        <w:t xml:space="preserve">Connect </w:t>
      </w:r>
      <w:r w:rsidR="00340575">
        <w:t>Platform</w:t>
      </w:r>
      <w:bookmarkEnd w:id="6"/>
    </w:p>
    <w:p w14:paraId="4B089103" w14:textId="22DC84B4" w:rsidR="00340575" w:rsidRDefault="006C0512" w:rsidP="00340575">
      <w:pPr>
        <w:pStyle w:val="NormalIndent"/>
      </w:pPr>
      <w:r>
        <w:t xml:space="preserve">While MRI Platform X forms the core of the Connect ecosystem, it is by no means the only consideration. </w:t>
      </w:r>
      <w:r w:rsidR="000D6FF6">
        <w:t xml:space="preserve">Integrations </w:t>
      </w:r>
      <w:r w:rsidR="00164133">
        <w:t>either have already been built or are required for early phases to and from the following systems:</w:t>
      </w:r>
    </w:p>
    <w:p w14:paraId="77E08310" w14:textId="264B93AC" w:rsidR="009E1226" w:rsidRDefault="00FD31A8" w:rsidP="009E1226">
      <w:pPr>
        <w:pStyle w:val="NormalIndent"/>
        <w:numPr>
          <w:ilvl w:val="0"/>
          <w:numId w:val="39"/>
        </w:numPr>
      </w:pPr>
      <w:r>
        <w:t>FSI</w:t>
      </w:r>
      <w:r w:rsidR="00F1345E">
        <w:t xml:space="preserve"> Concept Evolution</w:t>
      </w:r>
      <w:r>
        <w:t xml:space="preserve">: </w:t>
      </w:r>
      <w:r w:rsidR="009B558C">
        <w:t>property and supplier management, work orders</w:t>
      </w:r>
    </w:p>
    <w:p w14:paraId="3C6CEEAC" w14:textId="699987FA" w:rsidR="00C85C23" w:rsidRDefault="00C85C23" w:rsidP="009E1226">
      <w:pPr>
        <w:pStyle w:val="NormalIndent"/>
        <w:numPr>
          <w:ilvl w:val="0"/>
          <w:numId w:val="39"/>
        </w:numPr>
      </w:pPr>
      <w:r>
        <w:t>Pro</w:t>
      </w:r>
      <w:r w:rsidR="00940FD6">
        <w:t>A</w:t>
      </w:r>
      <w:r>
        <w:t>ctis: procure to pay – purchase orders, invoice processing</w:t>
      </w:r>
    </w:p>
    <w:p w14:paraId="112E9231" w14:textId="30E49EFD" w:rsidR="008C5282" w:rsidRDefault="007A0A5D" w:rsidP="009E1226">
      <w:pPr>
        <w:pStyle w:val="NormalIndent"/>
        <w:numPr>
          <w:ilvl w:val="0"/>
          <w:numId w:val="39"/>
        </w:numPr>
      </w:pPr>
      <w:r>
        <w:t>Salesforce</w:t>
      </w:r>
      <w:r w:rsidR="001638B7">
        <w:t>: marketing and lead-to-lease pipeline</w:t>
      </w:r>
    </w:p>
    <w:p w14:paraId="4DB41E70" w14:textId="2537518E" w:rsidR="001638B7" w:rsidRDefault="00984F08" w:rsidP="009E1226">
      <w:pPr>
        <w:pStyle w:val="NormalIndent"/>
        <w:numPr>
          <w:ilvl w:val="0"/>
          <w:numId w:val="39"/>
        </w:numPr>
      </w:pPr>
      <w:r>
        <w:t>Leasing Portal</w:t>
      </w:r>
      <w:r w:rsidR="003D3D53">
        <w:t xml:space="preserve">, </w:t>
      </w:r>
      <w:r>
        <w:t>MyGrainger portal: customer-facing digital interfaces</w:t>
      </w:r>
    </w:p>
    <w:p w14:paraId="3AB7C223" w14:textId="2F2E47C2" w:rsidR="00984F08" w:rsidRDefault="003D3D53" w:rsidP="009E1226">
      <w:pPr>
        <w:pStyle w:val="NormalIndent"/>
        <w:numPr>
          <w:ilvl w:val="0"/>
          <w:numId w:val="39"/>
        </w:numPr>
      </w:pPr>
      <w:r>
        <w:t>Asperato, GoCardless: payment platforms</w:t>
      </w:r>
    </w:p>
    <w:p w14:paraId="1D83AC87" w14:textId="0004996C" w:rsidR="003D3D53" w:rsidRDefault="0023732C" w:rsidP="009E1226">
      <w:pPr>
        <w:pStyle w:val="NormalIndent"/>
        <w:numPr>
          <w:ilvl w:val="0"/>
          <w:numId w:val="39"/>
        </w:numPr>
      </w:pPr>
      <w:r>
        <w:t>Docushare: Document storage</w:t>
      </w:r>
    </w:p>
    <w:p w14:paraId="330B9E6B" w14:textId="5662441E" w:rsidR="0057397C" w:rsidRDefault="0057397C" w:rsidP="0057397C">
      <w:pPr>
        <w:pStyle w:val="NormalIndent"/>
      </w:pPr>
      <w:r>
        <w:t xml:space="preserve">The integration is managed through a custom integration layer called GREP. </w:t>
      </w:r>
    </w:p>
    <w:p w14:paraId="42752762" w14:textId="77777777" w:rsidR="007F3BE2" w:rsidRDefault="001E5508" w:rsidP="007F3BE2">
      <w:pPr>
        <w:pStyle w:val="NormalIndent"/>
        <w:keepNext/>
        <w:ind w:left="0"/>
      </w:pPr>
      <w:r>
        <w:rPr>
          <w:noProof/>
        </w:rPr>
        <w:pict w14:anchorId="188BB472">
          <v:shape id="_x0000_i1027" type="#_x0000_t75" style="width:306.75pt;height:267pt;visibility:visible">
            <v:imagedata r:id="rId14" o:title=""/>
          </v:shape>
        </w:pict>
      </w:r>
    </w:p>
    <w:p w14:paraId="05F4B40D" w14:textId="0109AEB4" w:rsidR="006C0512" w:rsidRDefault="007F3BE2" w:rsidP="007F3BE2">
      <w:pPr>
        <w:pStyle w:val="Caption"/>
      </w:pPr>
      <w:r>
        <w:t xml:space="preserve">Figure </w:t>
      </w:r>
      <w:r>
        <w:fldChar w:fldCharType="begin"/>
      </w:r>
      <w:r>
        <w:instrText xml:space="preserve"> SEQ Figure \* ARABIC </w:instrText>
      </w:r>
      <w:r>
        <w:fldChar w:fldCharType="separate"/>
      </w:r>
      <w:r w:rsidR="00C64C86">
        <w:rPr>
          <w:noProof/>
        </w:rPr>
        <w:t>3</w:t>
      </w:r>
      <w:r>
        <w:fldChar w:fldCharType="end"/>
      </w:r>
      <w:r>
        <w:t>: Master Data Integration</w:t>
      </w:r>
      <w:r w:rsidR="00C64C86">
        <w:t xml:space="preserve"> – High Level Diagram</w:t>
      </w:r>
    </w:p>
    <w:p w14:paraId="61A69083" w14:textId="77777777" w:rsidR="007F3BE2" w:rsidRPr="007F3BE2" w:rsidRDefault="007F3BE2" w:rsidP="007F3BE2">
      <w:pPr>
        <w:rPr>
          <w:lang w:val="en-ZA"/>
        </w:rPr>
      </w:pPr>
    </w:p>
    <w:p w14:paraId="2076CE15" w14:textId="43D7393E" w:rsidR="004161DA" w:rsidRDefault="007F3BE2" w:rsidP="004161DA">
      <w:pPr>
        <w:pStyle w:val="NormalIndent"/>
      </w:pPr>
      <w:r>
        <w:t>It is important to note that changes to the MRI solution will have a knock-on impact to this integrated model</w:t>
      </w:r>
      <w:r w:rsidR="00840EF4">
        <w:t xml:space="preserve">. </w:t>
      </w:r>
    </w:p>
    <w:p w14:paraId="1D8BAB97" w14:textId="22BCF75C" w:rsidR="00840EF4" w:rsidRPr="004161DA" w:rsidRDefault="00840EF4" w:rsidP="004161DA">
      <w:pPr>
        <w:pStyle w:val="NormalIndent"/>
      </w:pPr>
      <w:r>
        <w:t xml:space="preserve">However, also of great relevance is the design of the GREP interface as a logic layer that </w:t>
      </w:r>
      <w:r w:rsidR="0030057F">
        <w:t xml:space="preserve">performs the mapping and applies the business logic between systems. </w:t>
      </w:r>
      <w:r w:rsidR="00C850F1">
        <w:t xml:space="preserve">The various systems are in essence unaware of the rules that are applied in translating between them. This design allows for adjustments to rules without </w:t>
      </w:r>
      <w:r w:rsidR="00F36314">
        <w:t>fundamentally changing the interfaces themselves.</w:t>
      </w:r>
    </w:p>
    <w:p w14:paraId="6EFE8F02" w14:textId="49D8B536" w:rsidR="009D738F" w:rsidRDefault="009D738F" w:rsidP="009D738F">
      <w:pPr>
        <w:pStyle w:val="NormalIndent"/>
      </w:pPr>
    </w:p>
    <w:p w14:paraId="220C085A" w14:textId="204DE031" w:rsidR="00263E0D" w:rsidRDefault="00263E0D" w:rsidP="00263E0D">
      <w:pPr>
        <w:pStyle w:val="Heading1"/>
      </w:pPr>
      <w:bookmarkStart w:id="7" w:name="_Toc65775594"/>
      <w:r>
        <w:t>Recommendation</w:t>
      </w:r>
      <w:bookmarkEnd w:id="7"/>
    </w:p>
    <w:p w14:paraId="669E7FF4" w14:textId="50D1EE00" w:rsidR="00263E0D" w:rsidRDefault="007E4EBF" w:rsidP="00263E0D">
      <w:pPr>
        <w:pStyle w:val="NormalIndent"/>
        <w:rPr>
          <w:b/>
          <w:bCs/>
        </w:rPr>
      </w:pPr>
      <w:r w:rsidRPr="006319B7">
        <w:rPr>
          <w:b/>
          <w:bCs/>
        </w:rPr>
        <w:t>If we</w:t>
      </w:r>
      <w:r w:rsidR="00B577AA" w:rsidRPr="006319B7">
        <w:rPr>
          <w:b/>
          <w:bCs/>
        </w:rPr>
        <w:t xml:space="preserve"> we</w:t>
      </w:r>
      <w:r w:rsidRPr="006319B7">
        <w:rPr>
          <w:b/>
          <w:bCs/>
        </w:rPr>
        <w:t>re</w:t>
      </w:r>
      <w:r w:rsidR="00B577AA" w:rsidRPr="006319B7">
        <w:rPr>
          <w:b/>
          <w:bCs/>
        </w:rPr>
        <w:t xml:space="preserve"> to </w:t>
      </w:r>
      <w:r w:rsidRPr="006319B7">
        <w:rPr>
          <w:b/>
          <w:bCs/>
        </w:rPr>
        <w:t>receive</w:t>
      </w:r>
      <w:r w:rsidR="00B577AA" w:rsidRPr="006319B7">
        <w:rPr>
          <w:b/>
          <w:bCs/>
        </w:rPr>
        <w:t xml:space="preserve"> a similar set of requirements </w:t>
      </w:r>
      <w:r w:rsidRPr="006319B7">
        <w:rPr>
          <w:b/>
          <w:bCs/>
        </w:rPr>
        <w:t xml:space="preserve">for a new client </w:t>
      </w:r>
      <w:r w:rsidR="00B577AA" w:rsidRPr="006319B7">
        <w:rPr>
          <w:b/>
          <w:bCs/>
        </w:rPr>
        <w:t xml:space="preserve">today, our recommendation would be to </w:t>
      </w:r>
      <w:r w:rsidRPr="006319B7">
        <w:rPr>
          <w:b/>
          <w:bCs/>
        </w:rPr>
        <w:t xml:space="preserve">use the CM module exclusively. </w:t>
      </w:r>
    </w:p>
    <w:p w14:paraId="20A457C9" w14:textId="466A59C4" w:rsidR="000A2345" w:rsidRDefault="000A2345" w:rsidP="00263E0D">
      <w:pPr>
        <w:pStyle w:val="NormalIndent"/>
      </w:pPr>
      <w:r>
        <w:t xml:space="preserve">It is worth reflecting that this was not brought before the design authority as a fourth option for consideration, </w:t>
      </w:r>
      <w:r w:rsidR="00EA25F5">
        <w:t>for many reasons:</w:t>
      </w:r>
    </w:p>
    <w:p w14:paraId="4A813A3D" w14:textId="331CBD7E" w:rsidR="00E66DDB" w:rsidRDefault="00E66DDB" w:rsidP="00E66DDB">
      <w:pPr>
        <w:pStyle w:val="NormalIndent"/>
        <w:numPr>
          <w:ilvl w:val="0"/>
          <w:numId w:val="36"/>
        </w:numPr>
      </w:pPr>
      <w:r>
        <w:t xml:space="preserve">Part of the front end – the ‘leasing journey’ – was designed with the assumption it would interface with the RM module. So moving the regulated tenancies out of RM would not create much of an impact (since </w:t>
      </w:r>
      <w:r w:rsidR="00DB3812">
        <w:t>Grainger</w:t>
      </w:r>
      <w:r>
        <w:t xml:space="preserve"> </w:t>
      </w:r>
      <w:r w:rsidR="00DB3812">
        <w:t>would not</w:t>
      </w:r>
      <w:r>
        <w:t xml:space="preserve"> be leasing new regulated / assured tenancies anyway) but moving them all would make us rework a lot of that integration.</w:t>
      </w:r>
    </w:p>
    <w:p w14:paraId="5AA41761" w14:textId="2916605B" w:rsidR="00E66DDB" w:rsidRDefault="00E66DDB" w:rsidP="00E66DDB">
      <w:pPr>
        <w:pStyle w:val="NormalIndent"/>
        <w:numPr>
          <w:ilvl w:val="0"/>
          <w:numId w:val="36"/>
        </w:numPr>
      </w:pPr>
      <w:r>
        <w:t xml:space="preserve">MRI had always been adamant about the strengths of RM to manage residential tenants – like the ability to recognise different people sharing a flat, and the ability to move them in / out independently of the overall tenancy. Indeed, when </w:t>
      </w:r>
      <w:r w:rsidR="00C640F9">
        <w:t>it</w:t>
      </w:r>
      <w:r>
        <w:t xml:space="preserve"> came to do the integration around contact data, the differences between RM and CM on how they treat / manage individuals made things much more complicated.</w:t>
      </w:r>
    </w:p>
    <w:p w14:paraId="6421C4E5" w14:textId="0BBD9FDD" w:rsidR="00E66DDB" w:rsidRDefault="00E66DDB" w:rsidP="00E66DDB">
      <w:pPr>
        <w:pStyle w:val="NormalIndent"/>
        <w:numPr>
          <w:ilvl w:val="0"/>
          <w:numId w:val="36"/>
        </w:numPr>
      </w:pPr>
      <w:r>
        <w:t xml:space="preserve">The aspect of GDPR compliance of the CM module (i.e. the lack thereof) also was a concern at the time. </w:t>
      </w:r>
      <w:r w:rsidR="00C640F9">
        <w:t>Grainger</w:t>
      </w:r>
      <w:r>
        <w:t xml:space="preserve"> devised solutions that would ensure </w:t>
      </w:r>
      <w:r w:rsidR="00C640F9">
        <w:t>the company</w:t>
      </w:r>
      <w:r>
        <w:t xml:space="preserve"> as a whole remained compliant by compensating for the MRI lac</w:t>
      </w:r>
      <w:r w:rsidR="00C640F9">
        <w:t>k.</w:t>
      </w:r>
      <w:r>
        <w:t xml:space="preserve"> But something like this always meant that the CM use for residential tenants would be a temporary / workaround kind of approach.</w:t>
      </w:r>
    </w:p>
    <w:p w14:paraId="32E00099" w14:textId="6ABA54BD" w:rsidR="00C640F9" w:rsidRDefault="00E66DDB" w:rsidP="009F5E54">
      <w:pPr>
        <w:pStyle w:val="NormalIndent"/>
      </w:pPr>
      <w:r>
        <w:t>All the above</w:t>
      </w:r>
      <w:r w:rsidR="00C640F9">
        <w:t>,</w:t>
      </w:r>
      <w:r>
        <w:t xml:space="preserve"> plus the perception that the regulated portfolio was a declining one (which would eventually disappear) reinforced the perception that RM – by having a more suitable way of handling the ‘core’ PRS tenants – was the right solution for the long term.</w:t>
      </w:r>
    </w:p>
    <w:p w14:paraId="0352624C" w14:textId="34264C4A" w:rsidR="007E4EBF" w:rsidRDefault="009F5E54" w:rsidP="00F8521E">
      <w:pPr>
        <w:pStyle w:val="NormalIndent"/>
      </w:pPr>
      <w:r>
        <w:t>We will therefore motivate our reasoning and address these concerns in detail in this section.</w:t>
      </w:r>
    </w:p>
    <w:p w14:paraId="2B61A789" w14:textId="724E5AEE" w:rsidR="0002321A" w:rsidRDefault="00944548" w:rsidP="00944548">
      <w:pPr>
        <w:pStyle w:val="Heading3"/>
      </w:pPr>
      <w:bookmarkStart w:id="8" w:name="_Toc65775595"/>
      <w:r>
        <w:t xml:space="preserve">Our </w:t>
      </w:r>
      <w:r w:rsidR="0058293A">
        <w:t>E</w:t>
      </w:r>
      <w:r>
        <w:t>xperience with RM and CM MRI Modules</w:t>
      </w:r>
      <w:bookmarkEnd w:id="8"/>
    </w:p>
    <w:p w14:paraId="086C85F5" w14:textId="05F7BF71" w:rsidR="006A5DA1" w:rsidRDefault="00675A7B" w:rsidP="00883FEA">
      <w:pPr>
        <w:pStyle w:val="NormalIndent"/>
        <w:ind w:left="851"/>
      </w:pPr>
      <w:r>
        <w:t xml:space="preserve">With over 10 years of experience working with MRI and becoming the first </w:t>
      </w:r>
      <w:r w:rsidR="00E23C0F">
        <w:t xml:space="preserve">Global </w:t>
      </w:r>
      <w:r w:rsidR="00284B78">
        <w:t>S</w:t>
      </w:r>
      <w:r w:rsidR="00E23C0F">
        <w:t xml:space="preserve">ervices </w:t>
      </w:r>
      <w:r w:rsidR="00284B78">
        <w:t>P</w:t>
      </w:r>
      <w:r w:rsidR="00E23C0F">
        <w:t xml:space="preserve">artner to be certified, </w:t>
      </w:r>
      <w:r w:rsidR="001F28A1">
        <w:t xml:space="preserve">RM and CM have been at the core </w:t>
      </w:r>
      <w:r w:rsidR="00287D7E">
        <w:t xml:space="preserve">of </w:t>
      </w:r>
      <w:r w:rsidR="00124FBE">
        <w:t xml:space="preserve">our primary service offerings. </w:t>
      </w:r>
      <w:r w:rsidR="004E058E">
        <w:t xml:space="preserve">We have worked with over 50 different </w:t>
      </w:r>
      <w:r w:rsidR="00ED284B">
        <w:t>clients</w:t>
      </w:r>
      <w:r w:rsidR="004E058E">
        <w:t xml:space="preserve"> </w:t>
      </w:r>
      <w:r w:rsidR="00516664">
        <w:t>in the US and EMEA regions</w:t>
      </w:r>
      <w:r w:rsidR="0014655C">
        <w:t>,</w:t>
      </w:r>
      <w:r w:rsidR="00516664">
        <w:t xml:space="preserve"> delivering </w:t>
      </w:r>
      <w:r w:rsidR="00AA7C1C">
        <w:t xml:space="preserve">more than </w:t>
      </w:r>
      <w:r w:rsidR="00D8358C">
        <w:t xml:space="preserve">130 </w:t>
      </w:r>
      <w:r w:rsidR="00EB3C40">
        <w:t>projects</w:t>
      </w:r>
      <w:r w:rsidR="006A5DA1">
        <w:t xml:space="preserve"> which include:</w:t>
      </w:r>
    </w:p>
    <w:p w14:paraId="3AFCBB5B" w14:textId="2B8A8560" w:rsidR="00350642" w:rsidRDefault="006A5DA1" w:rsidP="006A5DA1">
      <w:pPr>
        <w:pStyle w:val="NormalIndent"/>
        <w:numPr>
          <w:ilvl w:val="0"/>
          <w:numId w:val="40"/>
        </w:numPr>
      </w:pPr>
      <w:r>
        <w:t>Full system and single module implementations</w:t>
      </w:r>
    </w:p>
    <w:p w14:paraId="43E295F3" w14:textId="11EDD93B" w:rsidR="006A5DA1" w:rsidRDefault="006A5DA1" w:rsidP="006A5DA1">
      <w:pPr>
        <w:pStyle w:val="NormalIndent"/>
        <w:numPr>
          <w:ilvl w:val="0"/>
          <w:numId w:val="40"/>
        </w:numPr>
      </w:pPr>
      <w:r>
        <w:t>Customisations using the MRI Flexibility Toolkit</w:t>
      </w:r>
    </w:p>
    <w:p w14:paraId="6CB35890" w14:textId="5B6AF1D8" w:rsidR="006A5DA1" w:rsidRDefault="006A5DA1" w:rsidP="006A5DA1">
      <w:pPr>
        <w:pStyle w:val="NormalIndent"/>
        <w:numPr>
          <w:ilvl w:val="1"/>
          <w:numId w:val="40"/>
        </w:numPr>
      </w:pPr>
      <w:r>
        <w:t>Web Design</w:t>
      </w:r>
    </w:p>
    <w:p w14:paraId="30CCC5AF" w14:textId="462ED979" w:rsidR="006A5DA1" w:rsidRDefault="006A5DA1" w:rsidP="006A5DA1">
      <w:pPr>
        <w:pStyle w:val="NormalIndent"/>
        <w:numPr>
          <w:ilvl w:val="1"/>
          <w:numId w:val="40"/>
        </w:numPr>
      </w:pPr>
      <w:r>
        <w:t>Report Design</w:t>
      </w:r>
    </w:p>
    <w:p w14:paraId="0E59E3D5" w14:textId="79E11979" w:rsidR="006A5DA1" w:rsidRDefault="006A5DA1" w:rsidP="006A5DA1">
      <w:pPr>
        <w:pStyle w:val="NormalIndent"/>
        <w:numPr>
          <w:ilvl w:val="1"/>
          <w:numId w:val="40"/>
        </w:numPr>
      </w:pPr>
      <w:r>
        <w:t>Database Design</w:t>
      </w:r>
    </w:p>
    <w:p w14:paraId="4B9B30A4" w14:textId="3171DB9C" w:rsidR="006A5DA1" w:rsidRDefault="006A5DA1" w:rsidP="006A5DA1">
      <w:pPr>
        <w:pStyle w:val="NormalIndent"/>
        <w:numPr>
          <w:ilvl w:val="1"/>
          <w:numId w:val="40"/>
        </w:numPr>
      </w:pPr>
      <w:r>
        <w:t>Workflow Design</w:t>
      </w:r>
    </w:p>
    <w:p w14:paraId="7802B833" w14:textId="7E231984" w:rsidR="006A5DA1" w:rsidRDefault="006A5DA1" w:rsidP="006A5DA1">
      <w:pPr>
        <w:pStyle w:val="NormalIndent"/>
        <w:numPr>
          <w:ilvl w:val="0"/>
          <w:numId w:val="40"/>
        </w:numPr>
      </w:pPr>
      <w:r>
        <w:t>Version upgrades</w:t>
      </w:r>
    </w:p>
    <w:p w14:paraId="422B3026" w14:textId="39C51307" w:rsidR="006A5DA1" w:rsidRDefault="006A5DA1" w:rsidP="006A5DA1">
      <w:pPr>
        <w:pStyle w:val="NormalIndent"/>
        <w:numPr>
          <w:ilvl w:val="0"/>
          <w:numId w:val="40"/>
        </w:numPr>
      </w:pPr>
      <w:r>
        <w:t>Windows to web conversions</w:t>
      </w:r>
    </w:p>
    <w:p w14:paraId="5877BAB9" w14:textId="2522AD50" w:rsidR="006A5DA1" w:rsidRDefault="006A5DA1" w:rsidP="006A5DA1">
      <w:pPr>
        <w:pStyle w:val="NormalIndent"/>
        <w:numPr>
          <w:ilvl w:val="0"/>
          <w:numId w:val="40"/>
        </w:numPr>
      </w:pPr>
      <w:r>
        <w:t>Environment migrations, on-prem</w:t>
      </w:r>
      <w:r w:rsidR="007576DB">
        <w:t>ise</w:t>
      </w:r>
      <w:r>
        <w:t xml:space="preserve"> to SaaS</w:t>
      </w:r>
    </w:p>
    <w:p w14:paraId="7FB1A5ED" w14:textId="06060307" w:rsidR="006A5DA1" w:rsidRDefault="006A5DA1" w:rsidP="006A5DA1">
      <w:pPr>
        <w:pStyle w:val="NormalIndent"/>
        <w:numPr>
          <w:ilvl w:val="0"/>
          <w:numId w:val="40"/>
        </w:numPr>
      </w:pPr>
      <w:r>
        <w:t>Integrations using the MIX API platform</w:t>
      </w:r>
    </w:p>
    <w:p w14:paraId="2FAED213" w14:textId="372FCB1D" w:rsidR="006A5DA1" w:rsidRDefault="006A5DA1" w:rsidP="006A5DA1">
      <w:pPr>
        <w:pStyle w:val="NormalIndent"/>
        <w:numPr>
          <w:ilvl w:val="0"/>
          <w:numId w:val="40"/>
        </w:numPr>
      </w:pPr>
      <w:r>
        <w:t>General MRI Support</w:t>
      </w:r>
    </w:p>
    <w:p w14:paraId="3F8FE78F" w14:textId="61013F46" w:rsidR="006A5DA1" w:rsidRDefault="00683EC9" w:rsidP="006A5DA1">
      <w:pPr>
        <w:pStyle w:val="NormalIndent"/>
      </w:pPr>
      <w:r>
        <w:t xml:space="preserve">Having worked with MRI Software for a long period we have had front row seats </w:t>
      </w:r>
      <w:r w:rsidR="00E45A3A">
        <w:t>in</w:t>
      </w:r>
      <w:r>
        <w:t xml:space="preserve"> the </w:t>
      </w:r>
      <w:r w:rsidR="00257908">
        <w:t>evolution and development of</w:t>
      </w:r>
      <w:r>
        <w:t xml:space="preserve"> RM and CM. P</w:t>
      </w:r>
      <w:r w:rsidR="00281CBE">
        <w:t>reviously</w:t>
      </w:r>
      <w:r w:rsidR="007E4299">
        <w:t>,</w:t>
      </w:r>
      <w:r w:rsidR="00281CBE">
        <w:t xml:space="preserve"> the RM module w</w:t>
      </w:r>
      <w:r w:rsidR="004E54C1">
        <w:t>as</w:t>
      </w:r>
      <w:r w:rsidR="007E4299">
        <w:t xml:space="preserve"> </w:t>
      </w:r>
      <w:r w:rsidR="001F1C48">
        <w:t>sole</w:t>
      </w:r>
      <w:r w:rsidR="00E565A7">
        <w:t>l</w:t>
      </w:r>
      <w:r w:rsidR="001F1C48">
        <w:t xml:space="preserve">y </w:t>
      </w:r>
      <w:r w:rsidR="004E54C1">
        <w:t xml:space="preserve">available </w:t>
      </w:r>
      <w:r w:rsidR="007E4299">
        <w:t xml:space="preserve">to </w:t>
      </w:r>
      <w:r w:rsidR="004E54C1">
        <w:t>the US</w:t>
      </w:r>
      <w:r w:rsidR="007E4299">
        <w:t xml:space="preserve"> regio</w:t>
      </w:r>
      <w:r w:rsidR="00E565A7">
        <w:t>n</w:t>
      </w:r>
      <w:r w:rsidR="007E4299">
        <w:t>. This meant that all other regions</w:t>
      </w:r>
      <w:r w:rsidR="00A2177C">
        <w:t>,</w:t>
      </w:r>
      <w:r w:rsidR="007E4299">
        <w:t xml:space="preserve"> including EMEA</w:t>
      </w:r>
      <w:r w:rsidR="00E565A7">
        <w:t>,</w:t>
      </w:r>
      <w:r w:rsidR="007E4299">
        <w:t xml:space="preserve"> </w:t>
      </w:r>
      <w:r w:rsidR="00FC7504">
        <w:t xml:space="preserve">were limited </w:t>
      </w:r>
      <w:r w:rsidR="007D734C">
        <w:t xml:space="preserve">to CM to </w:t>
      </w:r>
      <w:r w:rsidR="00B154D6">
        <w:t>manage Residential, Commercial and Retail portfolios.</w:t>
      </w:r>
      <w:r w:rsidR="002939EE">
        <w:t xml:space="preserve"> Many of our</w:t>
      </w:r>
      <w:r w:rsidR="004E4FD8">
        <w:t xml:space="preserve"> EMEA region</w:t>
      </w:r>
      <w:r w:rsidR="002939EE">
        <w:t xml:space="preserve"> customers</w:t>
      </w:r>
      <w:r w:rsidR="004E4FD8">
        <w:t xml:space="preserve"> to this day are still able to </w:t>
      </w:r>
      <w:r w:rsidR="00726A00">
        <w:t>make use of CM to man</w:t>
      </w:r>
      <w:r w:rsidR="00E565A7">
        <w:t>a</w:t>
      </w:r>
      <w:r w:rsidR="00726A00">
        <w:t>ge their mixed</w:t>
      </w:r>
      <w:r w:rsidR="00E565A7">
        <w:t>-</w:t>
      </w:r>
      <w:r w:rsidR="00726A00">
        <w:t>use portfolios.</w:t>
      </w:r>
    </w:p>
    <w:p w14:paraId="0EB5BC41" w14:textId="05440DAD" w:rsidR="00284B78" w:rsidRDefault="00726A00" w:rsidP="00A21C1D">
      <w:pPr>
        <w:pStyle w:val="NormalIndent"/>
      </w:pPr>
      <w:r>
        <w:t>Although in rece</w:t>
      </w:r>
      <w:r w:rsidR="00E565A7">
        <w:t>n</w:t>
      </w:r>
      <w:r>
        <w:t>t years, MRI Software has release</w:t>
      </w:r>
      <w:r w:rsidR="00E565A7">
        <w:t>d</w:t>
      </w:r>
      <w:r w:rsidR="00C710F3">
        <w:t xml:space="preserve"> a </w:t>
      </w:r>
      <w:r w:rsidR="007958FC">
        <w:t>UK version of R</w:t>
      </w:r>
      <w:r w:rsidR="00A36082">
        <w:t>M</w:t>
      </w:r>
      <w:r w:rsidR="003423CB">
        <w:t xml:space="preserve">, the product is still </w:t>
      </w:r>
      <w:r w:rsidR="006A0595">
        <w:t>finding</w:t>
      </w:r>
      <w:r w:rsidR="003423CB">
        <w:t xml:space="preserve"> </w:t>
      </w:r>
      <w:r w:rsidR="00A4565C">
        <w:t xml:space="preserve">its </w:t>
      </w:r>
      <w:r w:rsidR="006A0595">
        <w:t>feet in the market</w:t>
      </w:r>
      <w:r w:rsidR="00FD4EB8">
        <w:t>.</w:t>
      </w:r>
      <w:r w:rsidR="00A4565C">
        <w:t xml:space="preserve"> </w:t>
      </w:r>
      <w:r w:rsidR="005E4F5F">
        <w:t xml:space="preserve">We </w:t>
      </w:r>
      <w:r w:rsidR="0055119F">
        <w:t>do not</w:t>
      </w:r>
      <w:r w:rsidR="0003050F">
        <w:t xml:space="preserve"> doub</w:t>
      </w:r>
      <w:r w:rsidR="005E4F5F">
        <w:t>t that</w:t>
      </w:r>
      <w:r w:rsidR="0014655C">
        <w:t xml:space="preserve"> in the future</w:t>
      </w:r>
      <w:r w:rsidR="00724B84">
        <w:t>,</w:t>
      </w:r>
      <w:r w:rsidR="00083144">
        <w:t xml:space="preserve"> </w:t>
      </w:r>
      <w:r w:rsidR="0014655C">
        <w:t xml:space="preserve">MRI </w:t>
      </w:r>
      <w:r w:rsidR="00A87FC1">
        <w:t>w</w:t>
      </w:r>
      <w:r w:rsidR="00083144">
        <w:t xml:space="preserve">ill </w:t>
      </w:r>
      <w:r w:rsidR="0003050F">
        <w:t xml:space="preserve">develop the product </w:t>
      </w:r>
      <w:r w:rsidR="008764F9">
        <w:t>to meet</w:t>
      </w:r>
      <w:r w:rsidR="001A30A8">
        <w:t xml:space="preserve"> specific UK </w:t>
      </w:r>
      <w:r w:rsidR="00083144">
        <w:t xml:space="preserve">requirements </w:t>
      </w:r>
      <w:r w:rsidR="008B4A87">
        <w:t>especially as the adoption of the RM module in the market increases</w:t>
      </w:r>
      <w:r w:rsidR="0014655C">
        <w:t>.</w:t>
      </w:r>
      <w:r w:rsidR="00366AB3">
        <w:t xml:space="preserve"> </w:t>
      </w:r>
      <w:r w:rsidR="00D93EB6">
        <w:t>We are</w:t>
      </w:r>
      <w:r w:rsidR="00424730">
        <w:t xml:space="preserve"> currently unaware</w:t>
      </w:r>
      <w:r w:rsidR="00FA3CCB">
        <w:t xml:space="preserve"> of </w:t>
      </w:r>
      <w:r w:rsidR="00673E99">
        <w:t>a single</w:t>
      </w:r>
      <w:r w:rsidR="00FA3CCB">
        <w:t xml:space="preserve"> </w:t>
      </w:r>
      <w:r w:rsidR="00AB138E">
        <w:t xml:space="preserve">client </w:t>
      </w:r>
      <w:r w:rsidR="00673E99">
        <w:t>that has been able to</w:t>
      </w:r>
      <w:r w:rsidR="00424730">
        <w:t xml:space="preserve"> significantly</w:t>
      </w:r>
      <w:r w:rsidR="00673E99">
        <w:t xml:space="preserve"> affect the development of the MRI roadmap</w:t>
      </w:r>
      <w:r w:rsidR="00AB138E">
        <w:t xml:space="preserve">. </w:t>
      </w:r>
    </w:p>
    <w:p w14:paraId="022C6BB2" w14:textId="4503A6FA" w:rsidR="0074474F" w:rsidRDefault="0058293A" w:rsidP="00944548">
      <w:pPr>
        <w:pStyle w:val="Heading3"/>
      </w:pPr>
      <w:bookmarkStart w:id="9" w:name="_Toc65775596"/>
      <w:r>
        <w:t>Addressing Initial</w:t>
      </w:r>
      <w:r w:rsidR="0074474F">
        <w:t xml:space="preserve"> </w:t>
      </w:r>
      <w:r>
        <w:t>C</w:t>
      </w:r>
      <w:r w:rsidR="0074474F">
        <w:t>oncerns</w:t>
      </w:r>
      <w:bookmarkEnd w:id="9"/>
    </w:p>
    <w:p w14:paraId="58D805CF" w14:textId="36F86AF2" w:rsidR="00DA158D" w:rsidRDefault="00DA158D" w:rsidP="00DA158D">
      <w:pPr>
        <w:pStyle w:val="NormalIndent"/>
        <w:numPr>
          <w:ilvl w:val="0"/>
          <w:numId w:val="40"/>
        </w:numPr>
      </w:pPr>
      <w:r w:rsidRPr="000B670B">
        <w:rPr>
          <w:b/>
          <w:bCs/>
        </w:rPr>
        <w:t>Leasing Journey</w:t>
      </w:r>
      <w:r>
        <w:t xml:space="preserve">: </w:t>
      </w:r>
      <w:r w:rsidR="00051D2E">
        <w:t xml:space="preserve">the assumption that </w:t>
      </w:r>
      <w:r w:rsidR="007343DA">
        <w:t xml:space="preserve">all new leases would align to units </w:t>
      </w:r>
      <w:r w:rsidR="000734C7">
        <w:t>in</w:t>
      </w:r>
      <w:r w:rsidR="007343DA">
        <w:t xml:space="preserve"> RM arose naturally from the </w:t>
      </w:r>
      <w:r w:rsidR="000734C7">
        <w:t xml:space="preserve">assumed future state of the system. </w:t>
      </w:r>
      <w:r w:rsidR="001E53AE">
        <w:t xml:space="preserve">Designing the leasing journey around this assumption was a natural one. There is no denying that additional effort will be required to amend this process to integrate to CM, and may even mean that Salesforce has to pick up certain functions </w:t>
      </w:r>
      <w:r w:rsidR="000D262B">
        <w:t xml:space="preserve">within this </w:t>
      </w:r>
      <w:r w:rsidR="009A1F0F">
        <w:t>process</w:t>
      </w:r>
      <w:r w:rsidR="000D262B">
        <w:t xml:space="preserve"> that exist in RM but not CM, or that CM will need customisation to support this. However, many of our customers successfully manage lead-to-lease </w:t>
      </w:r>
      <w:r w:rsidR="00D87046">
        <w:t>from Salesforce to CM, or from other CRM systems to ERPs with similar functionality to CM</w:t>
      </w:r>
      <w:r w:rsidR="009A1F0F">
        <w:t>, so this is feasible.</w:t>
      </w:r>
    </w:p>
    <w:p w14:paraId="2ABC26D5" w14:textId="3717687C" w:rsidR="000734C7" w:rsidRDefault="009A1F0F" w:rsidP="00DA158D">
      <w:pPr>
        <w:pStyle w:val="NormalIndent"/>
        <w:numPr>
          <w:ilvl w:val="0"/>
          <w:numId w:val="40"/>
        </w:numPr>
      </w:pPr>
      <w:r w:rsidRPr="000B670B">
        <w:rPr>
          <w:b/>
          <w:bCs/>
        </w:rPr>
        <w:t>RM functionality</w:t>
      </w:r>
      <w:r w:rsidR="00867745">
        <w:t xml:space="preserve">: RM-specific functionality </w:t>
      </w:r>
      <w:r w:rsidR="00AF4D5D">
        <w:t>(</w:t>
      </w:r>
      <w:r w:rsidR="00867745">
        <w:t xml:space="preserve">like the </w:t>
      </w:r>
      <w:r w:rsidR="00AF4D5D">
        <w:t>tracking</w:t>
      </w:r>
      <w:r w:rsidR="00867745">
        <w:t xml:space="preserve"> of occupants</w:t>
      </w:r>
      <w:r w:rsidR="00AF4D5D">
        <w:t xml:space="preserve">) </w:t>
      </w:r>
      <w:r w:rsidR="00867745">
        <w:t>that is not included in CM can be customised into CM</w:t>
      </w:r>
      <w:r w:rsidR="00AF4D5D">
        <w:t xml:space="preserve">. Importantly, this type of customisation is largely at the data capture, management and reporting layer, and does not inherently impact the calculation or transactional engine of the system. These types of customisations tend to be easier and less risky. </w:t>
      </w:r>
    </w:p>
    <w:p w14:paraId="40703720" w14:textId="6B6570AE" w:rsidR="0058293A" w:rsidRDefault="0058293A" w:rsidP="0058293A">
      <w:pPr>
        <w:pStyle w:val="NormalIndent"/>
        <w:numPr>
          <w:ilvl w:val="0"/>
          <w:numId w:val="38"/>
        </w:numPr>
      </w:pPr>
      <w:r w:rsidRPr="000B670B">
        <w:rPr>
          <w:b/>
          <w:bCs/>
        </w:rPr>
        <w:t>GDPR</w:t>
      </w:r>
      <w:r>
        <w:t xml:space="preserve">: </w:t>
      </w:r>
      <w:r w:rsidR="00AF4D5D">
        <w:t xml:space="preserve">similar to other RM-specific functions, the layering of GDPR controls over </w:t>
      </w:r>
      <w:r w:rsidR="00D11FF3">
        <w:t>personal data held in CM would affect the data</w:t>
      </w:r>
      <w:r w:rsidR="00106952">
        <w:t xml:space="preserve"> and reporting</w:t>
      </w:r>
      <w:r w:rsidR="00D11FF3">
        <w:t xml:space="preserve"> layer rather than the transaction</w:t>
      </w:r>
      <w:r w:rsidR="00106952">
        <w:t>al</w:t>
      </w:r>
      <w:r w:rsidR="00D11FF3">
        <w:t xml:space="preserve"> layer of the system. While caution would need to be applied in</w:t>
      </w:r>
      <w:r w:rsidR="000B670B">
        <w:t xml:space="preserve"> overzealous auditing and logging affecting performance, this is again the type of customisation that is less risky to implement. </w:t>
      </w:r>
    </w:p>
    <w:p w14:paraId="3134BF58" w14:textId="1503923A" w:rsidR="003D0F59" w:rsidRPr="00944548" w:rsidRDefault="00106952" w:rsidP="000B670B">
      <w:pPr>
        <w:pStyle w:val="NormalIndent"/>
      </w:pPr>
      <w:r>
        <w:t>In general, it is our approach to choose the s</w:t>
      </w:r>
      <w:r w:rsidR="00AC3D0A">
        <w:t xml:space="preserve">olution that requires little to no customisation of core calculations and processes within the ERP. While there is no question that customisation would be required to use CM exclusively and into the future, </w:t>
      </w:r>
      <w:r w:rsidR="00B347D2">
        <w:t xml:space="preserve">the nature of these types of customisations is more palatable in terms of complexity, risk, and future maintainability. </w:t>
      </w:r>
    </w:p>
    <w:p w14:paraId="6CB4BC17" w14:textId="0354E3CA" w:rsidR="003D0F59" w:rsidRDefault="003D0F59" w:rsidP="003D0F59">
      <w:pPr>
        <w:pStyle w:val="Heading3"/>
      </w:pPr>
      <w:bookmarkStart w:id="10" w:name="_Toc65775597"/>
      <w:r>
        <w:t>Feasibility</w:t>
      </w:r>
      <w:bookmarkEnd w:id="10"/>
    </w:p>
    <w:p w14:paraId="6AB35E9F" w14:textId="41538016" w:rsidR="00DB3812" w:rsidRDefault="00941B95" w:rsidP="00DB3812">
      <w:pPr>
        <w:pStyle w:val="NormalIndent"/>
      </w:pPr>
      <w:r>
        <w:t>At the start of this engagement we were asked to focus on four key areas of functionality to ensure our recommendation could meet requirements. We have investigated the ability for CM to satisfy these areas</w:t>
      </w:r>
      <w:r w:rsidR="00E73015">
        <w:t>:</w:t>
      </w:r>
    </w:p>
    <w:p w14:paraId="3B65A109" w14:textId="54283ED2" w:rsidR="00E73015" w:rsidRDefault="00E73015" w:rsidP="00E73015">
      <w:pPr>
        <w:pStyle w:val="NormalIndent"/>
        <w:numPr>
          <w:ilvl w:val="0"/>
          <w:numId w:val="38"/>
        </w:numPr>
      </w:pPr>
      <w:r w:rsidRPr="006327CB">
        <w:rPr>
          <w:b/>
          <w:bCs/>
        </w:rPr>
        <w:t>Portfolio Setup</w:t>
      </w:r>
      <w:r>
        <w:t>:</w:t>
      </w:r>
      <w:r w:rsidR="00832124">
        <w:t xml:space="preserve"> </w:t>
      </w:r>
      <w:r w:rsidR="006327CB">
        <w:t xml:space="preserve">In our proposal, all </w:t>
      </w:r>
      <w:r w:rsidR="00292A87">
        <w:t xml:space="preserve">units, buildings and entities would reside in the CM module. </w:t>
      </w:r>
    </w:p>
    <w:p w14:paraId="5BF9FA5D" w14:textId="7BB914B8" w:rsidR="00C0132F" w:rsidRDefault="006658F6" w:rsidP="00527888">
      <w:pPr>
        <w:pStyle w:val="NormalIndent"/>
        <w:numPr>
          <w:ilvl w:val="1"/>
          <w:numId w:val="38"/>
        </w:numPr>
      </w:pPr>
      <w:r>
        <w:t>Asset-level reporting</w:t>
      </w:r>
      <w:r w:rsidR="00527888">
        <w:t xml:space="preserve">: per the </w:t>
      </w:r>
      <w:hyperlink w:anchor="_MRI_Heirarchy" w:history="1">
        <w:r w:rsidR="00527888" w:rsidRPr="00527888">
          <w:rPr>
            <w:rStyle w:val="Hyperlink"/>
          </w:rPr>
          <w:t>MRI data object hierarchy</w:t>
        </w:r>
      </w:hyperlink>
      <w:r w:rsidR="00527888">
        <w:t xml:space="preserve">, </w:t>
      </w:r>
      <w:r w:rsidR="00C0132F">
        <w:t>it is feasible to collect together multiple entities</w:t>
      </w:r>
      <w:r w:rsidR="001A0B4C">
        <w:t>, each with their own building, into a single asset in the form of a Project (</w:t>
      </w:r>
      <w:r w:rsidR="00817895">
        <w:t>US-terminology for</w:t>
      </w:r>
      <w:r w:rsidR="001A0B4C">
        <w:t xml:space="preserve"> Estate). This allows for </w:t>
      </w:r>
      <w:r w:rsidR="00C67AF8">
        <w:t>very different entity-level and building-level rules to be applied</w:t>
      </w:r>
      <w:r w:rsidR="00A443D4">
        <w:t xml:space="preserve"> (catering for the full range of tenures)</w:t>
      </w:r>
      <w:r w:rsidR="00C67AF8">
        <w:t xml:space="preserve">, while still linking all elements into a cohesive whole at the reporting level. To do so within a single module should be simpler than attempting to do so across two. </w:t>
      </w:r>
    </w:p>
    <w:p w14:paraId="606E1F9B" w14:textId="6F663E76" w:rsidR="00251111" w:rsidRDefault="00A443D4" w:rsidP="00527888">
      <w:pPr>
        <w:pStyle w:val="NormalIndent"/>
        <w:numPr>
          <w:ilvl w:val="1"/>
          <w:numId w:val="38"/>
        </w:numPr>
      </w:pPr>
      <w:r>
        <w:t xml:space="preserve">Building setup: </w:t>
      </w:r>
      <w:r w:rsidR="001D3992">
        <w:t xml:space="preserve">where different entities apply to the same asset, the necessity of creating separate buildings (even if these do not correspond directly to separate physical structures) will still apply even with all units in the same module. However, </w:t>
      </w:r>
      <w:r w:rsidR="00DE26AB">
        <w:t xml:space="preserve">it is possible that </w:t>
      </w:r>
      <w:r w:rsidR="009335CC">
        <w:t xml:space="preserve">no further splitting is required if unit-level and lease-level setup rules can accommodate the full range of billing and service charge </w:t>
      </w:r>
      <w:r w:rsidR="00251111">
        <w:t>variations</w:t>
      </w:r>
      <w:r w:rsidR="00A11B31">
        <w:t>.</w:t>
      </w:r>
    </w:p>
    <w:p w14:paraId="1B115B20" w14:textId="64D51546" w:rsidR="00E73015" w:rsidRDefault="00E73015" w:rsidP="00E73015">
      <w:pPr>
        <w:pStyle w:val="NormalIndent"/>
        <w:numPr>
          <w:ilvl w:val="0"/>
          <w:numId w:val="38"/>
        </w:numPr>
      </w:pPr>
      <w:r w:rsidRPr="006327CB">
        <w:rPr>
          <w:b/>
        </w:rPr>
        <w:t>Service Charge</w:t>
      </w:r>
      <w:r>
        <w:t>:</w:t>
      </w:r>
      <w:r w:rsidR="005D17A8">
        <w:t xml:space="preserve"> </w:t>
      </w:r>
      <w:r w:rsidR="00601E92">
        <w:t>MRI’s service charge</w:t>
      </w:r>
      <w:r w:rsidR="00643A76">
        <w:t xml:space="preserve"> functionality available with their EMEA pack is extremely comprehensive. Recent additions that allow for unit-level setup of cap and floor calculations (as opposed to lease-level) have significantly improved </w:t>
      </w:r>
      <w:r w:rsidR="006658F6">
        <w:t xml:space="preserve">the flexibility of the </w:t>
      </w:r>
      <w:r w:rsidR="00E764E0">
        <w:t>module to handle certain types of exceptions without needing to constantly apply the exceptions to each new lease.</w:t>
      </w:r>
      <w:r w:rsidR="00CB4D15">
        <w:t xml:space="preserve"> </w:t>
      </w:r>
      <w:r w:rsidR="00263BE8">
        <w:t xml:space="preserve">Given that service charge is already in place and configured for units that are set up in CM today, there is sufficient </w:t>
      </w:r>
      <w:r w:rsidR="00601E32">
        <w:t xml:space="preserve">reason to believe this can cater for </w:t>
      </w:r>
      <w:r w:rsidR="00980964">
        <w:t xml:space="preserve">any type of unit that requires service charge, as well as excluding units that do not (by means of either unit-level caps or appropriate apportionment schedules). </w:t>
      </w:r>
    </w:p>
    <w:p w14:paraId="668B44D2" w14:textId="6418DD2C" w:rsidR="00A30D2C" w:rsidRDefault="00E73015" w:rsidP="00E73015">
      <w:pPr>
        <w:pStyle w:val="NormalIndent"/>
        <w:numPr>
          <w:ilvl w:val="0"/>
          <w:numId w:val="38"/>
        </w:numPr>
      </w:pPr>
      <w:r w:rsidRPr="00686C9F">
        <w:rPr>
          <w:b/>
        </w:rPr>
        <w:t>Unit Apportionment</w:t>
      </w:r>
      <w:r>
        <w:t>:</w:t>
      </w:r>
      <w:r w:rsidR="00AE6453">
        <w:t xml:space="preserve"> fundamentally, the cost allocation </w:t>
      </w:r>
      <w:r w:rsidR="003F3420">
        <w:t>calculations</w:t>
      </w:r>
      <w:r w:rsidR="00AE6453">
        <w:t xml:space="preserve"> for units that are not subject to service charge </w:t>
      </w:r>
      <w:r w:rsidR="003F3420">
        <w:t>are</w:t>
      </w:r>
      <w:r w:rsidR="00AE6453">
        <w:t xml:space="preserve"> </w:t>
      </w:r>
      <w:r w:rsidR="00C763BC">
        <w:t>extremely similar to service charge calculations</w:t>
      </w:r>
      <w:r w:rsidR="00AE6453">
        <w:t xml:space="preserve">, with the exception of the allocation rules (equally amongst all units) and the end result (no charge to the customer). </w:t>
      </w:r>
      <w:r w:rsidR="003D5BA4">
        <w:t xml:space="preserve">It is possible that when Grainger was originally assessing the ability of the service charge module to accommodate unit apportionment scenarios, the unit-level </w:t>
      </w:r>
      <w:r w:rsidR="00B54DCB">
        <w:t>functionality</w:t>
      </w:r>
      <w:r w:rsidR="003D5BA4">
        <w:t xml:space="preserve"> </w:t>
      </w:r>
      <w:r w:rsidR="00B54DCB">
        <w:t>was</w:t>
      </w:r>
      <w:r w:rsidR="003D5BA4">
        <w:t xml:space="preserve"> not </w:t>
      </w:r>
      <w:r w:rsidR="00B54DCB">
        <w:t>yet available</w:t>
      </w:r>
      <w:r w:rsidR="003D5BA4">
        <w:t>. That said, we</w:t>
      </w:r>
      <w:r w:rsidR="00AE6453">
        <w:t xml:space="preserve"> believe that </w:t>
      </w:r>
      <w:r w:rsidR="0093114B">
        <w:t>the</w:t>
      </w:r>
      <w:r w:rsidR="00AE6453">
        <w:t xml:space="preserve"> </w:t>
      </w:r>
      <w:r w:rsidR="0093114B">
        <w:t xml:space="preserve">following </w:t>
      </w:r>
      <w:r w:rsidR="00AE6453">
        <w:t>features of the MRI Service Charge functionality cater for this outcome</w:t>
      </w:r>
      <w:r w:rsidR="00511F0D">
        <w:t xml:space="preserve">: </w:t>
      </w:r>
    </w:p>
    <w:p w14:paraId="24A68F51" w14:textId="62B517CA" w:rsidR="00A30D2C" w:rsidRDefault="00686C9F" w:rsidP="00A30D2C">
      <w:pPr>
        <w:pStyle w:val="NormalIndent"/>
        <w:numPr>
          <w:ilvl w:val="1"/>
          <w:numId w:val="38"/>
        </w:numPr>
      </w:pPr>
      <w:r>
        <w:t>T</w:t>
      </w:r>
      <w:r w:rsidR="00511F0D">
        <w:t>he ability to set up expense pool apportionment by a fixed percentage per unit (rather than by area)</w:t>
      </w:r>
      <w:r w:rsidR="00A30D2C">
        <w:t xml:space="preserve"> will allow expenses to be evenly allocated across all units in </w:t>
      </w:r>
      <w:r w:rsidR="0093114B">
        <w:t>an expense</w:t>
      </w:r>
      <w:r w:rsidR="00A30D2C">
        <w:t xml:space="preserve"> pool.</w:t>
      </w:r>
    </w:p>
    <w:p w14:paraId="624BF101" w14:textId="25EAAFAC" w:rsidR="00FD1215" w:rsidRDefault="00A30D2C" w:rsidP="00A30D2C">
      <w:pPr>
        <w:pStyle w:val="NormalIndent"/>
        <w:numPr>
          <w:ilvl w:val="1"/>
          <w:numId w:val="38"/>
        </w:numPr>
      </w:pPr>
      <w:r>
        <w:t>T</w:t>
      </w:r>
      <w:r w:rsidR="00511F0D">
        <w:t xml:space="preserve">he ability to apply a </w:t>
      </w:r>
      <w:r>
        <w:t xml:space="preserve">0-value cap at the unit level </w:t>
      </w:r>
      <w:r w:rsidR="006C09FD">
        <w:t xml:space="preserve">for a given schedule </w:t>
      </w:r>
      <w:r>
        <w:t xml:space="preserve">ensures that apportioned expenses are not charged to the customer. The latter functionality </w:t>
      </w:r>
      <w:r w:rsidR="006C09FD">
        <w:t>has the</w:t>
      </w:r>
      <w:r>
        <w:t xml:space="preserve"> advantage that MRI first apportions the cost to the unit, then applies the cap to determine the amount owing</w:t>
      </w:r>
      <w:r w:rsidR="006C09FD">
        <w:t xml:space="preserve">. As such, the calculation can be made by the service charge engine without any actual charge being applied to the occupant. </w:t>
      </w:r>
      <w:r w:rsidR="00922A1B">
        <w:t xml:space="preserve">This is clear from the </w:t>
      </w:r>
      <w:r w:rsidR="0087733D">
        <w:t xml:space="preserve">columns available in the </w:t>
      </w:r>
      <w:r w:rsidR="004157BB">
        <w:t>out-of-box service charge certificate.</w:t>
      </w:r>
    </w:p>
    <w:p w14:paraId="1818E688" w14:textId="77777777" w:rsidR="008B2744" w:rsidRDefault="001E5508" w:rsidP="008B2744">
      <w:pPr>
        <w:pStyle w:val="NormalIndent"/>
        <w:keepNext/>
      </w:pPr>
      <w:r>
        <w:rPr>
          <w:noProof/>
        </w:rPr>
        <w:pict w14:anchorId="36308254">
          <v:shape id="_x0000_i1028" type="#_x0000_t75" style="width:453.75pt;height:223.5pt;visibility:visible">
            <v:imagedata r:id="rId15" o:title=""/>
          </v:shape>
        </w:pict>
      </w:r>
    </w:p>
    <w:p w14:paraId="3D743EB6" w14:textId="5F417F51" w:rsidR="008B2744" w:rsidRDefault="008B2744" w:rsidP="008B2744">
      <w:pPr>
        <w:pStyle w:val="Caption"/>
      </w:pPr>
      <w:r>
        <w:t xml:space="preserve">Figure </w:t>
      </w:r>
      <w:r>
        <w:fldChar w:fldCharType="begin"/>
      </w:r>
      <w:r>
        <w:instrText xml:space="preserve"> SEQ Figure \* ARABIC </w:instrText>
      </w:r>
      <w:r>
        <w:fldChar w:fldCharType="separate"/>
      </w:r>
      <w:r w:rsidR="00C64C86">
        <w:rPr>
          <w:noProof/>
        </w:rPr>
        <w:t>4</w:t>
      </w:r>
      <w:r>
        <w:fldChar w:fldCharType="end"/>
      </w:r>
      <w:r>
        <w:t>: MRI Tenant Certificate Showing Uncapped Total as a separate figure</w:t>
      </w:r>
    </w:p>
    <w:p w14:paraId="53C43C29" w14:textId="3B06CA5E" w:rsidR="00E73015" w:rsidRDefault="00A30D2C" w:rsidP="00A30D2C">
      <w:pPr>
        <w:pStyle w:val="NormalIndent"/>
        <w:numPr>
          <w:ilvl w:val="1"/>
          <w:numId w:val="38"/>
        </w:numPr>
      </w:pPr>
      <w:r>
        <w:t>The</w:t>
      </w:r>
      <w:r w:rsidR="00FD1215">
        <w:t xml:space="preserve"> above</w:t>
      </w:r>
      <w:r>
        <w:t xml:space="preserve"> two results </w:t>
      </w:r>
      <w:r w:rsidR="00B07629">
        <w:t>must be</w:t>
      </w:r>
      <w:r>
        <w:t xml:space="preserve"> stored separately</w:t>
      </w:r>
      <w:r w:rsidR="00B07629">
        <w:t xml:space="preserve"> to be reported on separately</w:t>
      </w:r>
      <w:r>
        <w:t xml:space="preserve">, creating the ability for </w:t>
      </w:r>
      <w:r w:rsidR="00FD1215">
        <w:t xml:space="preserve">customisations to </w:t>
      </w:r>
      <w:r w:rsidR="00A069C2">
        <w:t xml:space="preserve">report on the first value, and even </w:t>
      </w:r>
      <w:r w:rsidR="00A118E6">
        <w:t>create journal postings on the basis of this calculation</w:t>
      </w:r>
      <w:r w:rsidR="00371963">
        <w:t xml:space="preserve"> result. </w:t>
      </w:r>
    </w:p>
    <w:p w14:paraId="3DBEAB61" w14:textId="1BCBFBE4" w:rsidR="00921453" w:rsidRDefault="00921453" w:rsidP="00A30D2C">
      <w:pPr>
        <w:pStyle w:val="NormalIndent"/>
        <w:numPr>
          <w:ilvl w:val="1"/>
          <w:numId w:val="38"/>
        </w:numPr>
      </w:pPr>
      <w:r>
        <w:t xml:space="preserve">The </w:t>
      </w:r>
      <w:r w:rsidR="00EE53D2">
        <w:t xml:space="preserve">service charge module allows the process to be run as many times as needed throughout the year, and in both ‘preview’ and ‘update’ mode. </w:t>
      </w:r>
      <w:r w:rsidR="007B6567">
        <w:t xml:space="preserve">Given that the actions MRI takes in response to running in either of these modes is defined by the report that is assigned to that step, and that </w:t>
      </w:r>
      <w:r w:rsidR="00B07629">
        <w:t>the ending actions in these reports may be configurable</w:t>
      </w:r>
      <w:r w:rsidR="007B6567">
        <w:t xml:space="preserve">, we believe it is possible to customise </w:t>
      </w:r>
      <w:r w:rsidR="00686C9F">
        <w:t xml:space="preserve">the functionality to make cost apportionment a period-end activity, and change </w:t>
      </w:r>
      <w:r w:rsidR="007B6567">
        <w:t xml:space="preserve">the </w:t>
      </w:r>
      <w:r w:rsidR="008D3A03">
        <w:t>action that MRI takes</w:t>
      </w:r>
      <w:r w:rsidR="005F795D">
        <w:t xml:space="preserve"> in response to </w:t>
      </w:r>
      <w:r w:rsidR="00E050F1">
        <w:t xml:space="preserve">the service charge process being run. </w:t>
      </w:r>
    </w:p>
    <w:p w14:paraId="3BA90CB3" w14:textId="428A5AFA" w:rsidR="00686C9F" w:rsidRDefault="00A130D7" w:rsidP="00A30D2C">
      <w:pPr>
        <w:pStyle w:val="NormalIndent"/>
        <w:numPr>
          <w:ilvl w:val="1"/>
          <w:numId w:val="38"/>
        </w:numPr>
      </w:pPr>
      <w:r>
        <w:t xml:space="preserve">It remains to be determined if </w:t>
      </w:r>
      <w:r w:rsidR="00536115">
        <w:t xml:space="preserve">the expense pools and unit-level settings are alone sufficient to </w:t>
      </w:r>
      <w:r w:rsidR="00A96F19">
        <w:t>accommodate properties with mixed service-charge types</w:t>
      </w:r>
      <w:r w:rsidR="00B07629">
        <w:t xml:space="preserve"> but the same entity</w:t>
      </w:r>
      <w:r w:rsidR="00A96F19">
        <w:t xml:space="preserve"> being set up as a single building in CM</w:t>
      </w:r>
      <w:r w:rsidR="007F5785">
        <w:t xml:space="preserve">, or if </w:t>
      </w:r>
      <w:r w:rsidR="00D96867">
        <w:t xml:space="preserve">they would still be better off being set up as separate buildings. </w:t>
      </w:r>
    </w:p>
    <w:p w14:paraId="39AACC6A" w14:textId="47202BDB" w:rsidR="00E73015" w:rsidRDefault="00E73015" w:rsidP="00E73015">
      <w:pPr>
        <w:pStyle w:val="NormalIndent"/>
        <w:numPr>
          <w:ilvl w:val="0"/>
          <w:numId w:val="38"/>
        </w:numPr>
      </w:pPr>
      <w:r w:rsidRPr="00BB49F4">
        <w:rPr>
          <w:b/>
        </w:rPr>
        <w:t>Transfer of units between entities</w:t>
      </w:r>
      <w:r>
        <w:t xml:space="preserve"> (‘intercompany transfers’</w:t>
      </w:r>
      <w:r w:rsidR="00817895">
        <w:t>)</w:t>
      </w:r>
      <w:r>
        <w:t xml:space="preserve">: </w:t>
      </w:r>
      <w:r w:rsidR="00BB49F4">
        <w:t xml:space="preserve">when a regulated tenancy comes to an end, the </w:t>
      </w:r>
      <w:r w:rsidR="004A0B4B">
        <w:t>unit may leave the purvue of the GTRUST entity and now fall under the GINVEST entity</w:t>
      </w:r>
      <w:r w:rsidR="00BB49F4">
        <w:t xml:space="preserve"> </w:t>
      </w:r>
      <w:r w:rsidR="008B5F0F">
        <w:t xml:space="preserve">along with other PSA units. This </w:t>
      </w:r>
      <w:r w:rsidR="00F244CB">
        <w:t xml:space="preserve">‘transfer’ of </w:t>
      </w:r>
      <w:r w:rsidR="00673B36">
        <w:t xml:space="preserve">the unit from one entity to another may </w:t>
      </w:r>
      <w:r w:rsidR="00154BC6">
        <w:t xml:space="preserve">create </w:t>
      </w:r>
      <w:r w:rsidR="00BD08BB">
        <w:t>an apparent capital gain/loss between the two entities</w:t>
      </w:r>
      <w:r w:rsidR="00E61048">
        <w:t>. The question of how to deal with this is still open; however, in our assessment</w:t>
      </w:r>
      <w:r w:rsidR="00581D43">
        <w:t>,</w:t>
      </w:r>
      <w:r w:rsidR="00E61048">
        <w:t xml:space="preserve"> we agreed that there is no question that moving a unit from one module to another at the same time as one entity to another is guaranteed to be more effort under the current design, than moving between two entities in the same module. We would need to </w:t>
      </w:r>
      <w:r w:rsidR="007A1C68">
        <w:t>work with Finance more closely to determine the best way to effect this unit transfer</w:t>
      </w:r>
      <w:r w:rsidR="00C64C86">
        <w:t xml:space="preserve"> from one CM entity to another. </w:t>
      </w:r>
    </w:p>
    <w:p w14:paraId="0A3B27E8" w14:textId="31A6041F" w:rsidR="00E73015" w:rsidRDefault="00872DDB" w:rsidP="00872DDB">
      <w:pPr>
        <w:pStyle w:val="Heading3"/>
      </w:pPr>
      <w:bookmarkStart w:id="11" w:name="_Toc65775598"/>
      <w:r>
        <w:t>Other Benefits</w:t>
      </w:r>
      <w:bookmarkEnd w:id="11"/>
    </w:p>
    <w:p w14:paraId="7AF9F14B" w14:textId="4F310CA8" w:rsidR="002C0B8C" w:rsidRDefault="002C0B8C" w:rsidP="00872DDB">
      <w:pPr>
        <w:pStyle w:val="NormalIndent"/>
        <w:numPr>
          <w:ilvl w:val="0"/>
          <w:numId w:val="41"/>
        </w:numPr>
      </w:pPr>
      <w:r w:rsidRPr="001379EE">
        <w:rPr>
          <w:b/>
          <w:bCs/>
        </w:rPr>
        <w:t>Reduction of performance errors:</w:t>
      </w:r>
      <w:r>
        <w:t xml:space="preserve"> </w:t>
      </w:r>
      <w:r w:rsidR="008714D5">
        <w:t>while the original vision for unit apportionment in RM planned for the splitting of invoices to occur after posting in AP, MRI was not able to deliver on the calculations needed to effect this. Instead, the split is currently being performed in GREP, resulting in multi-line invoices processed through AP. By using the built-in service charge engine to perform the calculations after posting</w:t>
      </w:r>
      <w:r w:rsidR="001379EE">
        <w:t xml:space="preserve"> (e.g. as a month-end activity)</w:t>
      </w:r>
      <w:r w:rsidR="008714D5">
        <w:t xml:space="preserve">, the performance risk </w:t>
      </w:r>
      <w:r w:rsidR="002A2D9B">
        <w:t>is reduced</w:t>
      </w:r>
      <w:r w:rsidR="001379EE">
        <w:t xml:space="preserve">. </w:t>
      </w:r>
    </w:p>
    <w:p w14:paraId="48F8DDD2" w14:textId="0244607F" w:rsidR="00872DDB" w:rsidRDefault="00872DDB" w:rsidP="00872DDB">
      <w:pPr>
        <w:pStyle w:val="NormalIndent"/>
        <w:numPr>
          <w:ilvl w:val="0"/>
          <w:numId w:val="41"/>
        </w:numPr>
      </w:pPr>
      <w:r w:rsidRPr="001379EE">
        <w:rPr>
          <w:b/>
          <w:bCs/>
        </w:rPr>
        <w:t>Simplification of Customisations</w:t>
      </w:r>
      <w:r>
        <w:t xml:space="preserve">: as mentioned elsewhere, the type and level of customisation in MRI has a significant impact on its </w:t>
      </w:r>
      <w:r w:rsidR="00A808C6">
        <w:t xml:space="preserve">risk, performance and maintainability. </w:t>
      </w:r>
      <w:r w:rsidR="005F28C0">
        <w:t xml:space="preserve">Additionally, it has been realised that splitting data across two modules has resulted in customisations that have to be duplicated, or that have to specifically address this split to offer an overall view. </w:t>
      </w:r>
      <w:r w:rsidR="009327B6">
        <w:t>While effort to redesign these processes is not insignificant, the future burden of customisations should be greatly reduced by moving to a single module.</w:t>
      </w:r>
    </w:p>
    <w:p w14:paraId="1436A6B5" w14:textId="33276523" w:rsidR="009327B6" w:rsidRDefault="006B2E2F" w:rsidP="00872DDB">
      <w:pPr>
        <w:pStyle w:val="NormalIndent"/>
        <w:numPr>
          <w:ilvl w:val="0"/>
          <w:numId w:val="41"/>
        </w:numPr>
      </w:pPr>
      <w:r>
        <w:rPr>
          <w:b/>
          <w:bCs/>
        </w:rPr>
        <w:t>Simplification of Integrations</w:t>
      </w:r>
      <w:r w:rsidRPr="006B2E2F">
        <w:t>:</w:t>
      </w:r>
      <w:r>
        <w:t xml:space="preserve"> </w:t>
      </w:r>
      <w:r w:rsidR="00F530A3">
        <w:t xml:space="preserve">While the effort to change existing integrations is </w:t>
      </w:r>
      <w:r w:rsidR="00DC3D7E">
        <w:t xml:space="preserve">also </w:t>
      </w:r>
      <w:r w:rsidR="000E6CAC">
        <w:t xml:space="preserve">not insignificant, </w:t>
      </w:r>
      <w:r w:rsidR="000C718B">
        <w:t xml:space="preserve">the design of the GREP logic layer will be </w:t>
      </w:r>
      <w:r w:rsidR="00707D7D">
        <w:t>instrumental in allowing the rework of integration logic that would be required by a move to CM</w:t>
      </w:r>
      <w:r w:rsidR="00F530A3">
        <w:t xml:space="preserve">. </w:t>
      </w:r>
      <w:r w:rsidR="000E6CAC">
        <w:t>Fu</w:t>
      </w:r>
      <w:r w:rsidR="00291EF1">
        <w:t xml:space="preserve">ture phases of the Connect platform will continue to reap the benefits of a simplified integration that only has to take the one module </w:t>
      </w:r>
      <w:r w:rsidR="00C25DA3">
        <w:t>and its corresponding enumerations and tables into account.</w:t>
      </w:r>
    </w:p>
    <w:p w14:paraId="5A75EF9E" w14:textId="6DACF1FE" w:rsidR="00944548" w:rsidRPr="00944548" w:rsidRDefault="00AC4D7B" w:rsidP="00B01992">
      <w:pPr>
        <w:pStyle w:val="NormalIndent"/>
        <w:numPr>
          <w:ilvl w:val="0"/>
          <w:numId w:val="41"/>
        </w:numPr>
      </w:pPr>
      <w:r w:rsidRPr="00B01992">
        <w:rPr>
          <w:b/>
          <w:bCs/>
        </w:rPr>
        <w:t xml:space="preserve">Avoidance of future </w:t>
      </w:r>
      <w:r w:rsidR="00B01992">
        <w:rPr>
          <w:b/>
          <w:bCs/>
        </w:rPr>
        <w:t>re-implementation</w:t>
      </w:r>
      <w:r w:rsidRPr="00AC4D7B">
        <w:t>:</w:t>
      </w:r>
      <w:r>
        <w:t xml:space="preserve"> there is no question that Grainger has chosen to step back and assess at the right time. Once a solution goes to production, the choices at this level are effectively locked in permanently.</w:t>
      </w:r>
      <w:r w:rsidR="00BD4C10">
        <w:t xml:space="preserve"> We have experienced many clients coming to us 5 years down the line of such a decision, either having decided that their ERP is not fit for purpose, or looking to perform a full re-implementation. Avoiding either outcome </w:t>
      </w:r>
      <w:r w:rsidR="00B01992">
        <w:t xml:space="preserve">is vital to the success of the Connect Programme. </w:t>
      </w:r>
    </w:p>
    <w:p w14:paraId="54119716" w14:textId="77777777" w:rsidR="00944548" w:rsidRDefault="00944548" w:rsidP="00944548">
      <w:pPr>
        <w:pStyle w:val="NormalIndent"/>
        <w:ind w:left="0"/>
      </w:pPr>
    </w:p>
    <w:p w14:paraId="0ACBB323" w14:textId="1FB7A7DD" w:rsidR="007E4EBF" w:rsidRDefault="007E4EBF" w:rsidP="007E4EBF">
      <w:pPr>
        <w:pStyle w:val="Heading1"/>
      </w:pPr>
      <w:bookmarkStart w:id="12" w:name="_Toc65775599"/>
      <w:r>
        <w:t>Next Steps</w:t>
      </w:r>
      <w:bookmarkEnd w:id="12"/>
    </w:p>
    <w:p w14:paraId="63AF8873" w14:textId="46F260C1" w:rsidR="007E4EBF" w:rsidRDefault="006D5703" w:rsidP="007E4EBF">
      <w:pPr>
        <w:pStyle w:val="NormalIndent"/>
      </w:pPr>
      <w:r>
        <w:t xml:space="preserve">Given that Grainger has committed to taking a step back to review the situation, we believe there is value in taking the time to assess the feasibility </w:t>
      </w:r>
      <w:r w:rsidR="00FA3EF8">
        <w:t xml:space="preserve">and impact </w:t>
      </w:r>
      <w:r>
        <w:t xml:space="preserve">of an “Option 4: CM Only” approach. </w:t>
      </w:r>
      <w:r w:rsidR="000068E4">
        <w:t>The asse</w:t>
      </w:r>
      <w:r w:rsidR="00F94D70">
        <w:t>ss</w:t>
      </w:r>
      <w:r w:rsidR="00B84749">
        <w:t xml:space="preserve">ment will require collaboration between </w:t>
      </w:r>
      <w:r w:rsidR="00E806A2">
        <w:t>the Grainger</w:t>
      </w:r>
      <w:r w:rsidR="00AC331D">
        <w:t xml:space="preserve"> subject matter experts, IT</w:t>
      </w:r>
      <w:r w:rsidR="00920B41">
        <w:t>,</w:t>
      </w:r>
      <w:r w:rsidR="00AC331D">
        <w:t xml:space="preserve"> and Open Box</w:t>
      </w:r>
      <w:r w:rsidR="00AF4826">
        <w:t xml:space="preserve"> to ensure that </w:t>
      </w:r>
      <w:r w:rsidR="001868F0">
        <w:t>there are no gaps</w:t>
      </w:r>
      <w:r w:rsidR="00AF4826">
        <w:t>.</w:t>
      </w:r>
    </w:p>
    <w:p w14:paraId="6F4E14FF" w14:textId="15E67EDD" w:rsidR="00FA3EF8" w:rsidRDefault="00FA3EF8" w:rsidP="007E4EBF">
      <w:pPr>
        <w:pStyle w:val="NormalIndent"/>
      </w:pPr>
      <w:r>
        <w:t>We would approach this assessment as follows:</w:t>
      </w:r>
    </w:p>
    <w:p w14:paraId="6BE09D47" w14:textId="02AF0687" w:rsidR="004247EC" w:rsidRDefault="003E51BA" w:rsidP="008B67B2">
      <w:pPr>
        <w:pStyle w:val="NormalIndent"/>
        <w:numPr>
          <w:ilvl w:val="0"/>
          <w:numId w:val="44"/>
        </w:numPr>
      </w:pPr>
      <w:r w:rsidRPr="00F1706E">
        <w:rPr>
          <w:b/>
          <w:bCs/>
        </w:rPr>
        <w:t xml:space="preserve">MRI </w:t>
      </w:r>
      <w:r w:rsidR="004C137E" w:rsidRPr="00F1706E">
        <w:rPr>
          <w:b/>
          <w:bCs/>
        </w:rPr>
        <w:t>u</w:t>
      </w:r>
      <w:r w:rsidRPr="00F1706E">
        <w:rPr>
          <w:b/>
          <w:bCs/>
        </w:rPr>
        <w:t>pgrade and</w:t>
      </w:r>
      <w:r w:rsidR="004C137E" w:rsidRPr="00F1706E">
        <w:rPr>
          <w:b/>
          <w:bCs/>
        </w:rPr>
        <w:t xml:space="preserve"> latest</w:t>
      </w:r>
      <w:r w:rsidRPr="00F1706E">
        <w:rPr>
          <w:b/>
          <w:bCs/>
        </w:rPr>
        <w:t xml:space="preserve"> </w:t>
      </w:r>
      <w:r w:rsidR="004C137E" w:rsidRPr="00F1706E">
        <w:rPr>
          <w:b/>
          <w:bCs/>
        </w:rPr>
        <w:t xml:space="preserve">EMEA pack </w:t>
      </w:r>
      <w:r w:rsidR="006C501C" w:rsidRPr="00F1706E">
        <w:rPr>
          <w:b/>
          <w:bCs/>
        </w:rPr>
        <w:t>i</w:t>
      </w:r>
      <w:r w:rsidR="004C137E" w:rsidRPr="00F1706E">
        <w:rPr>
          <w:b/>
          <w:bCs/>
        </w:rPr>
        <w:t>nstallation</w:t>
      </w:r>
      <w:r w:rsidR="004C137E">
        <w:t xml:space="preserve">: </w:t>
      </w:r>
      <w:r w:rsidR="004151EC">
        <w:t>Upgrad</w:t>
      </w:r>
      <w:r w:rsidR="00A33A02">
        <w:t>e</w:t>
      </w:r>
      <w:r w:rsidR="004151EC">
        <w:t xml:space="preserve"> to the </w:t>
      </w:r>
      <w:r w:rsidR="0050131D">
        <w:t>l</w:t>
      </w:r>
      <w:r w:rsidR="00CF0179">
        <w:t>a</w:t>
      </w:r>
      <w:r w:rsidR="0050131D">
        <w:t xml:space="preserve">test version of MRI and EMEA packs </w:t>
      </w:r>
      <w:r w:rsidR="00F00F8A">
        <w:t xml:space="preserve">to </w:t>
      </w:r>
      <w:r w:rsidR="0050131D">
        <w:t xml:space="preserve">ensure that </w:t>
      </w:r>
      <w:r w:rsidR="00F0500C">
        <w:t xml:space="preserve">new functionality </w:t>
      </w:r>
      <w:r w:rsidR="0053106F">
        <w:t>and enhancements</w:t>
      </w:r>
      <w:r w:rsidR="00F1706E">
        <w:t xml:space="preserve"> released since the start of the project</w:t>
      </w:r>
      <w:r w:rsidR="00857C28">
        <w:t xml:space="preserve"> </w:t>
      </w:r>
      <w:r w:rsidR="00A33A02">
        <w:t>are</w:t>
      </w:r>
      <w:r w:rsidR="00857C28">
        <w:t xml:space="preserve"> leveraged</w:t>
      </w:r>
      <w:r w:rsidR="00F1706E">
        <w:t>.</w:t>
      </w:r>
    </w:p>
    <w:p w14:paraId="691F652D" w14:textId="38C6EF09" w:rsidR="005632DA" w:rsidRPr="005A161B" w:rsidRDefault="005632DA" w:rsidP="005632DA">
      <w:pPr>
        <w:pStyle w:val="NormalIndent"/>
        <w:numPr>
          <w:ilvl w:val="0"/>
          <w:numId w:val="44"/>
        </w:numPr>
        <w:rPr>
          <w:b/>
          <w:bCs/>
        </w:rPr>
      </w:pPr>
      <w:r w:rsidRPr="00506A3A">
        <w:rPr>
          <w:b/>
          <w:bCs/>
        </w:rPr>
        <w:t>Functionality</w:t>
      </w:r>
      <w:r w:rsidR="0012679B">
        <w:rPr>
          <w:b/>
          <w:bCs/>
        </w:rPr>
        <w:t xml:space="preserve"> and Process</w:t>
      </w:r>
      <w:r w:rsidRPr="00506A3A">
        <w:rPr>
          <w:b/>
          <w:bCs/>
        </w:rPr>
        <w:t xml:space="preserve"> Review:  </w:t>
      </w:r>
      <w:r>
        <w:t xml:space="preserve">Perform scenario tests, with </w:t>
      </w:r>
      <w:r w:rsidR="00FA3C37">
        <w:t>specific</w:t>
      </w:r>
      <w:r>
        <w:t xml:space="preserve"> Grainger use cases </w:t>
      </w:r>
      <w:r w:rsidR="00FA3C37">
        <w:t>for</w:t>
      </w:r>
      <w:r>
        <w:t xml:space="preserve"> the key</w:t>
      </w:r>
      <w:r w:rsidR="00697F80">
        <w:t xml:space="preserve"> areas of functional</w:t>
      </w:r>
      <w:r w:rsidR="00FA3C37">
        <w:t>i</w:t>
      </w:r>
      <w:r w:rsidR="00697F80">
        <w:t>ty</w:t>
      </w:r>
      <w:r>
        <w:t>:</w:t>
      </w:r>
    </w:p>
    <w:p w14:paraId="74794B6F" w14:textId="77777777" w:rsidR="005632DA" w:rsidRPr="005A161B" w:rsidRDefault="005632DA" w:rsidP="005632DA">
      <w:pPr>
        <w:pStyle w:val="NormalIndent"/>
        <w:numPr>
          <w:ilvl w:val="1"/>
          <w:numId w:val="44"/>
        </w:numPr>
      </w:pPr>
      <w:r w:rsidRPr="005A161B">
        <w:t>Portfolio Setup</w:t>
      </w:r>
    </w:p>
    <w:p w14:paraId="6C4FC43A" w14:textId="77777777" w:rsidR="005632DA" w:rsidRPr="005A161B" w:rsidRDefault="005632DA" w:rsidP="005632DA">
      <w:pPr>
        <w:pStyle w:val="NormalIndent"/>
        <w:numPr>
          <w:ilvl w:val="1"/>
          <w:numId w:val="44"/>
        </w:numPr>
        <w:rPr>
          <w:b/>
          <w:bCs/>
        </w:rPr>
      </w:pPr>
      <w:r>
        <w:t>Service Charge</w:t>
      </w:r>
    </w:p>
    <w:p w14:paraId="4B27DC48" w14:textId="63BB3048" w:rsidR="005632DA" w:rsidRPr="00F56603" w:rsidRDefault="005632DA" w:rsidP="005632DA">
      <w:pPr>
        <w:pStyle w:val="NormalIndent"/>
        <w:numPr>
          <w:ilvl w:val="1"/>
          <w:numId w:val="44"/>
        </w:numPr>
        <w:rPr>
          <w:b/>
          <w:bCs/>
        </w:rPr>
      </w:pPr>
      <w:r>
        <w:t>Unit Apportionment</w:t>
      </w:r>
    </w:p>
    <w:p w14:paraId="533A8FB2" w14:textId="77777777" w:rsidR="005632DA" w:rsidRPr="00F56603" w:rsidRDefault="005632DA" w:rsidP="005632DA">
      <w:pPr>
        <w:pStyle w:val="NormalIndent"/>
        <w:numPr>
          <w:ilvl w:val="1"/>
          <w:numId w:val="44"/>
        </w:numPr>
        <w:rPr>
          <w:b/>
          <w:bCs/>
        </w:rPr>
      </w:pPr>
      <w:r>
        <w:t>Intercompany Transfers</w:t>
      </w:r>
    </w:p>
    <w:p w14:paraId="1CB811C3" w14:textId="4BDD46C9" w:rsidR="00CC26B6" w:rsidRDefault="00372D9E" w:rsidP="008B67B2">
      <w:pPr>
        <w:pStyle w:val="NormalIndent"/>
        <w:numPr>
          <w:ilvl w:val="0"/>
          <w:numId w:val="44"/>
        </w:numPr>
      </w:pPr>
      <w:r w:rsidRPr="0046459E">
        <w:rPr>
          <w:b/>
          <w:bCs/>
        </w:rPr>
        <w:t>RM to CM Potential Customizations</w:t>
      </w:r>
      <w:r>
        <w:t xml:space="preserve">: </w:t>
      </w:r>
      <w:r w:rsidR="00FA3C37">
        <w:t>Identify</w:t>
      </w:r>
      <w:r w:rsidR="00DA62FB">
        <w:t xml:space="preserve"> customi</w:t>
      </w:r>
      <w:r w:rsidR="00FA3C37">
        <w:t>s</w:t>
      </w:r>
      <w:r w:rsidR="00DA62FB">
        <w:t xml:space="preserve">ations </w:t>
      </w:r>
      <w:r w:rsidR="0067757C">
        <w:t xml:space="preserve">required in CM </w:t>
      </w:r>
      <w:r w:rsidR="001473F6">
        <w:t>to mirror functionality in RM</w:t>
      </w:r>
      <w:r w:rsidR="00F32577">
        <w:t>.</w:t>
      </w:r>
    </w:p>
    <w:p w14:paraId="12B771A0" w14:textId="3B52DF95" w:rsidR="007F4F82" w:rsidRDefault="007F4F82" w:rsidP="007F4F82">
      <w:pPr>
        <w:pStyle w:val="NormalIndent"/>
        <w:numPr>
          <w:ilvl w:val="0"/>
          <w:numId w:val="44"/>
        </w:numPr>
      </w:pPr>
      <w:r w:rsidRPr="00CC26B6">
        <w:rPr>
          <w:b/>
          <w:bCs/>
        </w:rPr>
        <w:t>Customization Audit</w:t>
      </w:r>
      <w:r>
        <w:t>: Review</w:t>
      </w:r>
      <w:r w:rsidR="002557B3">
        <w:t xml:space="preserve"> the</w:t>
      </w:r>
      <w:r>
        <w:t xml:space="preserve"> existing cu</w:t>
      </w:r>
      <w:r w:rsidR="0012679B">
        <w:t xml:space="preserve">stomizations and </w:t>
      </w:r>
      <w:r w:rsidR="002557B3">
        <w:t>determine</w:t>
      </w:r>
      <w:r w:rsidR="0012679B">
        <w:t xml:space="preserve"> how they would be impacted if all portfolios </w:t>
      </w:r>
      <w:r w:rsidR="002557B3">
        <w:t>are</w:t>
      </w:r>
      <w:r w:rsidR="0012679B">
        <w:t xml:space="preserve"> managed in CM</w:t>
      </w:r>
      <w:r w:rsidR="00E55A53">
        <w:t>.</w:t>
      </w:r>
    </w:p>
    <w:p w14:paraId="23CC12E7" w14:textId="611EB300" w:rsidR="007F4F82" w:rsidRDefault="007F4F82" w:rsidP="007F4F82">
      <w:pPr>
        <w:pStyle w:val="NormalIndent"/>
        <w:numPr>
          <w:ilvl w:val="0"/>
          <w:numId w:val="44"/>
        </w:numPr>
      </w:pPr>
      <w:r w:rsidRPr="009F562F">
        <w:rPr>
          <w:b/>
          <w:bCs/>
        </w:rPr>
        <w:t>Integrations Audit</w:t>
      </w:r>
      <w:r>
        <w:rPr>
          <w:b/>
          <w:bCs/>
        </w:rPr>
        <w:t>:</w:t>
      </w:r>
      <w:r>
        <w:t xml:space="preserve"> Review</w:t>
      </w:r>
      <w:r w:rsidR="002557B3">
        <w:t xml:space="preserve"> the existing and new </w:t>
      </w:r>
      <w:r>
        <w:t>integrati</w:t>
      </w:r>
      <w:r w:rsidR="002557B3">
        <w:t>ons</w:t>
      </w:r>
      <w:r>
        <w:t xml:space="preserve"> </w:t>
      </w:r>
      <w:r w:rsidR="002557B3">
        <w:t>and determine how they</w:t>
      </w:r>
      <w:r>
        <w:t xml:space="preserve"> would be impacted if all portfolios are managed in CM.</w:t>
      </w:r>
    </w:p>
    <w:p w14:paraId="7D0DBA77" w14:textId="5B76989D" w:rsidR="007F4F82" w:rsidRDefault="002E44E3" w:rsidP="008B67B2">
      <w:pPr>
        <w:pStyle w:val="NormalIndent"/>
        <w:numPr>
          <w:ilvl w:val="0"/>
          <w:numId w:val="44"/>
        </w:numPr>
      </w:pPr>
      <w:r w:rsidRPr="00F94D70">
        <w:rPr>
          <w:b/>
          <w:bCs/>
        </w:rPr>
        <w:t>Data Migration Audit</w:t>
      </w:r>
      <w:r>
        <w:t xml:space="preserve">: </w:t>
      </w:r>
      <w:r w:rsidR="001868F0">
        <w:t>Review</w:t>
      </w:r>
      <w:r w:rsidR="009B695B">
        <w:t xml:space="preserve"> the migration scripts from the Legacy syst</w:t>
      </w:r>
      <w:r w:rsidR="00F94D70">
        <w:t xml:space="preserve">em </w:t>
      </w:r>
      <w:r w:rsidR="002557B3">
        <w:t>det</w:t>
      </w:r>
      <w:r w:rsidR="00920B41">
        <w:t>e</w:t>
      </w:r>
      <w:r w:rsidR="002557B3">
        <w:t>rmine</w:t>
      </w:r>
      <w:r w:rsidR="00F94D70">
        <w:t xml:space="preserve"> how they </w:t>
      </w:r>
      <w:r w:rsidR="002557B3">
        <w:t xml:space="preserve">would </w:t>
      </w:r>
      <w:r w:rsidR="00F94D70">
        <w:t>be impacted if all portfolios are managed in CM</w:t>
      </w:r>
      <w:r w:rsidR="00324A72">
        <w:t>.</w:t>
      </w:r>
    </w:p>
    <w:p w14:paraId="1AD17E0B" w14:textId="1F7E2F89" w:rsidR="00324A72" w:rsidRDefault="009D0B62" w:rsidP="00324A72">
      <w:pPr>
        <w:pStyle w:val="NormalIndent"/>
      </w:pPr>
      <w:r>
        <w:t xml:space="preserve">A more detailed </w:t>
      </w:r>
      <w:r w:rsidR="00EA2CD2">
        <w:t xml:space="preserve">statement of work will be provided should </w:t>
      </w:r>
      <w:r w:rsidR="00DC35A4">
        <w:t>Grainger decide to proceed. At a high level</w:t>
      </w:r>
      <w:r w:rsidR="00C717D7">
        <w:t>,</w:t>
      </w:r>
      <w:r w:rsidR="00DC35A4">
        <w:t xml:space="preserve"> we estimate that this en</w:t>
      </w:r>
      <w:r w:rsidR="00C717D7">
        <w:t>ga</w:t>
      </w:r>
      <w:r w:rsidR="00DC35A4">
        <w:t xml:space="preserve">gement would require </w:t>
      </w:r>
      <w:r w:rsidR="00C717D7">
        <w:t>between 120 – 160 hours of effort to complete.</w:t>
      </w:r>
    </w:p>
    <w:p w14:paraId="4C1C5B9A" w14:textId="77777777" w:rsidR="00C50EDF" w:rsidRDefault="00C50EDF" w:rsidP="00C50EDF">
      <w:pPr>
        <w:pStyle w:val="NormalIndent"/>
      </w:pPr>
    </w:p>
    <w:p w14:paraId="7CF0F78A" w14:textId="77777777" w:rsidR="00C50EDF" w:rsidRDefault="00C50EDF" w:rsidP="00C50EDF">
      <w:pPr>
        <w:pStyle w:val="NormalIndent"/>
      </w:pPr>
    </w:p>
    <w:p w14:paraId="469DB176" w14:textId="69B33B59" w:rsidR="00D03432" w:rsidRDefault="00D03432" w:rsidP="00D03432">
      <w:pPr>
        <w:pStyle w:val="Heading1"/>
      </w:pPr>
      <w:bookmarkStart w:id="13" w:name="_Toc65775600"/>
      <w:r>
        <w:t>Appendices</w:t>
      </w:r>
      <w:bookmarkEnd w:id="13"/>
    </w:p>
    <w:p w14:paraId="1BF8B6A0" w14:textId="2920A1DF" w:rsidR="00D03432" w:rsidRDefault="00D03432" w:rsidP="00D03432">
      <w:pPr>
        <w:pStyle w:val="Heading2"/>
      </w:pPr>
      <w:bookmarkStart w:id="14" w:name="_MRI_Heirarchy"/>
      <w:bookmarkStart w:id="15" w:name="_Toc65775601"/>
      <w:bookmarkEnd w:id="14"/>
      <w:r>
        <w:t xml:space="preserve">MRI </w:t>
      </w:r>
      <w:r w:rsidR="00815E3E">
        <w:t>HIERARCHY</w:t>
      </w:r>
      <w:bookmarkEnd w:id="15"/>
    </w:p>
    <w:p w14:paraId="03A5A9DD" w14:textId="04E61B38" w:rsidR="00D03432" w:rsidRPr="00D03432" w:rsidRDefault="001E5508" w:rsidP="00D03432">
      <w:pPr>
        <w:pStyle w:val="NormalIndent"/>
        <w:ind w:left="0"/>
      </w:pPr>
      <w:r>
        <w:pict w14:anchorId="090D05A7">
          <v:shape id="_x0000_i1029" type="#_x0000_t75" style="width:453pt;height:588pt">
            <v:imagedata r:id="rId16" o:title="MRI Hierarchy"/>
          </v:shape>
        </w:pict>
      </w:r>
    </w:p>
    <w:sectPr w:rsidR="00D03432" w:rsidRPr="00D03432" w:rsidSect="004B3057">
      <w:headerReference w:type="default" r:id="rId17"/>
      <w:footerReference w:type="default" r:id="rId18"/>
      <w:headerReference w:type="first" r:id="rId19"/>
      <w:footerReference w:type="first" r:id="rId20"/>
      <w:pgSz w:w="11907" w:h="16840" w:code="9"/>
      <w:pgMar w:top="1701" w:right="1418" w:bottom="1701" w:left="1418" w:header="567" w:footer="567" w:gutter="0"/>
      <w:paperSrc w:first="15" w:other="15"/>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43EB97" w14:textId="77777777" w:rsidR="008B67B2" w:rsidRDefault="008B67B2">
      <w:r>
        <w:separator/>
      </w:r>
    </w:p>
  </w:endnote>
  <w:endnote w:type="continuationSeparator" w:id="0">
    <w:p w14:paraId="73F95355" w14:textId="77777777" w:rsidR="008B67B2" w:rsidRDefault="008B67B2">
      <w:r>
        <w:continuationSeparator/>
      </w:r>
    </w:p>
  </w:endnote>
  <w:endnote w:type="continuationNotice" w:id="1">
    <w:p w14:paraId="536F8C27" w14:textId="77777777" w:rsidR="008B67B2" w:rsidRDefault="008B67B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G Times (W1)">
    <w:altName w:val="Times New Roman"/>
    <w:panose1 w:val="00000000000000000000"/>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Proxima Nova Light">
    <w:altName w:val="Candara"/>
    <w:charset w:val="00"/>
    <w:family w:val="auto"/>
    <w:pitch w:val="variable"/>
    <w:sig w:usb0="00000001" w:usb1="5000E0F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D1370D" w14:textId="77777777" w:rsidR="0049527D" w:rsidRDefault="0049527D" w:rsidP="0049527D">
    <w:pPr>
      <w:pStyle w:val="Footer"/>
      <w:pBdr>
        <w:top w:val="none" w:sz="0" w:space="0" w:color="auto"/>
        <w:between w:val="none" w:sz="0" w:space="0" w:color="auto"/>
      </w:pBdr>
    </w:pPr>
  </w:p>
  <w:p w14:paraId="1C39D9D9" w14:textId="77777777" w:rsidR="0049527D" w:rsidRDefault="0049527D" w:rsidP="0049527D"/>
  <w:p w14:paraId="7267116D" w14:textId="6C46C7E5" w:rsidR="0049527D" w:rsidRDefault="0049527D" w:rsidP="0049527D">
    <w:pPr>
      <w:spacing w:line="240" w:lineRule="atLeast"/>
      <w:rPr>
        <w:rFonts w:eastAsia="Proxima Nova Light" w:cs="Proxima Nova Light"/>
        <w:i/>
        <w:color w:val="999999"/>
        <w:spacing w:val="3"/>
        <w:position w:val="1"/>
      </w:rPr>
    </w:pPr>
    <w:r>
      <w:rPr>
        <w:rFonts w:eastAsia="Proxima Nova Light" w:cs="Proxima Nova Light"/>
        <w:i/>
        <w:color w:val="999999"/>
        <w:spacing w:val="3"/>
        <w:position w:val="1"/>
      </w:rPr>
      <w:fldChar w:fldCharType="begin"/>
    </w:r>
    <w:r>
      <w:rPr>
        <w:rFonts w:eastAsia="Proxima Nova Light" w:cs="Proxima Nova Light"/>
        <w:i/>
        <w:color w:val="999999"/>
        <w:spacing w:val="3"/>
        <w:position w:val="1"/>
      </w:rPr>
      <w:instrText xml:space="preserve"> DOCPROPERTY  Category  \* MERGEFORMAT </w:instrText>
    </w:r>
    <w:r>
      <w:rPr>
        <w:rFonts w:eastAsia="Proxima Nova Light" w:cs="Proxima Nova Light"/>
        <w:i/>
        <w:color w:val="999999"/>
        <w:spacing w:val="3"/>
        <w:position w:val="1"/>
      </w:rPr>
      <w:fldChar w:fldCharType="separate"/>
    </w:r>
    <w:r w:rsidR="00A97BB8">
      <w:rPr>
        <w:rFonts w:eastAsia="Proxima Nova Light" w:cs="Proxima Nova Light"/>
        <w:i/>
        <w:color w:val="999999"/>
        <w:spacing w:val="3"/>
        <w:position w:val="1"/>
      </w:rPr>
      <w:t>Grainger PLC</w:t>
    </w:r>
    <w:r>
      <w:rPr>
        <w:rFonts w:eastAsia="Proxima Nova Light" w:cs="Proxima Nova Light"/>
        <w:i/>
        <w:color w:val="999999"/>
        <w:spacing w:val="3"/>
        <w:position w:val="1"/>
      </w:rPr>
      <w:fldChar w:fldCharType="end"/>
    </w:r>
    <w:r w:rsidR="001E5508">
      <w:rPr>
        <w:noProof/>
      </w:rPr>
      <w:pict w14:anchorId="595BF7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0" o:spid="_x0000_s2081" type="#_x0000_t75" alt="smallBoxes" style="position:absolute;margin-left:431.25pt;margin-top:-1.55pt;width:70.5pt;height:12.5pt;z-index:-251658237;visibility:visible;mso-position-horizontal-relative:text;mso-position-vertical-relative:text">
          <v:imagedata r:id="rId1" o:title="smallBoxes"/>
        </v:shape>
      </w:pict>
    </w:r>
    <w:r>
      <w:rPr>
        <w:rFonts w:eastAsia="Proxima Nova Light" w:cs="Proxima Nova Light"/>
        <w:i/>
        <w:color w:val="999999"/>
        <w:spacing w:val="3"/>
        <w:position w:val="1"/>
      </w:rPr>
      <w:t xml:space="preserve"> </w:t>
    </w:r>
    <w:r w:rsidRPr="00A71B19">
      <w:rPr>
        <w:rFonts w:eastAsia="Proxima Nova Light" w:cs="Proxima Nova Light"/>
        <w:i/>
        <w:color w:val="BDD626"/>
        <w:spacing w:val="3"/>
        <w:position w:val="1"/>
      </w:rPr>
      <w:t>/</w:t>
    </w:r>
    <w:r>
      <w:rPr>
        <w:rFonts w:eastAsia="Proxima Nova Light" w:cs="Proxima Nova Light"/>
        <w:i/>
        <w:color w:val="999999"/>
        <w:spacing w:val="3"/>
        <w:position w:val="1"/>
      </w:rPr>
      <w:t xml:space="preserve"> </w:t>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instrText xml:space="preserve"> DOCPROPERTY  Title  \* MERGEFORMAT </w:instrText>
    </w:r>
    <w:r w:rsidRPr="00A71B19">
      <w:rPr>
        <w:rFonts w:eastAsia="Proxima Nova Light" w:cs="Proxima Nova Light"/>
        <w:i/>
        <w:color w:val="999999"/>
        <w:spacing w:val="3"/>
        <w:position w:val="1"/>
      </w:rPr>
      <w:fldChar w:fldCharType="separate"/>
    </w:r>
    <w:r w:rsidR="00A97BB8">
      <w:rPr>
        <w:rFonts w:eastAsia="Proxima Nova Light" w:cs="Proxima Nova Light"/>
        <w:i/>
        <w:color w:val="999999"/>
        <w:spacing w:val="3"/>
        <w:position w:val="1"/>
      </w:rPr>
      <w:t>MRI Implementation Consulting</w:t>
    </w:r>
    <w:r w:rsidRPr="00A71B19">
      <w:rPr>
        <w:rFonts w:eastAsia="Proxima Nova Light" w:cs="Proxima Nova Light"/>
        <w:i/>
        <w:color w:val="999999"/>
        <w:spacing w:val="3"/>
        <w:position w:val="1"/>
      </w:rPr>
      <w:fldChar w:fldCharType="end"/>
    </w:r>
    <w:r>
      <w:rPr>
        <w:rFonts w:eastAsia="Proxima Nova Light" w:cs="Proxima Nova Light"/>
        <w:i/>
        <w:color w:val="999999"/>
        <w:spacing w:val="3"/>
        <w:position w:val="1"/>
      </w:rPr>
      <w:tab/>
      <w:t xml:space="preserve">       </w:t>
    </w:r>
    <w:r>
      <w:rPr>
        <w:rFonts w:eastAsia="Proxima Nova Light" w:cs="Proxima Nova Light"/>
        <w:i/>
        <w:color w:val="999999"/>
        <w:spacing w:val="3"/>
        <w:position w:val="1"/>
      </w:rPr>
      <w:tab/>
    </w:r>
    <w:r>
      <w:rPr>
        <w:rFonts w:eastAsia="Proxima Nova Light" w:cs="Proxima Nova Light"/>
        <w:i/>
        <w:color w:val="999999"/>
        <w:spacing w:val="3"/>
        <w:position w:val="1"/>
      </w:rPr>
      <w:tab/>
    </w:r>
    <w:r>
      <w:rPr>
        <w:rFonts w:eastAsia="Proxima Nova Light" w:cs="Proxima Nova Light"/>
        <w:i/>
        <w:color w:val="999999"/>
        <w:spacing w:val="3"/>
        <w:position w:val="1"/>
      </w:rPr>
      <w:tab/>
      <w:t xml:space="preserve"> </w:t>
    </w:r>
    <w:r w:rsidRPr="00A71B19">
      <w:rPr>
        <w:rFonts w:eastAsia="Proxima Nova Light" w:cs="Proxima Nova Light"/>
        <w:i/>
        <w:color w:val="999999"/>
        <w:spacing w:val="3"/>
        <w:position w:val="1"/>
      </w:rPr>
      <w:t xml:space="preserve">Page </w:t>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instrText xml:space="preserve"> PAGE  \* Arabic </w:instrText>
    </w:r>
    <w:r w:rsidRPr="00A71B19">
      <w:rPr>
        <w:rFonts w:eastAsia="Proxima Nova Light" w:cs="Proxima Nova Light"/>
        <w:i/>
        <w:color w:val="999999"/>
        <w:spacing w:val="3"/>
        <w:position w:val="1"/>
      </w:rPr>
      <w:fldChar w:fldCharType="separate"/>
    </w:r>
    <w:r>
      <w:rPr>
        <w:rFonts w:eastAsia="Proxima Nova Light" w:cs="Proxima Nova Light"/>
        <w:i/>
        <w:noProof/>
        <w:color w:val="999999"/>
        <w:spacing w:val="3"/>
        <w:position w:val="1"/>
      </w:rPr>
      <w:t>2</w:t>
    </w:r>
    <w:r w:rsidRPr="00A71B19">
      <w:rPr>
        <w:rFonts w:eastAsia="Proxima Nova Light" w:cs="Proxima Nova Light"/>
        <w:i/>
        <w:color w:val="999999"/>
        <w:spacing w:val="3"/>
        <w:position w:val="1"/>
      </w:rPr>
      <w:fldChar w:fldCharType="end"/>
    </w:r>
    <w:r w:rsidRPr="00A71B19">
      <w:rPr>
        <w:rFonts w:eastAsia="Proxima Nova Light" w:cs="Proxima Nova Light"/>
        <w:i/>
        <w:color w:val="999999"/>
        <w:spacing w:val="3"/>
        <w:position w:val="1"/>
      </w:rPr>
      <w:t xml:space="preserve"> of </w:t>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instrText xml:space="preserve"> NUMPAGES </w:instrText>
    </w:r>
    <w:r w:rsidRPr="00A71B19">
      <w:rPr>
        <w:rFonts w:eastAsia="Proxima Nova Light" w:cs="Proxima Nova Light"/>
        <w:i/>
        <w:color w:val="999999"/>
        <w:spacing w:val="3"/>
        <w:position w:val="1"/>
      </w:rPr>
      <w:fldChar w:fldCharType="separate"/>
    </w:r>
    <w:r>
      <w:rPr>
        <w:rFonts w:eastAsia="Proxima Nova Light" w:cs="Proxima Nova Light"/>
        <w:i/>
        <w:noProof/>
        <w:color w:val="999999"/>
        <w:spacing w:val="3"/>
        <w:position w:val="1"/>
      </w:rPr>
      <w:t>4</w:t>
    </w:r>
    <w:r w:rsidRPr="00A71B19">
      <w:rPr>
        <w:rFonts w:eastAsia="Proxima Nova Light" w:cs="Proxima Nova Light"/>
        <w:i/>
        <w:color w:val="999999"/>
        <w:spacing w:val="3"/>
        <w:position w:val="1"/>
      </w:rPr>
      <w:fldChar w:fldCharType="end"/>
    </w:r>
  </w:p>
  <w:p w14:paraId="77147A41" w14:textId="77777777" w:rsidR="00CB609A" w:rsidRPr="003D0162" w:rsidRDefault="00CB609A" w:rsidP="003D0162">
    <w:pPr>
      <w:pStyle w:val="Footer"/>
      <w:pBdr>
        <w:top w:val="none" w:sz="0" w:space="0" w:color="auto"/>
        <w:between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C66518" w14:textId="77777777" w:rsidR="00CB609A" w:rsidRDefault="00CB609A" w:rsidP="000E6779">
    <w:pPr>
      <w:pStyle w:val="Footer"/>
      <w:pBdr>
        <w:top w:val="none" w:sz="0" w:space="0" w:color="auto"/>
        <w:between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9887EF" w14:textId="77777777" w:rsidR="008B67B2" w:rsidRDefault="008B67B2">
      <w:r>
        <w:separator/>
      </w:r>
    </w:p>
  </w:footnote>
  <w:footnote w:type="continuationSeparator" w:id="0">
    <w:p w14:paraId="52A75104" w14:textId="77777777" w:rsidR="008B67B2" w:rsidRDefault="008B67B2">
      <w:r>
        <w:continuationSeparator/>
      </w:r>
    </w:p>
  </w:footnote>
  <w:footnote w:type="continuationNotice" w:id="1">
    <w:p w14:paraId="47D11F15" w14:textId="77777777" w:rsidR="008B67B2" w:rsidRDefault="008B67B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381CA7" w14:textId="77777777" w:rsidR="00CB609A" w:rsidRPr="003D0162" w:rsidRDefault="001E5508" w:rsidP="003D0162">
    <w:pPr>
      <w:pStyle w:val="Header"/>
      <w:pBdr>
        <w:bottom w:val="none" w:sz="0" w:space="0" w:color="auto"/>
        <w:between w:val="none" w:sz="0" w:space="0" w:color="auto"/>
      </w:pBdr>
    </w:pPr>
    <w:r>
      <w:rPr>
        <w:noProof/>
      </w:rPr>
      <w:pict w14:anchorId="04FC2D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9" o:spid="_x0000_s2079" type="#_x0000_t75" style="position:absolute;left:0;text-align:left;margin-left:171.85pt;margin-top:-27.9pt;width:422.35pt;height:127pt;z-index:-251658238;visibility:visible;mso-position-horizontal-relative:page">
          <v:imagedata r:id="rId1" o:title="" cropbottom="51739f"/>
          <w10:wrap anchorx="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1B513D" w14:textId="77777777" w:rsidR="00CB609A" w:rsidRDefault="001E5508">
    <w:pPr>
      <w:pStyle w:val="Header"/>
      <w:pBdr>
        <w:bottom w:val="none" w:sz="0" w:space="0" w:color="auto"/>
        <w:between w:val="none" w:sz="0" w:space="0" w:color="auto"/>
      </w:pBdr>
    </w:pPr>
    <w:r>
      <w:rPr>
        <w:noProof/>
      </w:rPr>
      <w:pict w14:anchorId="382CD9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447" o:spid="_x0000_s2075" type="#_x0000_t75" style="position:absolute;left:0;text-align:left;margin-left:.8pt;margin-top:-22.3pt;width:598.55pt;height:846pt;z-index:-251658240;visibility:visible;mso-position-horizontal-relative:page">
          <v:imagedata r:id="rId1" o:title=""/>
          <w10:wrap anchorx="page"/>
        </v:shape>
      </w:pict>
    </w:r>
    <w:r>
      <w:rPr>
        <w:noProof/>
        <w:lang w:val="en-ZA" w:eastAsia="en-ZA"/>
      </w:rPr>
      <w:pict w14:anchorId="2B94E7B2">
        <v:shape id="Picture 52" o:spid="_x0000_s2077" type="#_x0000_t75" style="position:absolute;left:0;text-align:left;margin-left:403.6pt;margin-top:-30.55pt;width:191.25pt;height:86.7pt;z-index:-251658239;visibility:visible;mso-position-horizontal-relative:page">
          <v:imagedata r:id="rId2" o:title="" croptop="28661f" cropbottom="29942f" cropleft="27344f" cropright="27380f"/>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F318D4"/>
    <w:multiLevelType w:val="multilevel"/>
    <w:tmpl w:val="572A7FF0"/>
    <w:numStyleLink w:val="StyleBulleted"/>
  </w:abstractNum>
  <w:abstractNum w:abstractNumId="1" w15:restartNumberingAfterBreak="0">
    <w:nsid w:val="013279B6"/>
    <w:multiLevelType w:val="multilevel"/>
    <w:tmpl w:val="AD1CA1D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1701"/>
        </w:tabs>
        <w:ind w:left="1701" w:hanging="992"/>
      </w:pPr>
      <w:rPr>
        <w:rFonts w:hint="default"/>
      </w:rPr>
    </w:lvl>
    <w:lvl w:ilvl="4">
      <w:start w:val="1"/>
      <w:numFmt w:val="decimal"/>
      <w:lvlText w:val="%1.%2.%3.%4.%5"/>
      <w:lvlJc w:val="left"/>
      <w:pPr>
        <w:tabs>
          <w:tab w:val="num" w:pos="2325"/>
        </w:tabs>
        <w:ind w:left="2325" w:hanging="1616"/>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25A55C7"/>
    <w:multiLevelType w:val="multilevel"/>
    <w:tmpl w:val="29D0562E"/>
    <w:numStyleLink w:val="StyleOutlinenumbered"/>
  </w:abstractNum>
  <w:abstractNum w:abstractNumId="3" w15:restartNumberingAfterBreak="0">
    <w:nsid w:val="0381222B"/>
    <w:multiLevelType w:val="multilevel"/>
    <w:tmpl w:val="EEEC77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1644"/>
        </w:tabs>
        <w:ind w:left="1644" w:hanging="935"/>
      </w:pPr>
      <w:rPr>
        <w:rFonts w:hint="default"/>
      </w:rPr>
    </w:lvl>
    <w:lvl w:ilvl="4">
      <w:start w:val="1"/>
      <w:numFmt w:val="decimal"/>
      <w:lvlText w:val="%1.%2.%3.%4.%5"/>
      <w:lvlJc w:val="left"/>
      <w:pPr>
        <w:tabs>
          <w:tab w:val="num" w:pos="1814"/>
        </w:tabs>
        <w:ind w:left="1814" w:hanging="1105"/>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052806F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05C75A25"/>
    <w:multiLevelType w:val="multilevel"/>
    <w:tmpl w:val="29D0562E"/>
    <w:numStyleLink w:val="StyleOutlinenumbered"/>
  </w:abstractNum>
  <w:abstractNum w:abstractNumId="6" w15:restartNumberingAfterBreak="0">
    <w:nsid w:val="06964712"/>
    <w:multiLevelType w:val="multilevel"/>
    <w:tmpl w:val="572A7FF0"/>
    <w:styleLink w:val="StyleBulleted"/>
    <w:lvl w:ilvl="0">
      <w:start w:val="1"/>
      <w:numFmt w:val="bullet"/>
      <w:lvlText w:val=""/>
      <w:lvlJc w:val="left"/>
      <w:pPr>
        <w:tabs>
          <w:tab w:val="num" w:pos="1134"/>
        </w:tabs>
        <w:ind w:left="1134" w:hanging="425"/>
      </w:pPr>
      <w:rPr>
        <w:rFonts w:ascii="Symbol" w:hAnsi="Symbol" w:hint="default"/>
      </w:rPr>
    </w:lvl>
    <w:lvl w:ilvl="1">
      <w:start w:val="1"/>
      <w:numFmt w:val="bullet"/>
      <w:lvlText w:val="o"/>
      <w:lvlJc w:val="left"/>
      <w:pPr>
        <w:tabs>
          <w:tab w:val="num" w:pos="1843"/>
        </w:tabs>
        <w:ind w:left="1843" w:hanging="425"/>
      </w:pPr>
      <w:rPr>
        <w:rFonts w:ascii="Courier New" w:hAnsi="Courier New" w:hint="default"/>
      </w:rPr>
    </w:lvl>
    <w:lvl w:ilvl="2">
      <w:start w:val="1"/>
      <w:numFmt w:val="bullet"/>
      <w:lvlText w:val=""/>
      <w:lvlJc w:val="left"/>
      <w:pPr>
        <w:tabs>
          <w:tab w:val="num" w:pos="2552"/>
        </w:tabs>
        <w:ind w:left="2552" w:hanging="426"/>
      </w:pPr>
      <w:rPr>
        <w:rFonts w:ascii="Wingdings" w:hAnsi="Wingdings" w:hint="default"/>
      </w:rPr>
    </w:lvl>
    <w:lvl w:ilvl="3">
      <w:start w:val="1"/>
      <w:numFmt w:val="bullet"/>
      <w:lvlText w:val=""/>
      <w:lvlJc w:val="left"/>
      <w:pPr>
        <w:tabs>
          <w:tab w:val="num" w:pos="8291"/>
        </w:tabs>
        <w:ind w:left="8291" w:hanging="360"/>
      </w:pPr>
      <w:rPr>
        <w:rFonts w:ascii="Symbol" w:hAnsi="Symbol" w:hint="default"/>
      </w:rPr>
    </w:lvl>
    <w:lvl w:ilvl="4">
      <w:start w:val="1"/>
      <w:numFmt w:val="bullet"/>
      <w:lvlText w:val="o"/>
      <w:lvlJc w:val="left"/>
      <w:pPr>
        <w:tabs>
          <w:tab w:val="num" w:pos="9011"/>
        </w:tabs>
        <w:ind w:left="9011" w:hanging="360"/>
      </w:pPr>
      <w:rPr>
        <w:rFonts w:ascii="Courier New" w:hAnsi="Courier New" w:cs="Courier New" w:hint="default"/>
      </w:rPr>
    </w:lvl>
    <w:lvl w:ilvl="5">
      <w:start w:val="1"/>
      <w:numFmt w:val="bullet"/>
      <w:lvlText w:val=""/>
      <w:lvlJc w:val="left"/>
      <w:pPr>
        <w:tabs>
          <w:tab w:val="num" w:pos="9731"/>
        </w:tabs>
        <w:ind w:left="9731" w:hanging="360"/>
      </w:pPr>
      <w:rPr>
        <w:rFonts w:ascii="Wingdings" w:hAnsi="Wingdings" w:hint="default"/>
      </w:rPr>
    </w:lvl>
    <w:lvl w:ilvl="6">
      <w:start w:val="1"/>
      <w:numFmt w:val="bullet"/>
      <w:lvlText w:val=""/>
      <w:lvlJc w:val="left"/>
      <w:pPr>
        <w:tabs>
          <w:tab w:val="num" w:pos="10451"/>
        </w:tabs>
        <w:ind w:left="10451" w:hanging="360"/>
      </w:pPr>
      <w:rPr>
        <w:rFonts w:ascii="Symbol" w:hAnsi="Symbol" w:hint="default"/>
      </w:rPr>
    </w:lvl>
    <w:lvl w:ilvl="7">
      <w:start w:val="1"/>
      <w:numFmt w:val="bullet"/>
      <w:lvlText w:val="o"/>
      <w:lvlJc w:val="left"/>
      <w:pPr>
        <w:tabs>
          <w:tab w:val="num" w:pos="11171"/>
        </w:tabs>
        <w:ind w:left="11171" w:hanging="360"/>
      </w:pPr>
      <w:rPr>
        <w:rFonts w:ascii="Courier New" w:hAnsi="Courier New" w:cs="Courier New" w:hint="default"/>
      </w:rPr>
    </w:lvl>
    <w:lvl w:ilvl="8">
      <w:start w:val="1"/>
      <w:numFmt w:val="bullet"/>
      <w:lvlText w:val=""/>
      <w:lvlJc w:val="left"/>
      <w:pPr>
        <w:tabs>
          <w:tab w:val="num" w:pos="11891"/>
        </w:tabs>
        <w:ind w:left="11891" w:hanging="360"/>
      </w:pPr>
      <w:rPr>
        <w:rFonts w:ascii="Wingdings" w:hAnsi="Wingdings" w:hint="default"/>
      </w:rPr>
    </w:lvl>
  </w:abstractNum>
  <w:abstractNum w:abstractNumId="7" w15:restartNumberingAfterBreak="0">
    <w:nsid w:val="0BEA3A75"/>
    <w:multiLevelType w:val="hybridMultilevel"/>
    <w:tmpl w:val="BAAA89BA"/>
    <w:lvl w:ilvl="0" w:tplc="A9E68722">
      <w:numFmt w:val="bullet"/>
      <w:lvlText w:val="-"/>
      <w:lvlJc w:val="left"/>
      <w:pPr>
        <w:ind w:left="1069" w:hanging="360"/>
      </w:pPr>
      <w:rPr>
        <w:rFonts w:ascii="Verdana" w:eastAsia="Times New Roman" w:hAnsi="Verdana"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0CC75A07"/>
    <w:multiLevelType w:val="multilevel"/>
    <w:tmpl w:val="C0B2291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1644"/>
        </w:tabs>
        <w:ind w:left="1644" w:hanging="935"/>
      </w:pPr>
      <w:rPr>
        <w:rFonts w:hint="default"/>
      </w:rPr>
    </w:lvl>
    <w:lvl w:ilvl="4">
      <w:start w:val="1"/>
      <w:numFmt w:val="decimal"/>
      <w:lvlText w:val="%1.%2.%3.%4.%5"/>
      <w:lvlJc w:val="left"/>
      <w:pPr>
        <w:tabs>
          <w:tab w:val="num" w:pos="2381"/>
        </w:tabs>
        <w:ind w:left="2381" w:hanging="1672"/>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0E62790D"/>
    <w:multiLevelType w:val="multilevel"/>
    <w:tmpl w:val="572A7FF0"/>
    <w:numStyleLink w:val="StyleBulleted"/>
  </w:abstractNum>
  <w:abstractNum w:abstractNumId="10" w15:restartNumberingAfterBreak="0">
    <w:nsid w:val="0EE7554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F2D511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17B3666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8F8170F"/>
    <w:multiLevelType w:val="multilevel"/>
    <w:tmpl w:val="29D0562E"/>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14" w15:restartNumberingAfterBreak="0">
    <w:nsid w:val="1CED6714"/>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1D475375"/>
    <w:multiLevelType w:val="multilevel"/>
    <w:tmpl w:val="572A7FF0"/>
    <w:numStyleLink w:val="StyleBulleted"/>
  </w:abstractNum>
  <w:abstractNum w:abstractNumId="16" w15:restartNumberingAfterBreak="0">
    <w:nsid w:val="20F04D79"/>
    <w:multiLevelType w:val="multilevel"/>
    <w:tmpl w:val="AA6EF24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1077"/>
        </w:tabs>
        <w:ind w:left="1077" w:hanging="1077"/>
      </w:pPr>
      <w:rPr>
        <w:rFonts w:hint="default"/>
      </w:rPr>
    </w:lvl>
    <w:lvl w:ilvl="3">
      <w:start w:val="1"/>
      <w:numFmt w:val="decimal"/>
      <w:lvlText w:val="%1.%2.%3.%4"/>
      <w:lvlJc w:val="left"/>
      <w:pPr>
        <w:tabs>
          <w:tab w:val="num" w:pos="1701"/>
        </w:tabs>
        <w:ind w:left="1701" w:hanging="992"/>
      </w:pPr>
      <w:rPr>
        <w:rFonts w:hint="default"/>
      </w:rPr>
    </w:lvl>
    <w:lvl w:ilvl="4">
      <w:start w:val="1"/>
      <w:numFmt w:val="decimal"/>
      <w:lvlText w:val="%1.%2.%3.%4.%5"/>
      <w:lvlJc w:val="left"/>
      <w:pPr>
        <w:tabs>
          <w:tab w:val="num" w:pos="2325"/>
        </w:tabs>
        <w:ind w:left="2325" w:hanging="1616"/>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216009F2"/>
    <w:multiLevelType w:val="hybridMultilevel"/>
    <w:tmpl w:val="65365EC6"/>
    <w:lvl w:ilvl="0" w:tplc="1C090001">
      <w:start w:val="1"/>
      <w:numFmt w:val="bullet"/>
      <w:pStyle w:val="ListBullet"/>
      <w:lvlText w:val=""/>
      <w:lvlJc w:val="left"/>
      <w:pPr>
        <w:tabs>
          <w:tab w:val="num" w:pos="720"/>
        </w:tabs>
        <w:ind w:left="720" w:hanging="360"/>
      </w:pPr>
      <w:rPr>
        <w:rFonts w:ascii="Symbol" w:hAnsi="Symbol" w:hint="default"/>
      </w:rPr>
    </w:lvl>
    <w:lvl w:ilvl="1" w:tplc="1C090003" w:tentative="1">
      <w:start w:val="1"/>
      <w:numFmt w:val="bullet"/>
      <w:lvlText w:val="o"/>
      <w:lvlJc w:val="left"/>
      <w:pPr>
        <w:tabs>
          <w:tab w:val="num" w:pos="1440"/>
        </w:tabs>
        <w:ind w:left="1440" w:hanging="360"/>
      </w:pPr>
      <w:rPr>
        <w:rFonts w:ascii="Courier New" w:hAnsi="Courier New" w:cs="Courier New" w:hint="default"/>
      </w:rPr>
    </w:lvl>
    <w:lvl w:ilvl="2" w:tplc="1C090005" w:tentative="1">
      <w:start w:val="1"/>
      <w:numFmt w:val="bullet"/>
      <w:lvlText w:val=""/>
      <w:lvlJc w:val="left"/>
      <w:pPr>
        <w:tabs>
          <w:tab w:val="num" w:pos="2160"/>
        </w:tabs>
        <w:ind w:left="2160" w:hanging="360"/>
      </w:pPr>
      <w:rPr>
        <w:rFonts w:ascii="Wingdings" w:hAnsi="Wingdings" w:hint="default"/>
      </w:rPr>
    </w:lvl>
    <w:lvl w:ilvl="3" w:tplc="1C090001" w:tentative="1">
      <w:start w:val="1"/>
      <w:numFmt w:val="bullet"/>
      <w:lvlText w:val=""/>
      <w:lvlJc w:val="left"/>
      <w:pPr>
        <w:tabs>
          <w:tab w:val="num" w:pos="2880"/>
        </w:tabs>
        <w:ind w:left="2880" w:hanging="360"/>
      </w:pPr>
      <w:rPr>
        <w:rFonts w:ascii="Symbol" w:hAnsi="Symbol" w:hint="default"/>
      </w:rPr>
    </w:lvl>
    <w:lvl w:ilvl="4" w:tplc="1C090003" w:tentative="1">
      <w:start w:val="1"/>
      <w:numFmt w:val="bullet"/>
      <w:lvlText w:val="o"/>
      <w:lvlJc w:val="left"/>
      <w:pPr>
        <w:tabs>
          <w:tab w:val="num" w:pos="3600"/>
        </w:tabs>
        <w:ind w:left="3600" w:hanging="360"/>
      </w:pPr>
      <w:rPr>
        <w:rFonts w:ascii="Courier New" w:hAnsi="Courier New" w:cs="Courier New" w:hint="default"/>
      </w:rPr>
    </w:lvl>
    <w:lvl w:ilvl="5" w:tplc="1C090005" w:tentative="1">
      <w:start w:val="1"/>
      <w:numFmt w:val="bullet"/>
      <w:lvlText w:val=""/>
      <w:lvlJc w:val="left"/>
      <w:pPr>
        <w:tabs>
          <w:tab w:val="num" w:pos="4320"/>
        </w:tabs>
        <w:ind w:left="4320" w:hanging="360"/>
      </w:pPr>
      <w:rPr>
        <w:rFonts w:ascii="Wingdings" w:hAnsi="Wingdings" w:hint="default"/>
      </w:rPr>
    </w:lvl>
    <w:lvl w:ilvl="6" w:tplc="1C090001" w:tentative="1">
      <w:start w:val="1"/>
      <w:numFmt w:val="bullet"/>
      <w:lvlText w:val=""/>
      <w:lvlJc w:val="left"/>
      <w:pPr>
        <w:tabs>
          <w:tab w:val="num" w:pos="5040"/>
        </w:tabs>
        <w:ind w:left="5040" w:hanging="360"/>
      </w:pPr>
      <w:rPr>
        <w:rFonts w:ascii="Symbol" w:hAnsi="Symbol" w:hint="default"/>
      </w:rPr>
    </w:lvl>
    <w:lvl w:ilvl="7" w:tplc="1C090003" w:tentative="1">
      <w:start w:val="1"/>
      <w:numFmt w:val="bullet"/>
      <w:lvlText w:val="o"/>
      <w:lvlJc w:val="left"/>
      <w:pPr>
        <w:tabs>
          <w:tab w:val="num" w:pos="5760"/>
        </w:tabs>
        <w:ind w:left="5760" w:hanging="360"/>
      </w:pPr>
      <w:rPr>
        <w:rFonts w:ascii="Courier New" w:hAnsi="Courier New" w:cs="Courier New" w:hint="default"/>
      </w:rPr>
    </w:lvl>
    <w:lvl w:ilvl="8" w:tplc="1C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17F3D93"/>
    <w:multiLevelType w:val="multilevel"/>
    <w:tmpl w:val="29D0562E"/>
    <w:numStyleLink w:val="StyleOutlinenumbered"/>
  </w:abstractNum>
  <w:abstractNum w:abstractNumId="19" w15:restartNumberingAfterBreak="0">
    <w:nsid w:val="24A4646C"/>
    <w:multiLevelType w:val="multilevel"/>
    <w:tmpl w:val="12E8BCA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964"/>
        </w:tabs>
        <w:ind w:left="964" w:hanging="964"/>
      </w:pPr>
      <w:rPr>
        <w:rFonts w:hint="default"/>
      </w:rPr>
    </w:lvl>
    <w:lvl w:ilvl="3">
      <w:start w:val="1"/>
      <w:numFmt w:val="decimal"/>
      <w:lvlText w:val="%1.%2.%3.%4"/>
      <w:lvlJc w:val="left"/>
      <w:pPr>
        <w:tabs>
          <w:tab w:val="num" w:pos="1644"/>
        </w:tabs>
        <w:ind w:left="1644" w:hanging="935"/>
      </w:pPr>
      <w:rPr>
        <w:rFonts w:hint="default"/>
      </w:rPr>
    </w:lvl>
    <w:lvl w:ilvl="4">
      <w:start w:val="1"/>
      <w:numFmt w:val="decimal"/>
      <w:lvlText w:val="%1.%2.%3.%4.%5"/>
      <w:lvlJc w:val="left"/>
      <w:pPr>
        <w:tabs>
          <w:tab w:val="num" w:pos="2381"/>
        </w:tabs>
        <w:ind w:left="2381" w:hanging="1672"/>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28E50935"/>
    <w:multiLevelType w:val="multilevel"/>
    <w:tmpl w:val="572A7FF0"/>
    <w:numStyleLink w:val="StyleBulleted"/>
  </w:abstractNum>
  <w:abstractNum w:abstractNumId="21" w15:restartNumberingAfterBreak="0">
    <w:nsid w:val="28FF03C8"/>
    <w:multiLevelType w:val="multilevel"/>
    <w:tmpl w:val="572A7FF0"/>
    <w:numStyleLink w:val="StyleBulleted"/>
  </w:abstractNum>
  <w:abstractNum w:abstractNumId="22" w15:restartNumberingAfterBreak="0">
    <w:nsid w:val="2DCA5E43"/>
    <w:multiLevelType w:val="multilevel"/>
    <w:tmpl w:val="572A7FF0"/>
    <w:numStyleLink w:val="StyleBulleted"/>
  </w:abstractNum>
  <w:abstractNum w:abstractNumId="23" w15:restartNumberingAfterBreak="0">
    <w:nsid w:val="30097E78"/>
    <w:multiLevelType w:val="multilevel"/>
    <w:tmpl w:val="572A7FF0"/>
    <w:numStyleLink w:val="StyleBulleted"/>
  </w:abstractNum>
  <w:abstractNum w:abstractNumId="24" w15:restartNumberingAfterBreak="0">
    <w:nsid w:val="3A174F18"/>
    <w:multiLevelType w:val="multilevel"/>
    <w:tmpl w:val="3CA02A58"/>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5" w15:restartNumberingAfterBreak="0">
    <w:nsid w:val="3B6D036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445C40A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45521C56"/>
    <w:multiLevelType w:val="multilevel"/>
    <w:tmpl w:val="70FA9F1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465B4B47"/>
    <w:multiLevelType w:val="hybridMultilevel"/>
    <w:tmpl w:val="38CC64FC"/>
    <w:lvl w:ilvl="0" w:tplc="04090001">
      <w:start w:val="1"/>
      <w:numFmt w:val="bullet"/>
      <w:lvlText w:val=""/>
      <w:lvlJc w:val="left"/>
      <w:pPr>
        <w:ind w:left="1640" w:hanging="360"/>
      </w:pPr>
      <w:rPr>
        <w:rFonts w:ascii="Symbol" w:hAnsi="Symbol" w:hint="default"/>
      </w:rPr>
    </w:lvl>
    <w:lvl w:ilvl="1" w:tplc="04090003" w:tentative="1">
      <w:start w:val="1"/>
      <w:numFmt w:val="bullet"/>
      <w:lvlText w:val="o"/>
      <w:lvlJc w:val="left"/>
      <w:pPr>
        <w:ind w:left="2360" w:hanging="360"/>
      </w:pPr>
      <w:rPr>
        <w:rFonts w:ascii="Courier New" w:hAnsi="Courier New" w:cs="Courier New" w:hint="default"/>
      </w:rPr>
    </w:lvl>
    <w:lvl w:ilvl="2" w:tplc="04090005" w:tentative="1">
      <w:start w:val="1"/>
      <w:numFmt w:val="bullet"/>
      <w:lvlText w:val=""/>
      <w:lvlJc w:val="left"/>
      <w:pPr>
        <w:ind w:left="3080" w:hanging="360"/>
      </w:pPr>
      <w:rPr>
        <w:rFonts w:ascii="Wingdings" w:hAnsi="Wingdings" w:hint="default"/>
      </w:rPr>
    </w:lvl>
    <w:lvl w:ilvl="3" w:tplc="04090001" w:tentative="1">
      <w:start w:val="1"/>
      <w:numFmt w:val="bullet"/>
      <w:lvlText w:val=""/>
      <w:lvlJc w:val="left"/>
      <w:pPr>
        <w:ind w:left="3800" w:hanging="360"/>
      </w:pPr>
      <w:rPr>
        <w:rFonts w:ascii="Symbol" w:hAnsi="Symbol" w:hint="default"/>
      </w:rPr>
    </w:lvl>
    <w:lvl w:ilvl="4" w:tplc="04090003" w:tentative="1">
      <w:start w:val="1"/>
      <w:numFmt w:val="bullet"/>
      <w:lvlText w:val="o"/>
      <w:lvlJc w:val="left"/>
      <w:pPr>
        <w:ind w:left="4520" w:hanging="360"/>
      </w:pPr>
      <w:rPr>
        <w:rFonts w:ascii="Courier New" w:hAnsi="Courier New" w:cs="Courier New" w:hint="default"/>
      </w:rPr>
    </w:lvl>
    <w:lvl w:ilvl="5" w:tplc="04090005" w:tentative="1">
      <w:start w:val="1"/>
      <w:numFmt w:val="bullet"/>
      <w:lvlText w:val=""/>
      <w:lvlJc w:val="left"/>
      <w:pPr>
        <w:ind w:left="5240" w:hanging="360"/>
      </w:pPr>
      <w:rPr>
        <w:rFonts w:ascii="Wingdings" w:hAnsi="Wingdings" w:hint="default"/>
      </w:rPr>
    </w:lvl>
    <w:lvl w:ilvl="6" w:tplc="04090001" w:tentative="1">
      <w:start w:val="1"/>
      <w:numFmt w:val="bullet"/>
      <w:lvlText w:val=""/>
      <w:lvlJc w:val="left"/>
      <w:pPr>
        <w:ind w:left="5960" w:hanging="360"/>
      </w:pPr>
      <w:rPr>
        <w:rFonts w:ascii="Symbol" w:hAnsi="Symbol" w:hint="default"/>
      </w:rPr>
    </w:lvl>
    <w:lvl w:ilvl="7" w:tplc="04090003" w:tentative="1">
      <w:start w:val="1"/>
      <w:numFmt w:val="bullet"/>
      <w:lvlText w:val="o"/>
      <w:lvlJc w:val="left"/>
      <w:pPr>
        <w:ind w:left="6680" w:hanging="360"/>
      </w:pPr>
      <w:rPr>
        <w:rFonts w:ascii="Courier New" w:hAnsi="Courier New" w:cs="Courier New" w:hint="default"/>
      </w:rPr>
    </w:lvl>
    <w:lvl w:ilvl="8" w:tplc="04090005" w:tentative="1">
      <w:start w:val="1"/>
      <w:numFmt w:val="bullet"/>
      <w:lvlText w:val=""/>
      <w:lvlJc w:val="left"/>
      <w:pPr>
        <w:ind w:left="7400" w:hanging="360"/>
      </w:pPr>
      <w:rPr>
        <w:rFonts w:ascii="Wingdings" w:hAnsi="Wingdings" w:hint="default"/>
      </w:rPr>
    </w:lvl>
  </w:abstractNum>
  <w:abstractNum w:abstractNumId="29" w15:restartNumberingAfterBreak="0">
    <w:nsid w:val="47913D4D"/>
    <w:multiLevelType w:val="multilevel"/>
    <w:tmpl w:val="572A7FF0"/>
    <w:numStyleLink w:val="StyleBulleted"/>
  </w:abstractNum>
  <w:abstractNum w:abstractNumId="30" w15:restartNumberingAfterBreak="0">
    <w:nsid w:val="4AD21DEC"/>
    <w:multiLevelType w:val="multilevel"/>
    <w:tmpl w:val="D9485FC0"/>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1077"/>
        </w:tabs>
        <w:ind w:left="1077" w:hanging="1077"/>
      </w:pPr>
      <w:rPr>
        <w:rFonts w:hint="default"/>
      </w:rPr>
    </w:lvl>
    <w:lvl w:ilvl="3">
      <w:start w:val="1"/>
      <w:numFmt w:val="decimal"/>
      <w:lvlText w:val="%1.%2.%3.%4"/>
      <w:lvlJc w:val="left"/>
      <w:pPr>
        <w:tabs>
          <w:tab w:val="num" w:pos="1644"/>
        </w:tabs>
        <w:ind w:left="1644" w:hanging="935"/>
      </w:pPr>
      <w:rPr>
        <w:rFonts w:hint="default"/>
      </w:rPr>
    </w:lvl>
    <w:lvl w:ilvl="4">
      <w:start w:val="1"/>
      <w:numFmt w:val="decimal"/>
      <w:lvlText w:val="%1.%2.%3.%4.%5"/>
      <w:lvlJc w:val="left"/>
      <w:pPr>
        <w:tabs>
          <w:tab w:val="num" w:pos="2381"/>
        </w:tabs>
        <w:ind w:left="2381" w:hanging="1672"/>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4B622315"/>
    <w:multiLevelType w:val="multilevel"/>
    <w:tmpl w:val="26E0CB8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1644"/>
        </w:tabs>
        <w:ind w:left="1644" w:hanging="935"/>
      </w:pPr>
      <w:rPr>
        <w:rFonts w:hint="default"/>
      </w:rPr>
    </w:lvl>
    <w:lvl w:ilvl="4">
      <w:start w:val="1"/>
      <w:numFmt w:val="decimal"/>
      <w:lvlText w:val="%1.%2.%3.%4.%5"/>
      <w:lvlJc w:val="left"/>
      <w:pPr>
        <w:tabs>
          <w:tab w:val="num" w:pos="1985"/>
        </w:tabs>
        <w:ind w:left="1985" w:hanging="1276"/>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50227583"/>
    <w:multiLevelType w:val="multilevel"/>
    <w:tmpl w:val="D5DCF36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644"/>
        </w:tabs>
        <w:ind w:left="1644" w:hanging="935"/>
      </w:pPr>
      <w:rPr>
        <w:rFonts w:hint="default"/>
      </w:rPr>
    </w:lvl>
    <w:lvl w:ilvl="4">
      <w:start w:val="1"/>
      <w:numFmt w:val="decimal"/>
      <w:lvlText w:val="%1.%2.%3.%4.%5"/>
      <w:lvlJc w:val="left"/>
      <w:pPr>
        <w:tabs>
          <w:tab w:val="num" w:pos="2381"/>
        </w:tabs>
        <w:ind w:left="2381" w:hanging="1672"/>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3" w15:restartNumberingAfterBreak="0">
    <w:nsid w:val="50BF0445"/>
    <w:multiLevelType w:val="multilevel"/>
    <w:tmpl w:val="DB00118A"/>
    <w:lvl w:ilvl="0">
      <w:start w:val="1"/>
      <w:numFmt w:val="decimal"/>
      <w:lvlText w:val="%1."/>
      <w:lvlJc w:val="left"/>
      <w:pPr>
        <w:tabs>
          <w:tab w:val="num" w:pos="1134"/>
        </w:tabs>
        <w:ind w:left="1134" w:hanging="425"/>
      </w:pPr>
      <w:rPr>
        <w:rFonts w:hint="default"/>
        <w:b w:val="0"/>
        <w:bCs w:val="0"/>
      </w:rPr>
    </w:lvl>
    <w:lvl w:ilvl="1">
      <w:start w:val="1"/>
      <w:numFmt w:val="lowerLetter"/>
      <w:lvlText w:val="%2."/>
      <w:lvlJc w:val="left"/>
      <w:pPr>
        <w:tabs>
          <w:tab w:val="num" w:pos="1843"/>
        </w:tabs>
        <w:ind w:left="1843" w:hanging="425"/>
      </w:pPr>
      <w:rPr>
        <w:rFonts w:hint="default"/>
        <w:b w:val="0"/>
        <w:bCs w:val="0"/>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34" w15:restartNumberingAfterBreak="0">
    <w:nsid w:val="518A6FAF"/>
    <w:multiLevelType w:val="multilevel"/>
    <w:tmpl w:val="B00EC006"/>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1191"/>
        </w:tabs>
        <w:ind w:left="1191" w:hanging="1191"/>
      </w:pPr>
      <w:rPr>
        <w:rFonts w:hint="default"/>
      </w:rPr>
    </w:lvl>
    <w:lvl w:ilvl="3">
      <w:start w:val="1"/>
      <w:numFmt w:val="decimal"/>
      <w:lvlText w:val="%1.%2.%3.%4"/>
      <w:lvlJc w:val="left"/>
      <w:pPr>
        <w:tabs>
          <w:tab w:val="num" w:pos="1644"/>
        </w:tabs>
        <w:ind w:left="1644" w:hanging="935"/>
      </w:pPr>
      <w:rPr>
        <w:rFonts w:hint="default"/>
      </w:rPr>
    </w:lvl>
    <w:lvl w:ilvl="4">
      <w:start w:val="1"/>
      <w:numFmt w:val="decimal"/>
      <w:lvlText w:val="%1.%2.%3.%4.%5"/>
      <w:lvlJc w:val="left"/>
      <w:pPr>
        <w:tabs>
          <w:tab w:val="num" w:pos="2381"/>
        </w:tabs>
        <w:ind w:left="2381" w:hanging="1672"/>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5290149C"/>
    <w:multiLevelType w:val="multilevel"/>
    <w:tmpl w:val="29D0562E"/>
    <w:numStyleLink w:val="StyleOutlinenumbered"/>
  </w:abstractNum>
  <w:abstractNum w:abstractNumId="36" w15:restartNumberingAfterBreak="0">
    <w:nsid w:val="5A3B46F5"/>
    <w:multiLevelType w:val="multilevel"/>
    <w:tmpl w:val="4E84704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1644"/>
        </w:tabs>
        <w:ind w:left="1644" w:hanging="935"/>
      </w:pPr>
      <w:rPr>
        <w:rFonts w:hint="default"/>
      </w:rPr>
    </w:lvl>
    <w:lvl w:ilvl="4">
      <w:start w:val="1"/>
      <w:numFmt w:val="decimal"/>
      <w:lvlText w:val="%1.%2.%3.%4.%5"/>
      <w:lvlJc w:val="left"/>
      <w:pPr>
        <w:tabs>
          <w:tab w:val="num" w:pos="2098"/>
        </w:tabs>
        <w:ind w:left="2098" w:hanging="1389"/>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7" w15:restartNumberingAfterBreak="0">
    <w:nsid w:val="5A4C58C1"/>
    <w:multiLevelType w:val="multilevel"/>
    <w:tmpl w:val="29D0562E"/>
    <w:styleLink w:val="StyleOutlinenumbered"/>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38" w15:restartNumberingAfterBreak="0">
    <w:nsid w:val="611E7720"/>
    <w:multiLevelType w:val="multilevel"/>
    <w:tmpl w:val="4C4C5B0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1077"/>
        </w:tabs>
        <w:ind w:left="1077" w:hanging="1077"/>
      </w:pPr>
      <w:rPr>
        <w:rFonts w:hint="default"/>
      </w:rPr>
    </w:lvl>
    <w:lvl w:ilvl="3">
      <w:start w:val="1"/>
      <w:numFmt w:val="decimal"/>
      <w:lvlText w:val="%1.%2.%3.%4"/>
      <w:lvlJc w:val="left"/>
      <w:pPr>
        <w:tabs>
          <w:tab w:val="num" w:pos="1644"/>
        </w:tabs>
        <w:ind w:left="1644" w:hanging="935"/>
      </w:pPr>
      <w:rPr>
        <w:rFonts w:hint="default"/>
      </w:rPr>
    </w:lvl>
    <w:lvl w:ilvl="4">
      <w:start w:val="1"/>
      <w:numFmt w:val="decimal"/>
      <w:lvlText w:val="%1.%2.%3.%4.%5"/>
      <w:lvlJc w:val="left"/>
      <w:pPr>
        <w:tabs>
          <w:tab w:val="num" w:pos="2325"/>
        </w:tabs>
        <w:ind w:left="2325" w:hanging="1616"/>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9" w15:restartNumberingAfterBreak="0">
    <w:nsid w:val="672B3C29"/>
    <w:multiLevelType w:val="multilevel"/>
    <w:tmpl w:val="29D0562E"/>
    <w:numStyleLink w:val="StyleOutlinenumbered"/>
  </w:abstractNum>
  <w:abstractNum w:abstractNumId="40" w15:restartNumberingAfterBreak="0">
    <w:nsid w:val="687E732D"/>
    <w:multiLevelType w:val="multilevel"/>
    <w:tmpl w:val="572A7FF0"/>
    <w:numStyleLink w:val="StyleBulleted"/>
  </w:abstractNum>
  <w:abstractNum w:abstractNumId="41" w15:restartNumberingAfterBreak="0">
    <w:nsid w:val="69314B78"/>
    <w:multiLevelType w:val="hybridMultilevel"/>
    <w:tmpl w:val="2258F09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2" w15:restartNumberingAfterBreak="0">
    <w:nsid w:val="75C006F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7B1055A9"/>
    <w:multiLevelType w:val="multilevel"/>
    <w:tmpl w:val="572A7FF0"/>
    <w:numStyleLink w:val="StyleBulleted"/>
  </w:abstractNum>
  <w:num w:numId="1">
    <w:abstractNumId w:val="24"/>
  </w:num>
  <w:num w:numId="2">
    <w:abstractNumId w:val="17"/>
  </w:num>
  <w:num w:numId="3">
    <w:abstractNumId w:val="6"/>
  </w:num>
  <w:num w:numId="4">
    <w:abstractNumId w:val="21"/>
  </w:num>
  <w:num w:numId="5">
    <w:abstractNumId w:val="22"/>
  </w:num>
  <w:num w:numId="6">
    <w:abstractNumId w:val="37"/>
  </w:num>
  <w:num w:numId="7">
    <w:abstractNumId w:val="18"/>
  </w:num>
  <w:num w:numId="8">
    <w:abstractNumId w:val="2"/>
  </w:num>
  <w:num w:numId="9">
    <w:abstractNumId w:val="26"/>
  </w:num>
  <w:num w:numId="10">
    <w:abstractNumId w:val="27"/>
  </w:num>
  <w:num w:numId="11">
    <w:abstractNumId w:val="10"/>
  </w:num>
  <w:num w:numId="12">
    <w:abstractNumId w:val="42"/>
  </w:num>
  <w:num w:numId="13">
    <w:abstractNumId w:val="11"/>
  </w:num>
  <w:num w:numId="14">
    <w:abstractNumId w:val="25"/>
  </w:num>
  <w:num w:numId="15">
    <w:abstractNumId w:val="14"/>
  </w:num>
  <w:num w:numId="16">
    <w:abstractNumId w:val="4"/>
  </w:num>
  <w:num w:numId="17">
    <w:abstractNumId w:val="12"/>
  </w:num>
  <w:num w:numId="18">
    <w:abstractNumId w:val="3"/>
  </w:num>
  <w:num w:numId="19">
    <w:abstractNumId w:val="31"/>
  </w:num>
  <w:num w:numId="20">
    <w:abstractNumId w:val="36"/>
  </w:num>
  <w:num w:numId="21">
    <w:abstractNumId w:val="8"/>
  </w:num>
  <w:num w:numId="22">
    <w:abstractNumId w:val="19"/>
  </w:num>
  <w:num w:numId="23">
    <w:abstractNumId w:val="34"/>
  </w:num>
  <w:num w:numId="24">
    <w:abstractNumId w:val="32"/>
  </w:num>
  <w:num w:numId="25">
    <w:abstractNumId w:val="30"/>
  </w:num>
  <w:num w:numId="26">
    <w:abstractNumId w:val="38"/>
  </w:num>
  <w:num w:numId="27">
    <w:abstractNumId w:val="16"/>
  </w:num>
  <w:num w:numId="28">
    <w:abstractNumId w:val="1"/>
  </w:num>
  <w:num w:numId="29">
    <w:abstractNumId w:val="39"/>
  </w:num>
  <w:num w:numId="30">
    <w:abstractNumId w:val="13"/>
  </w:num>
  <w:num w:numId="31">
    <w:abstractNumId w:val="35"/>
  </w:num>
  <w:num w:numId="32">
    <w:abstractNumId w:val="15"/>
  </w:num>
  <w:num w:numId="33">
    <w:abstractNumId w:val="20"/>
  </w:num>
  <w:num w:numId="34">
    <w:abstractNumId w:val="23"/>
  </w:num>
  <w:num w:numId="35">
    <w:abstractNumId w:val="5"/>
  </w:num>
  <w:num w:numId="36">
    <w:abstractNumId w:val="40"/>
  </w:num>
  <w:num w:numId="37">
    <w:abstractNumId w:val="7"/>
  </w:num>
  <w:num w:numId="38">
    <w:abstractNumId w:val="0"/>
  </w:num>
  <w:num w:numId="39">
    <w:abstractNumId w:val="43"/>
  </w:num>
  <w:num w:numId="40">
    <w:abstractNumId w:val="29"/>
  </w:num>
  <w:num w:numId="41">
    <w:abstractNumId w:val="9"/>
  </w:num>
  <w:num w:numId="42">
    <w:abstractNumId w:val="28"/>
  </w:num>
  <w:num w:numId="43">
    <w:abstractNumId w:val="41"/>
  </w:num>
  <w:num w:numId="44">
    <w:abstractNumId w:val="3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intFractionalCharacterWidth/>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doNotHyphenateCaps/>
  <w:drawingGridHorizontalSpacing w:val="181"/>
  <w:drawingGridVerticalSpacing w:val="181"/>
  <w:displayHorizontalDrawingGridEvery w:val="0"/>
  <w:displayVerticalDrawingGridEvery w:val="0"/>
  <w:doNotUseMarginsForDrawingGridOrigin/>
  <w:drawingGridVerticalOrigin w:val="1985"/>
  <w:doNotShadeFormData/>
  <w:noPunctuationKerning/>
  <w:characterSpacingControl w:val="doNotCompress"/>
  <w:hdrShapeDefaults>
    <o:shapedefaults v:ext="edit" spidmax="2082"/>
    <o:shapelayout v:ext="edit">
      <o:idmap v:ext="edit" data="2"/>
    </o:shapelayout>
  </w:hdrShapeDefaults>
  <w:footnotePr>
    <w:footnote w:id="-1"/>
    <w:footnote w:id="0"/>
    <w:footnote w:id="1"/>
  </w:footnotePr>
  <w:endnotePr>
    <w:endnote w:id="-1"/>
    <w:endnote w:id="0"/>
    <w:endnote w:id="1"/>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Q2NjI3NTQ0NDMyszRU0lEKTi0uzszPAykwrgUAvlbU5ywAAAA="/>
  </w:docVars>
  <w:rsids>
    <w:rsidRoot w:val="009C016A"/>
    <w:rsid w:val="00003678"/>
    <w:rsid w:val="00005766"/>
    <w:rsid w:val="000068E4"/>
    <w:rsid w:val="000070F1"/>
    <w:rsid w:val="00012DA5"/>
    <w:rsid w:val="000133FF"/>
    <w:rsid w:val="000178B2"/>
    <w:rsid w:val="0002321A"/>
    <w:rsid w:val="0003050F"/>
    <w:rsid w:val="00034CA1"/>
    <w:rsid w:val="000475D4"/>
    <w:rsid w:val="00051D2E"/>
    <w:rsid w:val="00053356"/>
    <w:rsid w:val="0005461A"/>
    <w:rsid w:val="00061478"/>
    <w:rsid w:val="00061D9C"/>
    <w:rsid w:val="000651B2"/>
    <w:rsid w:val="0006540E"/>
    <w:rsid w:val="000679D6"/>
    <w:rsid w:val="000734C7"/>
    <w:rsid w:val="00083144"/>
    <w:rsid w:val="0008404D"/>
    <w:rsid w:val="000855D7"/>
    <w:rsid w:val="00086A16"/>
    <w:rsid w:val="000910F0"/>
    <w:rsid w:val="000A04C0"/>
    <w:rsid w:val="000A1C8F"/>
    <w:rsid w:val="000A2345"/>
    <w:rsid w:val="000A3137"/>
    <w:rsid w:val="000A6B8D"/>
    <w:rsid w:val="000A70FC"/>
    <w:rsid w:val="000A7342"/>
    <w:rsid w:val="000B670B"/>
    <w:rsid w:val="000C245B"/>
    <w:rsid w:val="000C5BBC"/>
    <w:rsid w:val="000C718B"/>
    <w:rsid w:val="000C7862"/>
    <w:rsid w:val="000D262B"/>
    <w:rsid w:val="000D646C"/>
    <w:rsid w:val="000D6C4E"/>
    <w:rsid w:val="000D6C6F"/>
    <w:rsid w:val="000D6FF6"/>
    <w:rsid w:val="000D7EBA"/>
    <w:rsid w:val="000E4940"/>
    <w:rsid w:val="000E6779"/>
    <w:rsid w:val="000E6CAC"/>
    <w:rsid w:val="000F5167"/>
    <w:rsid w:val="0010526C"/>
    <w:rsid w:val="001059C3"/>
    <w:rsid w:val="00106515"/>
    <w:rsid w:val="00106952"/>
    <w:rsid w:val="00113991"/>
    <w:rsid w:val="00124FBE"/>
    <w:rsid w:val="0012557B"/>
    <w:rsid w:val="001258B8"/>
    <w:rsid w:val="001261DD"/>
    <w:rsid w:val="0012679B"/>
    <w:rsid w:val="00131145"/>
    <w:rsid w:val="00133A63"/>
    <w:rsid w:val="00136173"/>
    <w:rsid w:val="001379EE"/>
    <w:rsid w:val="0014402D"/>
    <w:rsid w:val="0014655C"/>
    <w:rsid w:val="001473F6"/>
    <w:rsid w:val="00151C86"/>
    <w:rsid w:val="00154BC6"/>
    <w:rsid w:val="0016274A"/>
    <w:rsid w:val="001638B7"/>
    <w:rsid w:val="00164133"/>
    <w:rsid w:val="00176689"/>
    <w:rsid w:val="00177F94"/>
    <w:rsid w:val="00183134"/>
    <w:rsid w:val="00184AA7"/>
    <w:rsid w:val="0018600F"/>
    <w:rsid w:val="001868F0"/>
    <w:rsid w:val="0019295B"/>
    <w:rsid w:val="00192C79"/>
    <w:rsid w:val="00194BCF"/>
    <w:rsid w:val="001A0B4C"/>
    <w:rsid w:val="001A30A8"/>
    <w:rsid w:val="001A6989"/>
    <w:rsid w:val="001A7F7E"/>
    <w:rsid w:val="001B41A9"/>
    <w:rsid w:val="001C667F"/>
    <w:rsid w:val="001D22D5"/>
    <w:rsid w:val="001D3992"/>
    <w:rsid w:val="001E174A"/>
    <w:rsid w:val="001E1925"/>
    <w:rsid w:val="001E2921"/>
    <w:rsid w:val="001E4A69"/>
    <w:rsid w:val="001E53AE"/>
    <w:rsid w:val="001E5508"/>
    <w:rsid w:val="001E7F1B"/>
    <w:rsid w:val="001F1C48"/>
    <w:rsid w:val="001F28A1"/>
    <w:rsid w:val="001F2B31"/>
    <w:rsid w:val="001F30EB"/>
    <w:rsid w:val="001F3407"/>
    <w:rsid w:val="001F40B5"/>
    <w:rsid w:val="001F4557"/>
    <w:rsid w:val="00200487"/>
    <w:rsid w:val="00202BB6"/>
    <w:rsid w:val="002030F9"/>
    <w:rsid w:val="002048FD"/>
    <w:rsid w:val="00221588"/>
    <w:rsid w:val="002240D6"/>
    <w:rsid w:val="0023732C"/>
    <w:rsid w:val="002432F8"/>
    <w:rsid w:val="00243AF5"/>
    <w:rsid w:val="00244874"/>
    <w:rsid w:val="00247CDB"/>
    <w:rsid w:val="00250562"/>
    <w:rsid w:val="0025087D"/>
    <w:rsid w:val="00251111"/>
    <w:rsid w:val="00251F9F"/>
    <w:rsid w:val="002557B3"/>
    <w:rsid w:val="002577C8"/>
    <w:rsid w:val="00257908"/>
    <w:rsid w:val="002633D7"/>
    <w:rsid w:val="00263BE8"/>
    <w:rsid w:val="00263E0D"/>
    <w:rsid w:val="00264F40"/>
    <w:rsid w:val="00266786"/>
    <w:rsid w:val="002709F7"/>
    <w:rsid w:val="002764F9"/>
    <w:rsid w:val="00280447"/>
    <w:rsid w:val="00281CBE"/>
    <w:rsid w:val="00282406"/>
    <w:rsid w:val="00284B78"/>
    <w:rsid w:val="00287D7E"/>
    <w:rsid w:val="002909F7"/>
    <w:rsid w:val="00290DC7"/>
    <w:rsid w:val="00291EF1"/>
    <w:rsid w:val="00292A87"/>
    <w:rsid w:val="002939EE"/>
    <w:rsid w:val="002A0779"/>
    <w:rsid w:val="002A2D9B"/>
    <w:rsid w:val="002A60D4"/>
    <w:rsid w:val="002A6B06"/>
    <w:rsid w:val="002A6C10"/>
    <w:rsid w:val="002A6DC6"/>
    <w:rsid w:val="002B0743"/>
    <w:rsid w:val="002B1CC0"/>
    <w:rsid w:val="002B3EF1"/>
    <w:rsid w:val="002B5CC1"/>
    <w:rsid w:val="002C0606"/>
    <w:rsid w:val="002C0B8C"/>
    <w:rsid w:val="002C2EC9"/>
    <w:rsid w:val="002C3E33"/>
    <w:rsid w:val="002C6FBF"/>
    <w:rsid w:val="002D4033"/>
    <w:rsid w:val="002E0A46"/>
    <w:rsid w:val="002E1D65"/>
    <w:rsid w:val="002E44E3"/>
    <w:rsid w:val="002E7BB0"/>
    <w:rsid w:val="002F0110"/>
    <w:rsid w:val="002F62BB"/>
    <w:rsid w:val="002F73E9"/>
    <w:rsid w:val="0030057F"/>
    <w:rsid w:val="00301749"/>
    <w:rsid w:val="003034BE"/>
    <w:rsid w:val="00304F1D"/>
    <w:rsid w:val="00305301"/>
    <w:rsid w:val="0031125A"/>
    <w:rsid w:val="00314F3B"/>
    <w:rsid w:val="00321996"/>
    <w:rsid w:val="003241EB"/>
    <w:rsid w:val="00324A72"/>
    <w:rsid w:val="00325ABC"/>
    <w:rsid w:val="0033125E"/>
    <w:rsid w:val="00332D1B"/>
    <w:rsid w:val="00335154"/>
    <w:rsid w:val="0033701E"/>
    <w:rsid w:val="00340575"/>
    <w:rsid w:val="003423CB"/>
    <w:rsid w:val="003457A9"/>
    <w:rsid w:val="00350642"/>
    <w:rsid w:val="00352A36"/>
    <w:rsid w:val="00353E25"/>
    <w:rsid w:val="00362290"/>
    <w:rsid w:val="00363684"/>
    <w:rsid w:val="00365DEF"/>
    <w:rsid w:val="00366AB3"/>
    <w:rsid w:val="003675C7"/>
    <w:rsid w:val="00371963"/>
    <w:rsid w:val="00372D9E"/>
    <w:rsid w:val="00374EAC"/>
    <w:rsid w:val="00377D48"/>
    <w:rsid w:val="00381339"/>
    <w:rsid w:val="00381AE4"/>
    <w:rsid w:val="003864BA"/>
    <w:rsid w:val="003868E9"/>
    <w:rsid w:val="0039555D"/>
    <w:rsid w:val="00397AD1"/>
    <w:rsid w:val="003A3E21"/>
    <w:rsid w:val="003A4D9E"/>
    <w:rsid w:val="003A545A"/>
    <w:rsid w:val="003A64C7"/>
    <w:rsid w:val="003B0907"/>
    <w:rsid w:val="003B1572"/>
    <w:rsid w:val="003B4142"/>
    <w:rsid w:val="003B645A"/>
    <w:rsid w:val="003D0162"/>
    <w:rsid w:val="003D0F59"/>
    <w:rsid w:val="003D3D53"/>
    <w:rsid w:val="003D5BA4"/>
    <w:rsid w:val="003E51BA"/>
    <w:rsid w:val="003E61A4"/>
    <w:rsid w:val="003F14B4"/>
    <w:rsid w:val="003F3420"/>
    <w:rsid w:val="003F4389"/>
    <w:rsid w:val="00402641"/>
    <w:rsid w:val="0040350F"/>
    <w:rsid w:val="00412371"/>
    <w:rsid w:val="004151EC"/>
    <w:rsid w:val="004157BB"/>
    <w:rsid w:val="004161DA"/>
    <w:rsid w:val="00422A85"/>
    <w:rsid w:val="00424730"/>
    <w:rsid w:val="004247AE"/>
    <w:rsid w:val="004247EC"/>
    <w:rsid w:val="00424FC0"/>
    <w:rsid w:val="00427FDD"/>
    <w:rsid w:val="00432659"/>
    <w:rsid w:val="00435898"/>
    <w:rsid w:val="00437444"/>
    <w:rsid w:val="0044102E"/>
    <w:rsid w:val="00451C66"/>
    <w:rsid w:val="0045247C"/>
    <w:rsid w:val="00452D70"/>
    <w:rsid w:val="00457E1D"/>
    <w:rsid w:val="00461E69"/>
    <w:rsid w:val="004632A1"/>
    <w:rsid w:val="00463D22"/>
    <w:rsid w:val="0046459E"/>
    <w:rsid w:val="00465BEA"/>
    <w:rsid w:val="00466984"/>
    <w:rsid w:val="004720BA"/>
    <w:rsid w:val="00472F43"/>
    <w:rsid w:val="004749C5"/>
    <w:rsid w:val="00481B6E"/>
    <w:rsid w:val="004948FD"/>
    <w:rsid w:val="00494C69"/>
    <w:rsid w:val="0049527D"/>
    <w:rsid w:val="004A085C"/>
    <w:rsid w:val="004A0B4B"/>
    <w:rsid w:val="004A19D0"/>
    <w:rsid w:val="004A1A5E"/>
    <w:rsid w:val="004B0300"/>
    <w:rsid w:val="004B292D"/>
    <w:rsid w:val="004B2FDC"/>
    <w:rsid w:val="004B3057"/>
    <w:rsid w:val="004B4F4E"/>
    <w:rsid w:val="004B62EB"/>
    <w:rsid w:val="004B636A"/>
    <w:rsid w:val="004B7249"/>
    <w:rsid w:val="004C006C"/>
    <w:rsid w:val="004C137E"/>
    <w:rsid w:val="004D13D6"/>
    <w:rsid w:val="004D3221"/>
    <w:rsid w:val="004D5452"/>
    <w:rsid w:val="004E058E"/>
    <w:rsid w:val="004E0A92"/>
    <w:rsid w:val="004E0CAE"/>
    <w:rsid w:val="004E4FD8"/>
    <w:rsid w:val="004E54C1"/>
    <w:rsid w:val="004F3D61"/>
    <w:rsid w:val="004F4EF5"/>
    <w:rsid w:val="0050131D"/>
    <w:rsid w:val="0050248C"/>
    <w:rsid w:val="00503F89"/>
    <w:rsid w:val="00506A3A"/>
    <w:rsid w:val="00511F0D"/>
    <w:rsid w:val="00513BBE"/>
    <w:rsid w:val="005140A6"/>
    <w:rsid w:val="0051658A"/>
    <w:rsid w:val="00516664"/>
    <w:rsid w:val="0052419A"/>
    <w:rsid w:val="00527888"/>
    <w:rsid w:val="0053076E"/>
    <w:rsid w:val="0053106F"/>
    <w:rsid w:val="0053193B"/>
    <w:rsid w:val="00533659"/>
    <w:rsid w:val="00535B78"/>
    <w:rsid w:val="00536115"/>
    <w:rsid w:val="00536512"/>
    <w:rsid w:val="0055119F"/>
    <w:rsid w:val="00556AED"/>
    <w:rsid w:val="005623BE"/>
    <w:rsid w:val="005632DA"/>
    <w:rsid w:val="0056743B"/>
    <w:rsid w:val="0057397C"/>
    <w:rsid w:val="00575608"/>
    <w:rsid w:val="00576DFD"/>
    <w:rsid w:val="005804B8"/>
    <w:rsid w:val="00580B72"/>
    <w:rsid w:val="00581D43"/>
    <w:rsid w:val="00582780"/>
    <w:rsid w:val="0058293A"/>
    <w:rsid w:val="005837B5"/>
    <w:rsid w:val="00585A4D"/>
    <w:rsid w:val="005874D2"/>
    <w:rsid w:val="005966CD"/>
    <w:rsid w:val="005A161B"/>
    <w:rsid w:val="005A1DF8"/>
    <w:rsid w:val="005A7D72"/>
    <w:rsid w:val="005B165C"/>
    <w:rsid w:val="005B3FBC"/>
    <w:rsid w:val="005B5E04"/>
    <w:rsid w:val="005B6CE7"/>
    <w:rsid w:val="005C71DD"/>
    <w:rsid w:val="005C7301"/>
    <w:rsid w:val="005D03D5"/>
    <w:rsid w:val="005D17A8"/>
    <w:rsid w:val="005D69FE"/>
    <w:rsid w:val="005E12C9"/>
    <w:rsid w:val="005E3200"/>
    <w:rsid w:val="005E4F5F"/>
    <w:rsid w:val="005E698E"/>
    <w:rsid w:val="005E721A"/>
    <w:rsid w:val="005F01CA"/>
    <w:rsid w:val="005F0DF7"/>
    <w:rsid w:val="005F28C0"/>
    <w:rsid w:val="005F35B3"/>
    <w:rsid w:val="005F4C55"/>
    <w:rsid w:val="005F795D"/>
    <w:rsid w:val="00601E32"/>
    <w:rsid w:val="00601E92"/>
    <w:rsid w:val="006057E2"/>
    <w:rsid w:val="00606D29"/>
    <w:rsid w:val="00613D54"/>
    <w:rsid w:val="00614790"/>
    <w:rsid w:val="006157AC"/>
    <w:rsid w:val="00624093"/>
    <w:rsid w:val="0063029F"/>
    <w:rsid w:val="006319B7"/>
    <w:rsid w:val="006327CB"/>
    <w:rsid w:val="00635E3F"/>
    <w:rsid w:val="00642473"/>
    <w:rsid w:val="006427EF"/>
    <w:rsid w:val="00643A76"/>
    <w:rsid w:val="00644C01"/>
    <w:rsid w:val="00645C93"/>
    <w:rsid w:val="00651586"/>
    <w:rsid w:val="00652492"/>
    <w:rsid w:val="006627E0"/>
    <w:rsid w:val="006658F6"/>
    <w:rsid w:val="00666F49"/>
    <w:rsid w:val="00672F6B"/>
    <w:rsid w:val="00673B36"/>
    <w:rsid w:val="00673E99"/>
    <w:rsid w:val="00675A7B"/>
    <w:rsid w:val="0067757C"/>
    <w:rsid w:val="006807B4"/>
    <w:rsid w:val="00683769"/>
    <w:rsid w:val="00683EC9"/>
    <w:rsid w:val="00686C9F"/>
    <w:rsid w:val="00692E57"/>
    <w:rsid w:val="0069596B"/>
    <w:rsid w:val="00697F80"/>
    <w:rsid w:val="006A0595"/>
    <w:rsid w:val="006A370D"/>
    <w:rsid w:val="006A4B75"/>
    <w:rsid w:val="006A4BBD"/>
    <w:rsid w:val="006A5DA1"/>
    <w:rsid w:val="006B1C70"/>
    <w:rsid w:val="006B2A76"/>
    <w:rsid w:val="006B2E2F"/>
    <w:rsid w:val="006B3805"/>
    <w:rsid w:val="006C0512"/>
    <w:rsid w:val="006C09FD"/>
    <w:rsid w:val="006C2375"/>
    <w:rsid w:val="006C501C"/>
    <w:rsid w:val="006C57B8"/>
    <w:rsid w:val="006D07E7"/>
    <w:rsid w:val="006D5286"/>
    <w:rsid w:val="006D5703"/>
    <w:rsid w:val="006D780C"/>
    <w:rsid w:val="006E0DAD"/>
    <w:rsid w:val="006E136C"/>
    <w:rsid w:val="006E7C89"/>
    <w:rsid w:val="006F1C67"/>
    <w:rsid w:val="006F3A15"/>
    <w:rsid w:val="006F4051"/>
    <w:rsid w:val="006F75C4"/>
    <w:rsid w:val="00700BCE"/>
    <w:rsid w:val="00700DEE"/>
    <w:rsid w:val="007025AE"/>
    <w:rsid w:val="007076D5"/>
    <w:rsid w:val="00707D7D"/>
    <w:rsid w:val="007145AB"/>
    <w:rsid w:val="00715FC6"/>
    <w:rsid w:val="007178AD"/>
    <w:rsid w:val="00724B84"/>
    <w:rsid w:val="00726A00"/>
    <w:rsid w:val="0072720B"/>
    <w:rsid w:val="00732F63"/>
    <w:rsid w:val="007343DA"/>
    <w:rsid w:val="0074474F"/>
    <w:rsid w:val="00745BDA"/>
    <w:rsid w:val="00746065"/>
    <w:rsid w:val="007512F1"/>
    <w:rsid w:val="00755848"/>
    <w:rsid w:val="00755C4E"/>
    <w:rsid w:val="007561FF"/>
    <w:rsid w:val="007576DB"/>
    <w:rsid w:val="00760757"/>
    <w:rsid w:val="00760B5C"/>
    <w:rsid w:val="00762AB6"/>
    <w:rsid w:val="00763DCC"/>
    <w:rsid w:val="007656CD"/>
    <w:rsid w:val="00767AF2"/>
    <w:rsid w:val="00771048"/>
    <w:rsid w:val="00771C4C"/>
    <w:rsid w:val="0077431C"/>
    <w:rsid w:val="00774DB1"/>
    <w:rsid w:val="00786BA2"/>
    <w:rsid w:val="007938F4"/>
    <w:rsid w:val="0079545A"/>
    <w:rsid w:val="007958FC"/>
    <w:rsid w:val="007A0A5D"/>
    <w:rsid w:val="007A1C68"/>
    <w:rsid w:val="007A59A0"/>
    <w:rsid w:val="007B6567"/>
    <w:rsid w:val="007C17B6"/>
    <w:rsid w:val="007C2A1F"/>
    <w:rsid w:val="007D0B26"/>
    <w:rsid w:val="007D3CF9"/>
    <w:rsid w:val="007D734C"/>
    <w:rsid w:val="007D772B"/>
    <w:rsid w:val="007E010F"/>
    <w:rsid w:val="007E4299"/>
    <w:rsid w:val="007E489F"/>
    <w:rsid w:val="007E4EBF"/>
    <w:rsid w:val="007E56E0"/>
    <w:rsid w:val="007E5B0E"/>
    <w:rsid w:val="007E6120"/>
    <w:rsid w:val="007F354E"/>
    <w:rsid w:val="007F3BE2"/>
    <w:rsid w:val="007F4F82"/>
    <w:rsid w:val="007F5785"/>
    <w:rsid w:val="007F646E"/>
    <w:rsid w:val="007F6D1A"/>
    <w:rsid w:val="00802179"/>
    <w:rsid w:val="008040BF"/>
    <w:rsid w:val="00807FEB"/>
    <w:rsid w:val="0081494C"/>
    <w:rsid w:val="00815004"/>
    <w:rsid w:val="00815E3E"/>
    <w:rsid w:val="00817895"/>
    <w:rsid w:val="00821BD3"/>
    <w:rsid w:val="00822386"/>
    <w:rsid w:val="0082262E"/>
    <w:rsid w:val="00822684"/>
    <w:rsid w:val="00822C78"/>
    <w:rsid w:val="00824E0D"/>
    <w:rsid w:val="00824F7B"/>
    <w:rsid w:val="0082703E"/>
    <w:rsid w:val="00827821"/>
    <w:rsid w:val="00832124"/>
    <w:rsid w:val="008353D9"/>
    <w:rsid w:val="00840EF4"/>
    <w:rsid w:val="008434DF"/>
    <w:rsid w:val="008441FA"/>
    <w:rsid w:val="00845E71"/>
    <w:rsid w:val="008529F0"/>
    <w:rsid w:val="008540A7"/>
    <w:rsid w:val="00857C28"/>
    <w:rsid w:val="00860B60"/>
    <w:rsid w:val="00867745"/>
    <w:rsid w:val="008714D5"/>
    <w:rsid w:val="00872DDB"/>
    <w:rsid w:val="00875439"/>
    <w:rsid w:val="008764F9"/>
    <w:rsid w:val="0087733D"/>
    <w:rsid w:val="0087795A"/>
    <w:rsid w:val="00883FEA"/>
    <w:rsid w:val="00890DFC"/>
    <w:rsid w:val="0089324A"/>
    <w:rsid w:val="00893C48"/>
    <w:rsid w:val="00894F12"/>
    <w:rsid w:val="008978FF"/>
    <w:rsid w:val="008A41EC"/>
    <w:rsid w:val="008B2744"/>
    <w:rsid w:val="008B4A87"/>
    <w:rsid w:val="008B5AD1"/>
    <w:rsid w:val="008B5F0F"/>
    <w:rsid w:val="008B67B2"/>
    <w:rsid w:val="008C5282"/>
    <w:rsid w:val="008C55EE"/>
    <w:rsid w:val="008C5E24"/>
    <w:rsid w:val="008C68A4"/>
    <w:rsid w:val="008C6EAE"/>
    <w:rsid w:val="008D3986"/>
    <w:rsid w:val="008D39B5"/>
    <w:rsid w:val="008D3A03"/>
    <w:rsid w:val="008D7BA7"/>
    <w:rsid w:val="008E2720"/>
    <w:rsid w:val="008E4F3C"/>
    <w:rsid w:val="008F254D"/>
    <w:rsid w:val="008F50B6"/>
    <w:rsid w:val="008F6FC0"/>
    <w:rsid w:val="008F7687"/>
    <w:rsid w:val="00903D36"/>
    <w:rsid w:val="00904E4A"/>
    <w:rsid w:val="00907222"/>
    <w:rsid w:val="0091004F"/>
    <w:rsid w:val="00915E86"/>
    <w:rsid w:val="00916FA3"/>
    <w:rsid w:val="00920B41"/>
    <w:rsid w:val="00921453"/>
    <w:rsid w:val="00921683"/>
    <w:rsid w:val="0092199B"/>
    <w:rsid w:val="00921D6D"/>
    <w:rsid w:val="0092298D"/>
    <w:rsid w:val="00922A1B"/>
    <w:rsid w:val="00925C2C"/>
    <w:rsid w:val="0092692E"/>
    <w:rsid w:val="00926E17"/>
    <w:rsid w:val="0093114B"/>
    <w:rsid w:val="009327B6"/>
    <w:rsid w:val="009335CC"/>
    <w:rsid w:val="00937C52"/>
    <w:rsid w:val="00940FD6"/>
    <w:rsid w:val="00941B95"/>
    <w:rsid w:val="00943441"/>
    <w:rsid w:val="00944548"/>
    <w:rsid w:val="009452FC"/>
    <w:rsid w:val="009604DD"/>
    <w:rsid w:val="009604F1"/>
    <w:rsid w:val="0096138A"/>
    <w:rsid w:val="00961E68"/>
    <w:rsid w:val="00962DB6"/>
    <w:rsid w:val="009716F4"/>
    <w:rsid w:val="00971C7D"/>
    <w:rsid w:val="00972605"/>
    <w:rsid w:val="00980964"/>
    <w:rsid w:val="00981424"/>
    <w:rsid w:val="009819CF"/>
    <w:rsid w:val="00982508"/>
    <w:rsid w:val="00984F08"/>
    <w:rsid w:val="00995D18"/>
    <w:rsid w:val="009A1F0F"/>
    <w:rsid w:val="009B1752"/>
    <w:rsid w:val="009B2FDC"/>
    <w:rsid w:val="009B558C"/>
    <w:rsid w:val="009B61B6"/>
    <w:rsid w:val="009B695B"/>
    <w:rsid w:val="009B741D"/>
    <w:rsid w:val="009C016A"/>
    <w:rsid w:val="009C03BF"/>
    <w:rsid w:val="009C3BF9"/>
    <w:rsid w:val="009C778B"/>
    <w:rsid w:val="009D0B62"/>
    <w:rsid w:val="009D103D"/>
    <w:rsid w:val="009D738F"/>
    <w:rsid w:val="009E0290"/>
    <w:rsid w:val="009E1226"/>
    <w:rsid w:val="009E3446"/>
    <w:rsid w:val="009E67DE"/>
    <w:rsid w:val="009E7907"/>
    <w:rsid w:val="009F0D10"/>
    <w:rsid w:val="009F1F32"/>
    <w:rsid w:val="009F43FD"/>
    <w:rsid w:val="009F562F"/>
    <w:rsid w:val="009F5E54"/>
    <w:rsid w:val="00A04298"/>
    <w:rsid w:val="00A052D7"/>
    <w:rsid w:val="00A069C2"/>
    <w:rsid w:val="00A0718D"/>
    <w:rsid w:val="00A118E6"/>
    <w:rsid w:val="00A11B31"/>
    <w:rsid w:val="00A130D7"/>
    <w:rsid w:val="00A1603F"/>
    <w:rsid w:val="00A16D60"/>
    <w:rsid w:val="00A17886"/>
    <w:rsid w:val="00A2177C"/>
    <w:rsid w:val="00A21C1D"/>
    <w:rsid w:val="00A253B0"/>
    <w:rsid w:val="00A25BF8"/>
    <w:rsid w:val="00A306E3"/>
    <w:rsid w:val="00A30D2C"/>
    <w:rsid w:val="00A32B53"/>
    <w:rsid w:val="00A33A02"/>
    <w:rsid w:val="00A35A99"/>
    <w:rsid w:val="00A36082"/>
    <w:rsid w:val="00A443D4"/>
    <w:rsid w:val="00A4565C"/>
    <w:rsid w:val="00A55990"/>
    <w:rsid w:val="00A57277"/>
    <w:rsid w:val="00A61F53"/>
    <w:rsid w:val="00A6202F"/>
    <w:rsid w:val="00A62684"/>
    <w:rsid w:val="00A64296"/>
    <w:rsid w:val="00A66E64"/>
    <w:rsid w:val="00A7566D"/>
    <w:rsid w:val="00A75B36"/>
    <w:rsid w:val="00A77B16"/>
    <w:rsid w:val="00A80160"/>
    <w:rsid w:val="00A808C6"/>
    <w:rsid w:val="00A82BBF"/>
    <w:rsid w:val="00A849D1"/>
    <w:rsid w:val="00A8752B"/>
    <w:rsid w:val="00A87FC1"/>
    <w:rsid w:val="00A908E4"/>
    <w:rsid w:val="00A92AC6"/>
    <w:rsid w:val="00A96F19"/>
    <w:rsid w:val="00A97BB8"/>
    <w:rsid w:val="00AA37C5"/>
    <w:rsid w:val="00AA7C1C"/>
    <w:rsid w:val="00AB0EA0"/>
    <w:rsid w:val="00AB138E"/>
    <w:rsid w:val="00AB2DB1"/>
    <w:rsid w:val="00AB4927"/>
    <w:rsid w:val="00AC331D"/>
    <w:rsid w:val="00AC3CF9"/>
    <w:rsid w:val="00AC3D0A"/>
    <w:rsid w:val="00AC4966"/>
    <w:rsid w:val="00AC4D7B"/>
    <w:rsid w:val="00AC5EBA"/>
    <w:rsid w:val="00AC65D7"/>
    <w:rsid w:val="00AD2F18"/>
    <w:rsid w:val="00AE24EC"/>
    <w:rsid w:val="00AE5CA6"/>
    <w:rsid w:val="00AE6453"/>
    <w:rsid w:val="00AF32F2"/>
    <w:rsid w:val="00AF4826"/>
    <w:rsid w:val="00AF4D5D"/>
    <w:rsid w:val="00B00373"/>
    <w:rsid w:val="00B00E78"/>
    <w:rsid w:val="00B01992"/>
    <w:rsid w:val="00B065E1"/>
    <w:rsid w:val="00B07629"/>
    <w:rsid w:val="00B154D6"/>
    <w:rsid w:val="00B222C3"/>
    <w:rsid w:val="00B23550"/>
    <w:rsid w:val="00B24399"/>
    <w:rsid w:val="00B24946"/>
    <w:rsid w:val="00B277C0"/>
    <w:rsid w:val="00B316C0"/>
    <w:rsid w:val="00B347D2"/>
    <w:rsid w:val="00B413E3"/>
    <w:rsid w:val="00B41B3C"/>
    <w:rsid w:val="00B5139F"/>
    <w:rsid w:val="00B516BB"/>
    <w:rsid w:val="00B52001"/>
    <w:rsid w:val="00B528CF"/>
    <w:rsid w:val="00B532C0"/>
    <w:rsid w:val="00B54DCB"/>
    <w:rsid w:val="00B577AA"/>
    <w:rsid w:val="00B60BBC"/>
    <w:rsid w:val="00B60F41"/>
    <w:rsid w:val="00B616FA"/>
    <w:rsid w:val="00B6301D"/>
    <w:rsid w:val="00B669CA"/>
    <w:rsid w:val="00B66F05"/>
    <w:rsid w:val="00B70341"/>
    <w:rsid w:val="00B76E3A"/>
    <w:rsid w:val="00B80367"/>
    <w:rsid w:val="00B8117F"/>
    <w:rsid w:val="00B81FDF"/>
    <w:rsid w:val="00B8468F"/>
    <w:rsid w:val="00B84749"/>
    <w:rsid w:val="00B91F6D"/>
    <w:rsid w:val="00B934A2"/>
    <w:rsid w:val="00B96137"/>
    <w:rsid w:val="00B97D17"/>
    <w:rsid w:val="00BA58EA"/>
    <w:rsid w:val="00BB1092"/>
    <w:rsid w:val="00BB12CE"/>
    <w:rsid w:val="00BB3C57"/>
    <w:rsid w:val="00BB49F4"/>
    <w:rsid w:val="00BB5569"/>
    <w:rsid w:val="00BC1A5A"/>
    <w:rsid w:val="00BC1F3F"/>
    <w:rsid w:val="00BC24B2"/>
    <w:rsid w:val="00BD08BB"/>
    <w:rsid w:val="00BD216B"/>
    <w:rsid w:val="00BD25B3"/>
    <w:rsid w:val="00BD4C10"/>
    <w:rsid w:val="00BD59E1"/>
    <w:rsid w:val="00BE0AA9"/>
    <w:rsid w:val="00BE15EC"/>
    <w:rsid w:val="00BE3D10"/>
    <w:rsid w:val="00BF0FFD"/>
    <w:rsid w:val="00BF45B1"/>
    <w:rsid w:val="00BF68C1"/>
    <w:rsid w:val="00BF6E37"/>
    <w:rsid w:val="00C0132F"/>
    <w:rsid w:val="00C02152"/>
    <w:rsid w:val="00C04D1D"/>
    <w:rsid w:val="00C06E3C"/>
    <w:rsid w:val="00C07C6C"/>
    <w:rsid w:val="00C100B6"/>
    <w:rsid w:val="00C15F9D"/>
    <w:rsid w:val="00C2005D"/>
    <w:rsid w:val="00C243A9"/>
    <w:rsid w:val="00C25DA3"/>
    <w:rsid w:val="00C26226"/>
    <w:rsid w:val="00C263DD"/>
    <w:rsid w:val="00C26E02"/>
    <w:rsid w:val="00C351E8"/>
    <w:rsid w:val="00C36353"/>
    <w:rsid w:val="00C36D22"/>
    <w:rsid w:val="00C37328"/>
    <w:rsid w:val="00C467DB"/>
    <w:rsid w:val="00C50EDF"/>
    <w:rsid w:val="00C514F6"/>
    <w:rsid w:val="00C52C2E"/>
    <w:rsid w:val="00C568C5"/>
    <w:rsid w:val="00C62F7F"/>
    <w:rsid w:val="00C640F9"/>
    <w:rsid w:val="00C64C86"/>
    <w:rsid w:val="00C67AF8"/>
    <w:rsid w:val="00C710F3"/>
    <w:rsid w:val="00C717D7"/>
    <w:rsid w:val="00C74C52"/>
    <w:rsid w:val="00C763BC"/>
    <w:rsid w:val="00C77639"/>
    <w:rsid w:val="00C8115C"/>
    <w:rsid w:val="00C83775"/>
    <w:rsid w:val="00C83E99"/>
    <w:rsid w:val="00C84041"/>
    <w:rsid w:val="00C850F1"/>
    <w:rsid w:val="00C85C23"/>
    <w:rsid w:val="00C9376B"/>
    <w:rsid w:val="00C93B56"/>
    <w:rsid w:val="00CA0D57"/>
    <w:rsid w:val="00CA49E4"/>
    <w:rsid w:val="00CA7FF2"/>
    <w:rsid w:val="00CB1043"/>
    <w:rsid w:val="00CB11CC"/>
    <w:rsid w:val="00CB4D15"/>
    <w:rsid w:val="00CB609A"/>
    <w:rsid w:val="00CC26B6"/>
    <w:rsid w:val="00CC43B6"/>
    <w:rsid w:val="00CC61A1"/>
    <w:rsid w:val="00CC67E7"/>
    <w:rsid w:val="00CC76B1"/>
    <w:rsid w:val="00CD001F"/>
    <w:rsid w:val="00CD09DD"/>
    <w:rsid w:val="00CD267B"/>
    <w:rsid w:val="00CD3C8A"/>
    <w:rsid w:val="00CD4076"/>
    <w:rsid w:val="00CD6E41"/>
    <w:rsid w:val="00CE2035"/>
    <w:rsid w:val="00CE5264"/>
    <w:rsid w:val="00CE6076"/>
    <w:rsid w:val="00CF0179"/>
    <w:rsid w:val="00CF50D7"/>
    <w:rsid w:val="00D03040"/>
    <w:rsid w:val="00D03432"/>
    <w:rsid w:val="00D11FF3"/>
    <w:rsid w:val="00D1239C"/>
    <w:rsid w:val="00D1455C"/>
    <w:rsid w:val="00D14B8F"/>
    <w:rsid w:val="00D17D89"/>
    <w:rsid w:val="00D26998"/>
    <w:rsid w:val="00D26A51"/>
    <w:rsid w:val="00D3560F"/>
    <w:rsid w:val="00D36FCD"/>
    <w:rsid w:val="00D40A5E"/>
    <w:rsid w:val="00D446B4"/>
    <w:rsid w:val="00D4743D"/>
    <w:rsid w:val="00D62A0C"/>
    <w:rsid w:val="00D713AC"/>
    <w:rsid w:val="00D76978"/>
    <w:rsid w:val="00D77D34"/>
    <w:rsid w:val="00D8358C"/>
    <w:rsid w:val="00D87046"/>
    <w:rsid w:val="00D87570"/>
    <w:rsid w:val="00D87716"/>
    <w:rsid w:val="00D93EB6"/>
    <w:rsid w:val="00D94088"/>
    <w:rsid w:val="00D96867"/>
    <w:rsid w:val="00D96D5E"/>
    <w:rsid w:val="00D9756A"/>
    <w:rsid w:val="00DA03EE"/>
    <w:rsid w:val="00DA158D"/>
    <w:rsid w:val="00DA41B0"/>
    <w:rsid w:val="00DA62FB"/>
    <w:rsid w:val="00DB3812"/>
    <w:rsid w:val="00DB5E23"/>
    <w:rsid w:val="00DB5E42"/>
    <w:rsid w:val="00DB7D1F"/>
    <w:rsid w:val="00DB7D25"/>
    <w:rsid w:val="00DC28AD"/>
    <w:rsid w:val="00DC35A4"/>
    <w:rsid w:val="00DC3D7E"/>
    <w:rsid w:val="00DD4A5C"/>
    <w:rsid w:val="00DD5452"/>
    <w:rsid w:val="00DE26AB"/>
    <w:rsid w:val="00DE2860"/>
    <w:rsid w:val="00DE5CC6"/>
    <w:rsid w:val="00DF5B54"/>
    <w:rsid w:val="00E03443"/>
    <w:rsid w:val="00E050F1"/>
    <w:rsid w:val="00E06632"/>
    <w:rsid w:val="00E07BFF"/>
    <w:rsid w:val="00E20CF0"/>
    <w:rsid w:val="00E21858"/>
    <w:rsid w:val="00E23C0F"/>
    <w:rsid w:val="00E27835"/>
    <w:rsid w:val="00E2790E"/>
    <w:rsid w:val="00E3284D"/>
    <w:rsid w:val="00E34ED7"/>
    <w:rsid w:val="00E45A3A"/>
    <w:rsid w:val="00E51FE1"/>
    <w:rsid w:val="00E5238C"/>
    <w:rsid w:val="00E55A53"/>
    <w:rsid w:val="00E565A7"/>
    <w:rsid w:val="00E61048"/>
    <w:rsid w:val="00E63A5B"/>
    <w:rsid w:val="00E659D4"/>
    <w:rsid w:val="00E66694"/>
    <w:rsid w:val="00E66DDB"/>
    <w:rsid w:val="00E720FD"/>
    <w:rsid w:val="00E73015"/>
    <w:rsid w:val="00E732D9"/>
    <w:rsid w:val="00E7384D"/>
    <w:rsid w:val="00E73DF3"/>
    <w:rsid w:val="00E764E0"/>
    <w:rsid w:val="00E806A2"/>
    <w:rsid w:val="00E86910"/>
    <w:rsid w:val="00E91562"/>
    <w:rsid w:val="00E921E7"/>
    <w:rsid w:val="00EA0533"/>
    <w:rsid w:val="00EA2377"/>
    <w:rsid w:val="00EA25F5"/>
    <w:rsid w:val="00EA28D5"/>
    <w:rsid w:val="00EA2CD2"/>
    <w:rsid w:val="00EB0E2C"/>
    <w:rsid w:val="00EB1D38"/>
    <w:rsid w:val="00EB3C40"/>
    <w:rsid w:val="00EB468E"/>
    <w:rsid w:val="00EB5013"/>
    <w:rsid w:val="00EB5E5E"/>
    <w:rsid w:val="00EC0F0C"/>
    <w:rsid w:val="00EC576E"/>
    <w:rsid w:val="00EC6375"/>
    <w:rsid w:val="00EC71A7"/>
    <w:rsid w:val="00ED0B5D"/>
    <w:rsid w:val="00ED284B"/>
    <w:rsid w:val="00ED48E0"/>
    <w:rsid w:val="00EE06F1"/>
    <w:rsid w:val="00EE153A"/>
    <w:rsid w:val="00EE53D2"/>
    <w:rsid w:val="00EF7271"/>
    <w:rsid w:val="00EF7714"/>
    <w:rsid w:val="00F00F8A"/>
    <w:rsid w:val="00F03A3D"/>
    <w:rsid w:val="00F0500C"/>
    <w:rsid w:val="00F05384"/>
    <w:rsid w:val="00F0565D"/>
    <w:rsid w:val="00F105F0"/>
    <w:rsid w:val="00F1345E"/>
    <w:rsid w:val="00F14D50"/>
    <w:rsid w:val="00F1680C"/>
    <w:rsid w:val="00F1706E"/>
    <w:rsid w:val="00F171F2"/>
    <w:rsid w:val="00F20AE0"/>
    <w:rsid w:val="00F244CB"/>
    <w:rsid w:val="00F2743A"/>
    <w:rsid w:val="00F32577"/>
    <w:rsid w:val="00F33F09"/>
    <w:rsid w:val="00F36314"/>
    <w:rsid w:val="00F40D28"/>
    <w:rsid w:val="00F458D2"/>
    <w:rsid w:val="00F52FF6"/>
    <w:rsid w:val="00F530A3"/>
    <w:rsid w:val="00F5575D"/>
    <w:rsid w:val="00F56603"/>
    <w:rsid w:val="00F61E99"/>
    <w:rsid w:val="00F6248A"/>
    <w:rsid w:val="00F642EA"/>
    <w:rsid w:val="00F65F9C"/>
    <w:rsid w:val="00F71CA2"/>
    <w:rsid w:val="00F73D1D"/>
    <w:rsid w:val="00F83F6E"/>
    <w:rsid w:val="00F841D1"/>
    <w:rsid w:val="00F843E1"/>
    <w:rsid w:val="00F8521E"/>
    <w:rsid w:val="00F854DA"/>
    <w:rsid w:val="00F85A16"/>
    <w:rsid w:val="00F92A93"/>
    <w:rsid w:val="00F94D70"/>
    <w:rsid w:val="00FA2671"/>
    <w:rsid w:val="00FA32DC"/>
    <w:rsid w:val="00FA3C37"/>
    <w:rsid w:val="00FA3CCB"/>
    <w:rsid w:val="00FA3EF8"/>
    <w:rsid w:val="00FA5F03"/>
    <w:rsid w:val="00FB1D3C"/>
    <w:rsid w:val="00FB40C5"/>
    <w:rsid w:val="00FB79E8"/>
    <w:rsid w:val="00FC4848"/>
    <w:rsid w:val="00FC6AAD"/>
    <w:rsid w:val="00FC7504"/>
    <w:rsid w:val="00FD1215"/>
    <w:rsid w:val="00FD31A8"/>
    <w:rsid w:val="00FD3B37"/>
    <w:rsid w:val="00FD4EB8"/>
    <w:rsid w:val="00FE051F"/>
    <w:rsid w:val="00FE1CF7"/>
    <w:rsid w:val="00FE2220"/>
    <w:rsid w:val="00FE3EA4"/>
    <w:rsid w:val="00FE7E9C"/>
    <w:rsid w:val="00FF0F05"/>
    <w:rsid w:val="00FF5068"/>
    <w:rsid w:val="00FF5A9D"/>
    <w:rsid w:val="00FF753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2"/>
    <o:shapelayout v:ext="edit">
      <o:idmap v:ext="edit" data="1"/>
    </o:shapelayout>
  </w:shapeDefaults>
  <w:decimalSymbol w:val="."/>
  <w:listSeparator w:val=","/>
  <w14:docId w14:val="548102CB"/>
  <w15:chartTrackingRefBased/>
  <w15:docId w15:val="{176325CD-7B28-448B-9AFA-C60D7A56B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G Times (W1)" w:eastAsia="Times New Roman" w:hAnsi="CG Times (W1)"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9376B"/>
    <w:pPr>
      <w:spacing w:line="300" w:lineRule="atLeast"/>
    </w:pPr>
    <w:rPr>
      <w:rFonts w:ascii="Verdana" w:hAnsi="Verdana"/>
      <w:lang w:val="en-GB"/>
    </w:rPr>
  </w:style>
  <w:style w:type="paragraph" w:styleId="Heading1">
    <w:name w:val="heading 1"/>
    <w:aliases w:val="Heading 1 Char"/>
    <w:basedOn w:val="Normal"/>
    <w:next w:val="NormalIndent"/>
    <w:link w:val="Heading1Char1"/>
    <w:qFormat/>
    <w:rsid w:val="009E67DE"/>
    <w:pPr>
      <w:keepNext/>
      <w:pageBreakBefore/>
      <w:numPr>
        <w:numId w:val="1"/>
      </w:numPr>
      <w:spacing w:before="240" w:after="480"/>
      <w:outlineLvl w:val="0"/>
    </w:pPr>
    <w:rPr>
      <w:b/>
      <w:caps/>
      <w:color w:val="808080"/>
      <w:sz w:val="24"/>
    </w:rPr>
  </w:style>
  <w:style w:type="paragraph" w:styleId="Heading2">
    <w:name w:val="heading 2"/>
    <w:basedOn w:val="Normal"/>
    <w:next w:val="NormalIndent"/>
    <w:qFormat/>
    <w:rsid w:val="009E67DE"/>
    <w:pPr>
      <w:keepNext/>
      <w:keepLines/>
      <w:numPr>
        <w:ilvl w:val="1"/>
        <w:numId w:val="1"/>
      </w:numPr>
      <w:spacing w:after="120"/>
      <w:outlineLvl w:val="1"/>
    </w:pPr>
    <w:rPr>
      <w:b/>
      <w:caps/>
      <w:color w:val="000000"/>
      <w:szCs w:val="24"/>
    </w:rPr>
  </w:style>
  <w:style w:type="paragraph" w:styleId="Heading3">
    <w:name w:val="heading 3"/>
    <w:aliases w:val="Heading 3 Char1"/>
    <w:basedOn w:val="Normal"/>
    <w:next w:val="NormalIndent"/>
    <w:link w:val="Heading3Char"/>
    <w:qFormat/>
    <w:rsid w:val="009E67DE"/>
    <w:pPr>
      <w:keepNext/>
      <w:keepLines/>
      <w:numPr>
        <w:ilvl w:val="2"/>
        <w:numId w:val="1"/>
      </w:numPr>
      <w:spacing w:after="240"/>
      <w:outlineLvl w:val="2"/>
    </w:pPr>
    <w:rPr>
      <w:b/>
    </w:rPr>
  </w:style>
  <w:style w:type="paragraph" w:styleId="Heading4">
    <w:name w:val="heading 4"/>
    <w:basedOn w:val="Normal"/>
    <w:next w:val="NormalIndent"/>
    <w:link w:val="Heading4Char"/>
    <w:autoRedefine/>
    <w:qFormat/>
    <w:rsid w:val="009E67DE"/>
    <w:pPr>
      <w:keepNext/>
      <w:numPr>
        <w:ilvl w:val="3"/>
        <w:numId w:val="1"/>
      </w:numPr>
      <w:spacing w:after="120"/>
      <w:outlineLvl w:val="3"/>
    </w:pPr>
    <w:rPr>
      <w:b/>
      <w:i/>
    </w:rPr>
  </w:style>
  <w:style w:type="paragraph" w:styleId="Heading5">
    <w:name w:val="heading 5"/>
    <w:basedOn w:val="Normal"/>
    <w:next w:val="NormalIndent"/>
    <w:qFormat/>
    <w:rsid w:val="009E67DE"/>
    <w:pPr>
      <w:keepNext/>
      <w:numPr>
        <w:ilvl w:val="4"/>
        <w:numId w:val="1"/>
      </w:numPr>
      <w:spacing w:after="120"/>
      <w:outlineLvl w:val="4"/>
    </w:pPr>
    <w:rPr>
      <w:i/>
    </w:rPr>
  </w:style>
  <w:style w:type="paragraph" w:styleId="Heading6">
    <w:name w:val="heading 6"/>
    <w:basedOn w:val="Normal"/>
    <w:next w:val="NormalIndent"/>
    <w:qFormat/>
    <w:rsid w:val="009E67DE"/>
    <w:pPr>
      <w:numPr>
        <w:ilvl w:val="5"/>
        <w:numId w:val="1"/>
      </w:numPr>
      <w:outlineLvl w:val="5"/>
    </w:pPr>
    <w:rPr>
      <w:u w:val="single"/>
    </w:rPr>
  </w:style>
  <w:style w:type="paragraph" w:styleId="Heading7">
    <w:name w:val="heading 7"/>
    <w:basedOn w:val="Normal"/>
    <w:next w:val="NormalIndent"/>
    <w:qFormat/>
    <w:rsid w:val="009E67DE"/>
    <w:pPr>
      <w:numPr>
        <w:ilvl w:val="6"/>
        <w:numId w:val="1"/>
      </w:numPr>
      <w:outlineLvl w:val="6"/>
    </w:pPr>
    <w:rPr>
      <w:i/>
    </w:rPr>
  </w:style>
  <w:style w:type="paragraph" w:styleId="Heading8">
    <w:name w:val="heading 8"/>
    <w:basedOn w:val="Normal"/>
    <w:next w:val="Normal"/>
    <w:qFormat/>
    <w:rsid w:val="009E67DE"/>
    <w:pPr>
      <w:numPr>
        <w:ilvl w:val="7"/>
        <w:numId w:val="1"/>
      </w:numPr>
      <w:spacing w:before="240" w:after="60"/>
      <w:outlineLvl w:val="7"/>
    </w:pPr>
    <w:rPr>
      <w:i/>
    </w:rPr>
  </w:style>
  <w:style w:type="paragraph" w:styleId="Heading9">
    <w:name w:val="heading 9"/>
    <w:basedOn w:val="Normal"/>
    <w:next w:val="NormalIndent"/>
    <w:qFormat/>
    <w:rsid w:val="009E67DE"/>
    <w:pPr>
      <w:numPr>
        <w:ilvl w:val="8"/>
        <w:numId w:val="1"/>
      </w:numPr>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aliases w:val="Normal Indent Char Char"/>
    <w:basedOn w:val="Normal"/>
    <w:link w:val="NormalIndentChar"/>
    <w:rsid w:val="00C9376B"/>
    <w:pPr>
      <w:spacing w:after="180"/>
      <w:ind w:left="709"/>
    </w:pPr>
  </w:style>
  <w:style w:type="paragraph" w:customStyle="1" w:styleId="IndentOne">
    <w:name w:val="Indent One"/>
    <w:basedOn w:val="NormalIndent"/>
    <w:pPr>
      <w:ind w:left="1418"/>
    </w:pPr>
  </w:style>
  <w:style w:type="character" w:styleId="CommentReference">
    <w:name w:val="annotation reference"/>
    <w:semiHidden/>
    <w:rPr>
      <w:rFonts w:ascii="Times New Roman" w:hAnsi="Times New Roman"/>
      <w:sz w:val="16"/>
    </w:rPr>
  </w:style>
  <w:style w:type="paragraph" w:styleId="CommentText">
    <w:name w:val="annotation text"/>
    <w:basedOn w:val="Normal"/>
    <w:semiHidden/>
  </w:style>
  <w:style w:type="paragraph" w:styleId="TOC3">
    <w:name w:val="toc 3"/>
    <w:basedOn w:val="TOC2"/>
    <w:next w:val="Normal"/>
    <w:uiPriority w:val="39"/>
    <w:pPr>
      <w:ind w:left="440"/>
    </w:pPr>
    <w:rPr>
      <w:i/>
      <w:iCs/>
      <w:smallCaps w:val="0"/>
    </w:rPr>
  </w:style>
  <w:style w:type="paragraph" w:styleId="TOC2">
    <w:name w:val="toc 2"/>
    <w:basedOn w:val="Normal"/>
    <w:next w:val="Normal"/>
    <w:uiPriority w:val="39"/>
    <w:rsid w:val="00005766"/>
    <w:pPr>
      <w:ind w:left="220"/>
    </w:pPr>
    <w:rPr>
      <w:smallCaps/>
    </w:rPr>
  </w:style>
  <w:style w:type="paragraph" w:styleId="TOC1">
    <w:name w:val="toc 1"/>
    <w:basedOn w:val="Normal"/>
    <w:next w:val="TOC2"/>
    <w:uiPriority w:val="39"/>
    <w:rsid w:val="00005766"/>
    <w:pPr>
      <w:spacing w:before="120" w:after="120"/>
    </w:pPr>
    <w:rPr>
      <w:b/>
      <w:bCs/>
      <w:caps/>
    </w:rPr>
  </w:style>
  <w:style w:type="paragraph" w:styleId="Footer">
    <w:name w:val="footer"/>
    <w:basedOn w:val="Normal"/>
    <w:pPr>
      <w:pBdr>
        <w:top w:val="single" w:sz="6" w:space="1" w:color="auto"/>
        <w:between w:val="single" w:sz="6" w:space="1" w:color="auto"/>
      </w:pBdr>
      <w:tabs>
        <w:tab w:val="right" w:pos="8931"/>
      </w:tabs>
    </w:pPr>
    <w:rPr>
      <w:i/>
    </w:rPr>
  </w:style>
  <w:style w:type="paragraph" w:styleId="Header">
    <w:name w:val="header"/>
    <w:basedOn w:val="Normal"/>
    <w:pPr>
      <w:pBdr>
        <w:bottom w:val="single" w:sz="6" w:space="1" w:color="auto"/>
        <w:between w:val="single" w:sz="6" w:space="1" w:color="auto"/>
      </w:pBdr>
      <w:jc w:val="right"/>
    </w:pPr>
  </w:style>
  <w:style w:type="character" w:styleId="FootnoteReference">
    <w:name w:val="footnote reference"/>
    <w:semiHidden/>
    <w:rPr>
      <w:rFonts w:ascii="Times New Roman" w:hAnsi="Times New Roman"/>
      <w:position w:val="6"/>
      <w:sz w:val="16"/>
    </w:rPr>
  </w:style>
  <w:style w:type="paragraph" w:styleId="FootnoteText">
    <w:name w:val="footnote text"/>
    <w:basedOn w:val="Normal"/>
    <w:semiHidden/>
  </w:style>
  <w:style w:type="paragraph" w:customStyle="1" w:styleId="TableSingle">
    <w:name w:val="Table Single"/>
    <w:basedOn w:val="Normal"/>
    <w:pPr>
      <w:pBdr>
        <w:bottom w:val="single" w:sz="6" w:space="1" w:color="auto"/>
        <w:between w:val="single" w:sz="6" w:space="1" w:color="auto"/>
      </w:pBdr>
      <w:spacing w:after="120" w:line="120" w:lineRule="exact"/>
    </w:pPr>
    <w:rPr>
      <w:rFonts w:ascii="Arial" w:hAnsi="Arial"/>
    </w:rPr>
  </w:style>
  <w:style w:type="paragraph" w:customStyle="1" w:styleId="TableDouble">
    <w:name w:val="Table Double"/>
    <w:basedOn w:val="Normal"/>
    <w:pPr>
      <w:pBdr>
        <w:bottom w:val="double" w:sz="6" w:space="1" w:color="auto"/>
        <w:between w:val="double" w:sz="6" w:space="1" w:color="auto"/>
      </w:pBdr>
      <w:spacing w:after="120" w:line="120" w:lineRule="exact"/>
    </w:pPr>
  </w:style>
  <w:style w:type="paragraph" w:customStyle="1" w:styleId="ReduceSingle">
    <w:name w:val="Reduce Single"/>
    <w:basedOn w:val="Normal"/>
    <w:pPr>
      <w:pBdr>
        <w:bottom w:val="single" w:sz="6" w:space="1" w:color="auto"/>
        <w:between w:val="single" w:sz="6" w:space="1" w:color="auto"/>
      </w:pBdr>
      <w:spacing w:after="60" w:line="60" w:lineRule="exact"/>
    </w:pPr>
  </w:style>
  <w:style w:type="paragraph" w:customStyle="1" w:styleId="ReduceDouble">
    <w:name w:val="Reduce Double"/>
    <w:basedOn w:val="Normal"/>
    <w:pPr>
      <w:pBdr>
        <w:bottom w:val="double" w:sz="6" w:space="1" w:color="auto"/>
        <w:between w:val="double" w:sz="6" w:space="1" w:color="auto"/>
      </w:pBdr>
      <w:spacing w:after="60" w:line="60" w:lineRule="exact"/>
    </w:pPr>
  </w:style>
  <w:style w:type="paragraph" w:customStyle="1" w:styleId="ReduceLine">
    <w:name w:val="Reduce Line"/>
    <w:basedOn w:val="Normal"/>
    <w:pPr>
      <w:spacing w:after="60" w:line="60" w:lineRule="exact"/>
    </w:pPr>
  </w:style>
  <w:style w:type="paragraph" w:customStyle="1" w:styleId="Address">
    <w:name w:val="Address"/>
    <w:basedOn w:val="Normal"/>
  </w:style>
  <w:style w:type="paragraph" w:customStyle="1" w:styleId="Reference">
    <w:name w:val="Reference"/>
    <w:basedOn w:val="Normal"/>
    <w:pPr>
      <w:keepLines/>
    </w:pPr>
    <w:rPr>
      <w:noProof/>
    </w:rPr>
  </w:style>
  <w:style w:type="paragraph" w:styleId="TOC4">
    <w:name w:val="toc 4"/>
    <w:basedOn w:val="Normal"/>
    <w:next w:val="Normal"/>
    <w:semiHidden/>
    <w:pPr>
      <w:ind w:left="660"/>
    </w:pPr>
    <w:rPr>
      <w:rFonts w:ascii="Times New Roman" w:hAnsi="Times New Roman"/>
      <w:sz w:val="18"/>
      <w:szCs w:val="18"/>
    </w:rPr>
  </w:style>
  <w:style w:type="character" w:styleId="EndnoteReference">
    <w:name w:val="endnote reference"/>
    <w:semiHidden/>
    <w:rPr>
      <w:rFonts w:ascii="Times New Roman" w:hAnsi="Times New Roman"/>
      <w:vertAlign w:val="superscript"/>
    </w:rPr>
  </w:style>
  <w:style w:type="character" w:styleId="LineNumber">
    <w:name w:val="line number"/>
    <w:rPr>
      <w:rFonts w:ascii="Arial" w:hAnsi="Arial"/>
    </w:rPr>
  </w:style>
  <w:style w:type="character" w:styleId="PageNumber">
    <w:name w:val="page number"/>
    <w:rPr>
      <w:rFonts w:ascii="Times New Roman" w:hAnsi="Times New Roman"/>
    </w:rPr>
  </w:style>
  <w:style w:type="paragraph" w:styleId="TOC5">
    <w:name w:val="toc 5"/>
    <w:basedOn w:val="Normal"/>
    <w:next w:val="Normal"/>
    <w:semiHidden/>
    <w:pPr>
      <w:ind w:left="880"/>
    </w:pPr>
    <w:rPr>
      <w:rFonts w:ascii="Times New Roman" w:hAnsi="Times New Roman"/>
      <w:sz w:val="18"/>
      <w:szCs w:val="18"/>
    </w:rPr>
  </w:style>
  <w:style w:type="paragraph" w:styleId="TOC6">
    <w:name w:val="toc 6"/>
    <w:basedOn w:val="Normal"/>
    <w:next w:val="Normal"/>
    <w:semiHidden/>
    <w:pPr>
      <w:ind w:left="1100"/>
    </w:pPr>
    <w:rPr>
      <w:rFonts w:ascii="Times New Roman" w:hAnsi="Times New Roman"/>
      <w:sz w:val="18"/>
      <w:szCs w:val="18"/>
    </w:rPr>
  </w:style>
  <w:style w:type="paragraph" w:styleId="TOC7">
    <w:name w:val="toc 7"/>
    <w:basedOn w:val="Normal"/>
    <w:next w:val="Normal"/>
    <w:semiHidden/>
    <w:pPr>
      <w:ind w:left="1320"/>
    </w:pPr>
    <w:rPr>
      <w:rFonts w:ascii="Times New Roman" w:hAnsi="Times New Roman"/>
      <w:sz w:val="18"/>
      <w:szCs w:val="18"/>
    </w:rPr>
  </w:style>
  <w:style w:type="paragraph" w:styleId="TOC8">
    <w:name w:val="toc 8"/>
    <w:basedOn w:val="Normal"/>
    <w:next w:val="Normal"/>
    <w:semiHidden/>
    <w:pPr>
      <w:ind w:left="1540"/>
    </w:pPr>
    <w:rPr>
      <w:rFonts w:ascii="Times New Roman" w:hAnsi="Times New Roman"/>
      <w:sz w:val="18"/>
      <w:szCs w:val="18"/>
    </w:rPr>
  </w:style>
  <w:style w:type="paragraph" w:styleId="TOC9">
    <w:name w:val="toc 9"/>
    <w:basedOn w:val="Normal"/>
    <w:next w:val="Normal"/>
    <w:semiHidden/>
    <w:pPr>
      <w:ind w:left="1760"/>
    </w:pPr>
    <w:rPr>
      <w:rFonts w:ascii="Times New Roman" w:hAnsi="Times New Roman"/>
      <w:sz w:val="18"/>
      <w:szCs w:val="18"/>
    </w:rPr>
  </w:style>
  <w:style w:type="paragraph" w:styleId="BodyTextIndent">
    <w:name w:val="Body Text Indent"/>
    <w:basedOn w:val="Normal"/>
    <w:pPr>
      <w:ind w:left="567"/>
    </w:pPr>
  </w:style>
  <w:style w:type="paragraph" w:customStyle="1" w:styleId="ResponseText">
    <w:name w:val="Response Text"/>
    <w:basedOn w:val="Normal"/>
    <w:pPr>
      <w:spacing w:before="120" w:line="240" w:lineRule="auto"/>
      <w:ind w:left="2606"/>
      <w:jc w:val="both"/>
    </w:pPr>
    <w:rPr>
      <w:lang w:val="en-US"/>
    </w:rPr>
  </w:style>
  <w:style w:type="paragraph" w:styleId="ListBullet">
    <w:name w:val="List Bullet"/>
    <w:basedOn w:val="Normal"/>
    <w:autoRedefine/>
    <w:rsid w:val="00926E17"/>
    <w:pPr>
      <w:numPr>
        <w:numId w:val="2"/>
      </w:numPr>
      <w:spacing w:line="240" w:lineRule="auto"/>
    </w:pPr>
    <w:rPr>
      <w:lang w:val="en-ZA"/>
    </w:rPr>
  </w:style>
  <w:style w:type="character" w:customStyle="1" w:styleId="ListBulletChar">
    <w:name w:val="List Bullet Char"/>
    <w:rPr>
      <w:rFonts w:ascii="Arial" w:hAnsi="Arial"/>
      <w:noProof w:val="0"/>
      <w:sz w:val="24"/>
      <w:szCs w:val="24"/>
      <w:lang w:val="en-ZA" w:eastAsia="en-ZA" w:bidi="ar-SA"/>
    </w:rPr>
  </w:style>
  <w:style w:type="character" w:styleId="FollowedHyperlink">
    <w:name w:val="FollowedHyperlink"/>
    <w:rPr>
      <w:color w:val="800080"/>
      <w:u w:val="single"/>
    </w:rPr>
  </w:style>
  <w:style w:type="character" w:styleId="Hyperlink">
    <w:name w:val="Hyperlink"/>
    <w:uiPriority w:val="99"/>
    <w:rPr>
      <w:color w:val="0000FF"/>
      <w:u w:val="single"/>
    </w:rPr>
  </w:style>
  <w:style w:type="paragraph" w:styleId="Caption">
    <w:name w:val="caption"/>
    <w:basedOn w:val="Normal"/>
    <w:next w:val="Normal"/>
    <w:qFormat/>
    <w:pPr>
      <w:spacing w:before="120" w:after="120" w:line="240" w:lineRule="auto"/>
    </w:pPr>
    <w:rPr>
      <w:b/>
      <w:lang w:val="en-ZA"/>
    </w:rPr>
  </w:style>
  <w:style w:type="paragraph" w:styleId="BodyTextIndent2">
    <w:name w:val="Body Text Indent 2"/>
    <w:basedOn w:val="Normal"/>
    <w:pPr>
      <w:ind w:left="567"/>
    </w:pPr>
  </w:style>
  <w:style w:type="paragraph" w:styleId="DocumentMap">
    <w:name w:val="Document Map"/>
    <w:basedOn w:val="Normal"/>
    <w:semiHidden/>
    <w:pPr>
      <w:shd w:val="clear" w:color="auto" w:fill="000080"/>
    </w:pPr>
    <w:rPr>
      <w:rFonts w:ascii="Tahoma" w:hAnsi="Tahoma" w:cs="Tahoma"/>
    </w:rPr>
  </w:style>
  <w:style w:type="character" w:styleId="Strong">
    <w:name w:val="Strong"/>
    <w:qFormat/>
    <w:rPr>
      <w:b/>
      <w:bCs/>
    </w:rPr>
  </w:style>
  <w:style w:type="table" w:styleId="TableGrid">
    <w:name w:val="Table Grid"/>
    <w:basedOn w:val="TableNormal"/>
    <w:rsid w:val="00C52C2E"/>
    <w:pPr>
      <w:spacing w:line="30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rsid w:val="00091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Lucida Console" w:hAnsi="Lucida Console" w:cs="Courier New"/>
      <w:szCs w:val="22"/>
      <w:lang w:val="en-ZA" w:eastAsia="en-ZA"/>
    </w:rPr>
  </w:style>
  <w:style w:type="character" w:styleId="HTMLCode">
    <w:name w:val="HTML Code"/>
    <w:rsid w:val="000910F0"/>
    <w:rPr>
      <w:rFonts w:ascii="Courier New" w:eastAsia="Times New Roman" w:hAnsi="Courier New" w:cs="Courier New"/>
      <w:sz w:val="20"/>
      <w:szCs w:val="20"/>
    </w:rPr>
  </w:style>
  <w:style w:type="numbering" w:customStyle="1" w:styleId="StyleBulleted">
    <w:name w:val="Style Bulleted"/>
    <w:basedOn w:val="NoList"/>
    <w:rsid w:val="00381339"/>
    <w:pPr>
      <w:numPr>
        <w:numId w:val="3"/>
      </w:numPr>
    </w:pPr>
  </w:style>
  <w:style w:type="character" w:customStyle="1" w:styleId="Heading3Char">
    <w:name w:val="Heading 3 Char"/>
    <w:aliases w:val="Heading 3 Char1 Char"/>
    <w:link w:val="Heading3"/>
    <w:rsid w:val="009E67DE"/>
    <w:rPr>
      <w:rFonts w:ascii="Verdana" w:hAnsi="Verdana"/>
      <w:b/>
      <w:lang w:val="en-GB" w:eastAsia="en-US" w:bidi="ar-SA"/>
    </w:rPr>
  </w:style>
  <w:style w:type="character" w:customStyle="1" w:styleId="Heading4Char">
    <w:name w:val="Heading 4 Char"/>
    <w:link w:val="Heading4"/>
    <w:rsid w:val="009E67DE"/>
    <w:rPr>
      <w:rFonts w:ascii="Verdana" w:hAnsi="Verdana"/>
      <w:b/>
      <w:i/>
      <w:lang w:val="en-GB" w:eastAsia="en-US" w:bidi="ar-SA"/>
    </w:rPr>
  </w:style>
  <w:style w:type="character" w:customStyle="1" w:styleId="Heading1Char1">
    <w:name w:val="Heading 1 Char1"/>
    <w:aliases w:val="Heading 1 Char Char"/>
    <w:link w:val="Heading1"/>
    <w:rsid w:val="009E67DE"/>
    <w:rPr>
      <w:rFonts w:ascii="Verdana" w:hAnsi="Verdana"/>
      <w:b/>
      <w:caps/>
      <w:color w:val="808080"/>
      <w:sz w:val="24"/>
      <w:lang w:val="en-GB" w:eastAsia="en-US" w:bidi="ar-SA"/>
    </w:rPr>
  </w:style>
  <w:style w:type="character" w:styleId="Emphasis">
    <w:name w:val="Emphasis"/>
    <w:qFormat/>
    <w:rsid w:val="0063029F"/>
    <w:rPr>
      <w:i/>
      <w:iCs/>
    </w:rPr>
  </w:style>
  <w:style w:type="character" w:customStyle="1" w:styleId="NormalIndentChar">
    <w:name w:val="Normal Indent Char"/>
    <w:aliases w:val="Normal Indent Char Char Char"/>
    <w:link w:val="NormalIndent"/>
    <w:rsid w:val="00C9376B"/>
    <w:rPr>
      <w:rFonts w:ascii="Verdana" w:hAnsi="Verdana"/>
      <w:lang w:val="en-GB" w:eastAsia="en-US" w:bidi="ar-SA"/>
    </w:rPr>
  </w:style>
  <w:style w:type="numbering" w:customStyle="1" w:styleId="StyleOutlinenumbered">
    <w:name w:val="Style Outline numbered"/>
    <w:basedOn w:val="NoList"/>
    <w:rsid w:val="00CB609A"/>
    <w:pPr>
      <w:numPr>
        <w:numId w:val="6"/>
      </w:numPr>
    </w:pPr>
  </w:style>
  <w:style w:type="character" w:styleId="UnresolvedMention">
    <w:name w:val="Unresolved Mention"/>
    <w:uiPriority w:val="99"/>
    <w:semiHidden/>
    <w:unhideWhenUsed/>
    <w:rsid w:val="00527888"/>
    <w:rPr>
      <w:color w:val="605E5C"/>
      <w:shd w:val="clear" w:color="auto" w:fill="E1DFDD"/>
    </w:rPr>
  </w:style>
  <w:style w:type="paragraph" w:styleId="Revision">
    <w:name w:val="Revision"/>
    <w:hidden/>
    <w:uiPriority w:val="99"/>
    <w:semiHidden/>
    <w:rsid w:val="005A1DF8"/>
    <w:rPr>
      <w:rFonts w:ascii="Verdana" w:hAnsi="Verdana"/>
      <w:lang w:val="en-GB"/>
    </w:rPr>
  </w:style>
  <w:style w:type="paragraph" w:styleId="BalloonText">
    <w:name w:val="Balloon Text"/>
    <w:basedOn w:val="Normal"/>
    <w:link w:val="BalloonTextChar"/>
    <w:rsid w:val="005A1DF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rsid w:val="005A1DF8"/>
    <w:rPr>
      <w:rFonts w:ascii="Segoe UI"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6189618">
      <w:bodyDiv w:val="1"/>
      <w:marLeft w:val="0"/>
      <w:marRight w:val="0"/>
      <w:marTop w:val="0"/>
      <w:marBottom w:val="0"/>
      <w:divBdr>
        <w:top w:val="none" w:sz="0" w:space="0" w:color="auto"/>
        <w:left w:val="none" w:sz="0" w:space="0" w:color="auto"/>
        <w:bottom w:val="none" w:sz="0" w:space="0" w:color="auto"/>
        <w:right w:val="none" w:sz="0" w:space="0" w:color="auto"/>
      </w:divBdr>
    </w:div>
    <w:div w:id="718700503">
      <w:bodyDiv w:val="1"/>
      <w:marLeft w:val="0"/>
      <w:marRight w:val="0"/>
      <w:marTop w:val="0"/>
      <w:marBottom w:val="0"/>
      <w:divBdr>
        <w:top w:val="none" w:sz="0" w:space="0" w:color="auto"/>
        <w:left w:val="none" w:sz="0" w:space="0" w:color="auto"/>
        <w:bottom w:val="none" w:sz="0" w:space="0" w:color="auto"/>
        <w:right w:val="none" w:sz="0" w:space="0" w:color="auto"/>
      </w:divBdr>
    </w:div>
    <w:div w:id="1926300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pc\OneDrive%20-%20Open%20Box%20Software\Templates\Blank%20Document%20Long%20Form%20UK%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CC3B06-BE1B-432B-B286-72B358DC0669}">
  <ds:schemaRefs>
    <ds:schemaRef ds:uri="http://purl.org/dc/terms/"/>
    <ds:schemaRef ds:uri="http://purl.org/dc/elements/1.1/"/>
    <ds:schemaRef ds:uri="http://schemas.microsoft.com/office/2006/documentManagement/types"/>
    <ds:schemaRef ds:uri="http://purl.org/dc/dcmitype/"/>
    <ds:schemaRef ds:uri="http://schemas.microsoft.com/office/2006/metadata/properties"/>
    <ds:schemaRef ds:uri="http://schemas.microsoft.com/office/infopath/2007/PartnerControls"/>
    <ds:schemaRef ds:uri="http://schemas.openxmlformats.org/package/2006/metadata/core-properties"/>
    <ds:schemaRef ds:uri="1ffbd5dc-7a64-4097-8396-87f6c90b212f"/>
    <ds:schemaRef ds:uri="http://www.w3.org/XML/1998/namespace"/>
  </ds:schemaRefs>
</ds:datastoreItem>
</file>

<file path=customXml/itemProps2.xml><?xml version="1.0" encoding="utf-8"?>
<ds:datastoreItem xmlns:ds="http://schemas.openxmlformats.org/officeDocument/2006/customXml" ds:itemID="{6706014F-1711-4C81-A92F-A2778FAACDF1}">
  <ds:schemaRefs>
    <ds:schemaRef ds:uri="Microsoft.SharePoint.Taxonomy.ContentTypeSync"/>
  </ds:schemaRefs>
</ds:datastoreItem>
</file>

<file path=customXml/itemProps3.xml><?xml version="1.0" encoding="utf-8"?>
<ds:datastoreItem xmlns:ds="http://schemas.openxmlformats.org/officeDocument/2006/customXml" ds:itemID="{D897F5DA-E198-4551-8C6C-B897439DFA21}"/>
</file>

<file path=customXml/itemProps4.xml><?xml version="1.0" encoding="utf-8"?>
<ds:datastoreItem xmlns:ds="http://schemas.openxmlformats.org/officeDocument/2006/customXml" ds:itemID="{BD79E783-86C8-470B-B983-97D0944E3148}">
  <ds:schemaRefs>
    <ds:schemaRef ds:uri="http://schemas.openxmlformats.org/officeDocument/2006/bibliography"/>
  </ds:schemaRefs>
</ds:datastoreItem>
</file>

<file path=customXml/itemProps5.xml><?xml version="1.0" encoding="utf-8"?>
<ds:datastoreItem xmlns:ds="http://schemas.openxmlformats.org/officeDocument/2006/customXml" ds:itemID="{DF28DC97-6B41-4A22-8C6A-E8E98CFF27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Blank%20Document%20Long%20Form%20UK%20Template.dot</Template>
  <TotalTime>253</TotalTime>
  <Pages>1</Pages>
  <Words>3285</Words>
  <Characters>18726</Characters>
  <Application>Microsoft Office Word</Application>
  <DocSecurity>4</DocSecurity>
  <Lines>156</Lines>
  <Paragraphs>43</Paragraphs>
  <ScaleCrop>false</ScaleCrop>
  <HeadingPairs>
    <vt:vector size="2" baseType="variant">
      <vt:variant>
        <vt:lpstr>Title</vt:lpstr>
      </vt:variant>
      <vt:variant>
        <vt:i4>1</vt:i4>
      </vt:variant>
    </vt:vector>
  </HeadingPairs>
  <TitlesOfParts>
    <vt:vector size="1" baseType="lpstr">
      <vt:lpstr>Project Name</vt:lpstr>
    </vt:vector>
  </TitlesOfParts>
  <Manager>Version 1.0</Manager>
  <Company>Open Box Software</Company>
  <LinksUpToDate>false</LinksUpToDate>
  <CharactersWithSpaces>21968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MRI Implementation Consulting</dc:title>
  <dc:subject>Findings and Recommendations</dc:subject>
  <dc:creator>Michelle Millar</dc:creator>
  <cp:keywords/>
  <dc:description/>
  <cp:lastModifiedBy>Michelle Millar</cp:lastModifiedBy>
  <cp:revision>299</cp:revision>
  <cp:lastPrinted>2003-02-21T19:34:00Z</cp:lastPrinted>
  <dcterms:created xsi:type="dcterms:W3CDTF">2021-02-25T21:43:00Z</dcterms:created>
  <dcterms:modified xsi:type="dcterms:W3CDTF">2021-03-05T02:39:00Z</dcterms:modified>
  <cp:category>Grainger PLC</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Id">
    <vt:lpwstr>BL9908016/MB</vt:lpwstr>
  </property>
  <property fmtid="{D5CDD505-2E9C-101B-9397-08002B2CF9AE}" pid="3" name="ContentTypeId">
    <vt:lpwstr>0x010100B16301FA1C2D5E4DB9305F31D037531D02070300B4E123A7400DE24C83BA9D1BFCD12C10</vt:lpwstr>
  </property>
  <property fmtid="{D5CDD505-2E9C-101B-9397-08002B2CF9AE}" pid="4" name="Project Document Type">
    <vt:lpwstr>4;#Generic Project Document|258c2ed6-b93b-4ffe-8901-a23f2dc98ec9</vt:lpwstr>
  </property>
  <property fmtid="{D5CDD505-2E9C-101B-9397-08002B2CF9AE}" pid="5" name="Client">
    <vt:lpwstr>6;#Grainger PLC|a74f1cb5-e995-4f9e-8521-6d52e2c6bf08</vt:lpwstr>
  </property>
  <property fmtid="{D5CDD505-2E9C-101B-9397-08002B2CF9AE}" pid="6" name="Client Project">
    <vt:lpwstr/>
  </property>
  <property fmtid="{D5CDD505-2E9C-101B-9397-08002B2CF9AE}" pid="7" name="Division">
    <vt:lpwstr>5;#Enterprise Solutions|08c57b01-67e8-4a4f-abc6-ffb3392ace7f</vt:lpwstr>
  </property>
  <property fmtid="{D5CDD505-2E9C-101B-9397-08002B2CF9AE}" pid="8" name="MediaServiceImageTags">
    <vt:lpwstr/>
  </property>
  <property fmtid="{D5CDD505-2E9C-101B-9397-08002B2CF9AE}" pid="9" name="Project_x0020_Document_x0020_Type">
    <vt:lpwstr>4;#Generic Project Document|258c2ed6-b93b-4ffe-8901-a23f2dc98ec9</vt:lpwstr>
  </property>
  <property fmtid="{D5CDD505-2E9C-101B-9397-08002B2CF9AE}" pid="10" name="Client_x0020_Project">
    <vt:lpwstr/>
  </property>
  <property fmtid="{D5CDD505-2E9C-101B-9397-08002B2CF9AE}" pid="11" name="lcf76f155ced4ddcb4097134ff3c332f">
    <vt:lpwstr/>
  </property>
</Properties>
</file>