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469F2F" w14:textId="0BB7612D" w:rsidR="00622357" w:rsidRDefault="00622357" w:rsidP="00622357">
      <w:pPr>
        <w:pStyle w:val="Heading2"/>
        <w:tabs>
          <w:tab w:val="left" w:pos="3828"/>
        </w:tabs>
      </w:pPr>
      <w:bookmarkStart w:id="0" w:name="_Toc173169255"/>
      <w:r>
        <w:t xml:space="preserve">Grainger Trust </w:t>
      </w:r>
      <w:r w:rsidR="00F36F0B">
        <w:t xml:space="preserve">– Project </w:t>
      </w:r>
      <w:r>
        <w:t>Scope</w:t>
      </w:r>
      <w:bookmarkEnd w:id="0"/>
    </w:p>
    <w:p w14:paraId="18FE0009" w14:textId="6E023926" w:rsidR="00867931" w:rsidRPr="004E681F" w:rsidRDefault="00867931" w:rsidP="00622357">
      <w:pPr>
        <w:pStyle w:val="NormalIndent"/>
        <w:numPr>
          <w:ilvl w:val="0"/>
          <w:numId w:val="1"/>
        </w:numPr>
      </w:pPr>
      <w:r w:rsidRPr="004E681F">
        <w:rPr>
          <w:lang w:val="en-ZA"/>
        </w:rPr>
        <w:t xml:space="preserve">Identify GT </w:t>
      </w:r>
      <w:r w:rsidRPr="00C03E10">
        <w:rPr>
          <w:b/>
          <w:bCs/>
          <w:lang w:val="en-ZA"/>
        </w:rPr>
        <w:t>units</w:t>
      </w:r>
      <w:r w:rsidRPr="004E681F">
        <w:rPr>
          <w:lang w:val="en-ZA"/>
        </w:rPr>
        <w:t>:</w:t>
      </w:r>
    </w:p>
    <w:p w14:paraId="2B2BD948" w14:textId="77777777" w:rsidR="00DB5F7A" w:rsidRPr="00DB5F7A" w:rsidRDefault="00867931" w:rsidP="00867931">
      <w:pPr>
        <w:pStyle w:val="NormalIndent"/>
        <w:numPr>
          <w:ilvl w:val="1"/>
          <w:numId w:val="1"/>
        </w:numPr>
        <w:rPr>
          <w:highlight w:val="yellow"/>
        </w:rPr>
      </w:pPr>
      <w:r w:rsidRPr="00DB5F7A">
        <w:rPr>
          <w:highlight w:val="yellow"/>
          <w:lang w:val="en-ZA"/>
        </w:rPr>
        <w:t xml:space="preserve">DMR marker </w:t>
      </w:r>
    </w:p>
    <w:p w14:paraId="6BAF49D7" w14:textId="19259257" w:rsidR="00867931" w:rsidRPr="00DB5F7A" w:rsidRDefault="00867931" w:rsidP="00867931">
      <w:pPr>
        <w:pStyle w:val="NormalIndent"/>
        <w:numPr>
          <w:ilvl w:val="1"/>
          <w:numId w:val="1"/>
        </w:numPr>
        <w:rPr>
          <w:highlight w:val="yellow"/>
        </w:rPr>
      </w:pPr>
      <w:r w:rsidRPr="00DB5F7A">
        <w:rPr>
          <w:highlight w:val="yellow"/>
          <w:lang w:val="en-ZA"/>
        </w:rPr>
        <w:t>specific tenancy temp</w:t>
      </w:r>
      <w:r w:rsidR="00DB5F7A" w:rsidRPr="00DB5F7A">
        <w:rPr>
          <w:highlight w:val="yellow"/>
          <w:lang w:val="en-ZA"/>
        </w:rPr>
        <w:t>lates</w:t>
      </w:r>
      <w:r w:rsidR="003222CF">
        <w:rPr>
          <w:highlight w:val="yellow"/>
          <w:lang w:val="en-ZA"/>
        </w:rPr>
        <w:t xml:space="preserve"> – DMR, affordable rent</w:t>
      </w:r>
    </w:p>
    <w:p w14:paraId="7C1FB4C8" w14:textId="651A7258" w:rsidR="00CD12F9" w:rsidRDefault="00CD12F9" w:rsidP="004E681F">
      <w:pPr>
        <w:pStyle w:val="NormalIndent"/>
        <w:numPr>
          <w:ilvl w:val="1"/>
          <w:numId w:val="1"/>
        </w:numPr>
      </w:pPr>
      <w:r>
        <w:t xml:space="preserve">Maintain the </w:t>
      </w:r>
      <w:r w:rsidRPr="007A6C95">
        <w:t xml:space="preserve">maximum number of residents allowed per </w:t>
      </w:r>
      <w:r w:rsidR="00B475B2">
        <w:t>GT</w:t>
      </w:r>
      <w:r w:rsidRPr="007A6C95">
        <w:t xml:space="preserve"> unit</w:t>
      </w:r>
      <w:r>
        <w:t>.</w:t>
      </w:r>
      <w:r w:rsidR="00B475B2">
        <w:t xml:space="preserve"> </w:t>
      </w:r>
      <w:r w:rsidR="00B475B2" w:rsidRPr="00B475B2">
        <w:rPr>
          <w:highlight w:val="green"/>
        </w:rPr>
        <w:t>TBD</w:t>
      </w:r>
    </w:p>
    <w:p w14:paraId="07D021E8" w14:textId="20322BE0" w:rsidR="00622357" w:rsidRPr="007A6C95" w:rsidRDefault="00622357" w:rsidP="00622357">
      <w:pPr>
        <w:pStyle w:val="NormalIndent"/>
        <w:numPr>
          <w:ilvl w:val="0"/>
          <w:numId w:val="1"/>
        </w:numPr>
      </w:pPr>
      <w:r>
        <w:t xml:space="preserve">Customize the </w:t>
      </w:r>
      <w:r w:rsidRPr="00E2102A">
        <w:rPr>
          <w:b/>
          <w:bCs/>
        </w:rPr>
        <w:t>leasing journey</w:t>
      </w:r>
      <w:r w:rsidRPr="007A6C95">
        <w:t xml:space="preserve"> for Grainger Trust. </w:t>
      </w:r>
    </w:p>
    <w:p w14:paraId="1596596D" w14:textId="2E51A7B5" w:rsidR="00622357" w:rsidRDefault="00622357" w:rsidP="00622357">
      <w:pPr>
        <w:pStyle w:val="NormalIndent"/>
        <w:numPr>
          <w:ilvl w:val="1"/>
          <w:numId w:val="1"/>
        </w:numPr>
      </w:pPr>
      <w:r>
        <w:t>E</w:t>
      </w:r>
      <w:r w:rsidRPr="007A6C95">
        <w:t>xclud</w:t>
      </w:r>
      <w:r>
        <w:t>e</w:t>
      </w:r>
      <w:r w:rsidRPr="007A6C95">
        <w:t xml:space="preserve"> marketing-related steps</w:t>
      </w:r>
      <w:r>
        <w:t>;</w:t>
      </w:r>
      <w:r>
        <w:t xml:space="preserve"> only </w:t>
      </w:r>
      <w:r w:rsidRPr="007A6C95">
        <w:t>start</w:t>
      </w:r>
      <w:r>
        <w:t xml:space="preserve"> </w:t>
      </w:r>
      <w:r w:rsidRPr="007A6C95">
        <w:t>once the local authority has identified the new customer</w:t>
      </w:r>
    </w:p>
    <w:p w14:paraId="4EE9C056" w14:textId="1EDAB66C" w:rsidR="00577C9F" w:rsidRDefault="00577C9F" w:rsidP="00622357">
      <w:pPr>
        <w:pStyle w:val="NormalIndent"/>
        <w:numPr>
          <w:ilvl w:val="1"/>
          <w:numId w:val="1"/>
        </w:numPr>
      </w:pPr>
      <w:r>
        <w:t>Questionnaire</w:t>
      </w:r>
      <w:r w:rsidR="000615D5">
        <w:t xml:space="preserve"> </w:t>
      </w:r>
      <w:r w:rsidR="000615D5">
        <w:t xml:space="preserve">- </w:t>
      </w:r>
      <w:r w:rsidR="000615D5" w:rsidRPr="00C901C5">
        <w:rPr>
          <w:highlight w:val="yellow"/>
        </w:rPr>
        <w:t>TBD</w:t>
      </w:r>
      <w:r>
        <w:t xml:space="preserve"> </w:t>
      </w:r>
    </w:p>
    <w:p w14:paraId="35F60EC1" w14:textId="467FE3F2" w:rsidR="00142141" w:rsidRDefault="00142141" w:rsidP="00622357">
      <w:pPr>
        <w:pStyle w:val="NormalIndent"/>
        <w:numPr>
          <w:ilvl w:val="1"/>
          <w:numId w:val="1"/>
        </w:numPr>
      </w:pPr>
      <w:r>
        <w:t xml:space="preserve">Reference </w:t>
      </w:r>
      <w:r w:rsidR="000175D7">
        <w:t>upfront</w:t>
      </w:r>
      <w:r w:rsidR="0057603C">
        <w:t xml:space="preserve"> </w:t>
      </w:r>
      <w:r w:rsidR="000419D9">
        <w:t>–</w:t>
      </w:r>
      <w:r w:rsidR="000615D5">
        <w:t xml:space="preserve"> </w:t>
      </w:r>
      <w:r w:rsidR="0057603C" w:rsidRPr="00C901C5">
        <w:rPr>
          <w:highlight w:val="yellow"/>
        </w:rPr>
        <w:t>TBD</w:t>
      </w:r>
      <w:r w:rsidR="000419D9">
        <w:t xml:space="preserve"> </w:t>
      </w:r>
    </w:p>
    <w:p w14:paraId="23131BD0" w14:textId="348E5A48" w:rsidR="00622357" w:rsidRPr="00CE55A9" w:rsidRDefault="00142141" w:rsidP="00142141">
      <w:pPr>
        <w:pStyle w:val="NormalIndent"/>
        <w:numPr>
          <w:ilvl w:val="2"/>
          <w:numId w:val="1"/>
        </w:numPr>
      </w:pPr>
      <w:r w:rsidRPr="00CE55A9">
        <w:rPr>
          <w:lang w:eastAsia="en-ZA"/>
        </w:rPr>
        <w:t xml:space="preserve">Grainger </w:t>
      </w:r>
      <w:r w:rsidR="00577C9F" w:rsidRPr="00CE55A9">
        <w:rPr>
          <w:lang w:eastAsia="en-ZA"/>
        </w:rPr>
        <w:t>reviewing</w:t>
      </w:r>
      <w:r w:rsidR="00CB0DC8" w:rsidRPr="00CE55A9">
        <w:rPr>
          <w:lang w:val="en-ZA" w:eastAsia="en-ZA"/>
        </w:rPr>
        <w:t xml:space="preserve"> the current referencing process and determine if Home Let can replace Reference My Tenant for Grainger Trust applications</w:t>
      </w:r>
    </w:p>
    <w:p w14:paraId="53A76A5E" w14:textId="1554346A" w:rsidR="000175D7" w:rsidRDefault="000175D7" w:rsidP="00622357">
      <w:pPr>
        <w:pStyle w:val="NormalIndent"/>
        <w:numPr>
          <w:ilvl w:val="1"/>
          <w:numId w:val="1"/>
        </w:numPr>
      </w:pPr>
      <w:r w:rsidRPr="000175D7">
        <w:t xml:space="preserve">Viewing </w:t>
      </w:r>
      <w:r w:rsidR="0042060B">
        <w:t xml:space="preserve">– capture more </w:t>
      </w:r>
      <w:r w:rsidR="000149D5">
        <w:t>details</w:t>
      </w:r>
      <w:r w:rsidR="000615D5">
        <w:t xml:space="preserve"> </w:t>
      </w:r>
      <w:r w:rsidR="000615D5">
        <w:t xml:space="preserve">- </w:t>
      </w:r>
      <w:r w:rsidR="000615D5" w:rsidRPr="00C901C5">
        <w:rPr>
          <w:highlight w:val="yellow"/>
        </w:rPr>
        <w:t>TBD</w:t>
      </w:r>
    </w:p>
    <w:p w14:paraId="1CA9E256" w14:textId="544FD2BB" w:rsidR="000615D5" w:rsidRDefault="000615D5" w:rsidP="00622357">
      <w:pPr>
        <w:pStyle w:val="NormalIndent"/>
        <w:numPr>
          <w:ilvl w:val="1"/>
          <w:numId w:val="1"/>
        </w:numPr>
      </w:pPr>
      <w:r>
        <w:t>Post Viewing</w:t>
      </w:r>
    </w:p>
    <w:p w14:paraId="0EC33C32" w14:textId="69661056" w:rsidR="000149D5" w:rsidRDefault="000149D5" w:rsidP="000149D5">
      <w:pPr>
        <w:pStyle w:val="NormalIndent"/>
        <w:numPr>
          <w:ilvl w:val="2"/>
          <w:numId w:val="1"/>
        </w:numPr>
      </w:pPr>
      <w:r>
        <w:t>Create contact</w:t>
      </w:r>
      <w:r w:rsidR="00C76EC4">
        <w:t xml:space="preserve"> account</w:t>
      </w:r>
    </w:p>
    <w:p w14:paraId="3F89DDB1" w14:textId="4D67BDD6" w:rsidR="000149D5" w:rsidRDefault="00C76EC4" w:rsidP="000149D5">
      <w:pPr>
        <w:pStyle w:val="NormalIndent"/>
        <w:numPr>
          <w:ilvl w:val="2"/>
          <w:numId w:val="1"/>
        </w:numPr>
      </w:pPr>
      <w:r>
        <w:t xml:space="preserve">Create price book entry </w:t>
      </w:r>
      <w:r w:rsidR="00EE2F8F">
        <w:t>(agreed price)</w:t>
      </w:r>
    </w:p>
    <w:p w14:paraId="5AD81F8F" w14:textId="75321748" w:rsidR="000419D9" w:rsidRPr="000175D7" w:rsidRDefault="000419D9" w:rsidP="000149D5">
      <w:pPr>
        <w:pStyle w:val="NormalIndent"/>
        <w:numPr>
          <w:ilvl w:val="2"/>
          <w:numId w:val="1"/>
        </w:numPr>
      </w:pPr>
      <w:r>
        <w:t xml:space="preserve">Create offer </w:t>
      </w:r>
    </w:p>
    <w:p w14:paraId="53BD00C1" w14:textId="63A6C0DF" w:rsidR="006A3C2F" w:rsidRDefault="006A3C2F" w:rsidP="006A3C2F">
      <w:pPr>
        <w:pStyle w:val="NormalIndent"/>
        <w:numPr>
          <w:ilvl w:val="2"/>
          <w:numId w:val="1"/>
        </w:numPr>
      </w:pPr>
      <w:r>
        <w:t xml:space="preserve">Validate the </w:t>
      </w:r>
      <w:r w:rsidRPr="007A6C95">
        <w:t>maximum number of residents allowed per unit.</w:t>
      </w:r>
      <w:r>
        <w:t xml:space="preserve"> </w:t>
      </w:r>
      <w:r w:rsidR="0057603C" w:rsidRPr="00C901C5">
        <w:rPr>
          <w:highlight w:val="yellow"/>
        </w:rPr>
        <w:t>TBD</w:t>
      </w:r>
    </w:p>
    <w:p w14:paraId="2185FD8E" w14:textId="5152B378" w:rsidR="000419D9" w:rsidRPr="007A6C95" w:rsidRDefault="000419D9" w:rsidP="006A3C2F">
      <w:pPr>
        <w:pStyle w:val="NormalIndent"/>
        <w:numPr>
          <w:ilvl w:val="2"/>
          <w:numId w:val="1"/>
        </w:numPr>
      </w:pPr>
      <w:r>
        <w:t>No offer sent</w:t>
      </w:r>
    </w:p>
    <w:p w14:paraId="0846E7CB" w14:textId="44FC0885" w:rsidR="00EE2F8F" w:rsidRDefault="00555BA9" w:rsidP="00622357">
      <w:pPr>
        <w:pStyle w:val="NormalIndent"/>
        <w:numPr>
          <w:ilvl w:val="1"/>
          <w:numId w:val="1"/>
        </w:numPr>
      </w:pPr>
      <w:r>
        <w:t xml:space="preserve">Move in Monies: </w:t>
      </w:r>
      <w:r w:rsidR="002868C5">
        <w:t>S</w:t>
      </w:r>
      <w:r w:rsidR="00EE2F8F" w:rsidRPr="008D1A24">
        <w:t xml:space="preserve">end payment link to tenant </w:t>
      </w:r>
      <w:r w:rsidR="002868C5" w:rsidRPr="008D1A24">
        <w:t>5 days prior</w:t>
      </w:r>
      <w:r w:rsidR="00681CF6">
        <w:t xml:space="preserve"> to move in</w:t>
      </w:r>
    </w:p>
    <w:p w14:paraId="5CCBD651" w14:textId="50FFEE7F" w:rsidR="008D1A24" w:rsidRDefault="008D1A24" w:rsidP="008D1A24">
      <w:pPr>
        <w:pStyle w:val="NormalIndent"/>
        <w:numPr>
          <w:ilvl w:val="2"/>
          <w:numId w:val="1"/>
        </w:numPr>
      </w:pPr>
      <w:r>
        <w:t xml:space="preserve">Enter basic details </w:t>
      </w:r>
    </w:p>
    <w:p w14:paraId="51F11FAB" w14:textId="222762CB" w:rsidR="008D1A24" w:rsidRPr="008D1A24" w:rsidRDefault="008D1A24" w:rsidP="008D1A24">
      <w:pPr>
        <w:pStyle w:val="NormalIndent"/>
        <w:numPr>
          <w:ilvl w:val="2"/>
          <w:numId w:val="1"/>
        </w:numPr>
      </w:pPr>
      <w:r>
        <w:t>Send chaser emails</w:t>
      </w:r>
    </w:p>
    <w:p w14:paraId="5FA9DE41" w14:textId="229ABD32" w:rsidR="007F2BA4" w:rsidRDefault="007F2BA4" w:rsidP="007F2BA4">
      <w:pPr>
        <w:pStyle w:val="NormalIndent"/>
        <w:numPr>
          <w:ilvl w:val="2"/>
          <w:numId w:val="1"/>
        </w:numPr>
      </w:pPr>
      <w:r>
        <w:t>G</w:t>
      </w:r>
      <w:r w:rsidRPr="007A6C95">
        <w:t>enerat</w:t>
      </w:r>
      <w:r>
        <w:t>e</w:t>
      </w:r>
      <w:r w:rsidRPr="007A6C95">
        <w:t xml:space="preserve"> Grainger Trust-specific emails </w:t>
      </w:r>
      <w:r>
        <w:t>(template)</w:t>
      </w:r>
    </w:p>
    <w:p w14:paraId="49CCE558" w14:textId="1641F5ED" w:rsidR="00622357" w:rsidRPr="00C901C5" w:rsidRDefault="00622357" w:rsidP="008D1A24">
      <w:pPr>
        <w:pStyle w:val="NormalIndent"/>
        <w:numPr>
          <w:ilvl w:val="2"/>
          <w:numId w:val="1"/>
        </w:numPr>
        <w:rPr>
          <w:highlight w:val="yellow"/>
        </w:rPr>
      </w:pPr>
      <w:r w:rsidRPr="00C901C5">
        <w:rPr>
          <w:highlight w:val="yellow"/>
        </w:rPr>
        <w:t xml:space="preserve">Excludes </w:t>
      </w:r>
      <w:r w:rsidRPr="00C901C5">
        <w:rPr>
          <w:highlight w:val="yellow"/>
          <w:lang w:eastAsia="en-ZA"/>
        </w:rPr>
        <w:t>payments</w:t>
      </w:r>
      <w:r w:rsidR="00681CF6" w:rsidRPr="00C901C5">
        <w:rPr>
          <w:highlight w:val="yellow"/>
          <w:lang w:eastAsia="en-ZA"/>
        </w:rPr>
        <w:t xml:space="preserve"> - TBD</w:t>
      </w:r>
    </w:p>
    <w:p w14:paraId="49BB3271" w14:textId="7EFCD742" w:rsidR="008D1A24" w:rsidRDefault="00555BA9" w:rsidP="00622357">
      <w:pPr>
        <w:pStyle w:val="NormalIndent"/>
        <w:numPr>
          <w:ilvl w:val="1"/>
          <w:numId w:val="1"/>
        </w:numPr>
      </w:pPr>
      <w:r>
        <w:t xml:space="preserve">Signing: </w:t>
      </w:r>
      <w:r w:rsidR="006A3C2F">
        <w:t xml:space="preserve">Send tenancy agreement &amp; supporting docs </w:t>
      </w:r>
      <w:r w:rsidR="000615D5">
        <w:t>(o</w:t>
      </w:r>
      <w:r w:rsidR="000615D5">
        <w:t>nce tenant pays deposit</w:t>
      </w:r>
      <w:r w:rsidR="000615D5">
        <w:t>)</w:t>
      </w:r>
    </w:p>
    <w:p w14:paraId="1468899E" w14:textId="2571BAE1" w:rsidR="00622357" w:rsidRDefault="00622357" w:rsidP="007F2BA4">
      <w:pPr>
        <w:pStyle w:val="NormalIndent"/>
        <w:numPr>
          <w:ilvl w:val="2"/>
          <w:numId w:val="1"/>
        </w:numPr>
      </w:pPr>
      <w:r>
        <w:t>G</w:t>
      </w:r>
      <w:r w:rsidRPr="007A6C95">
        <w:t>enerat</w:t>
      </w:r>
      <w:r>
        <w:t>e</w:t>
      </w:r>
      <w:r w:rsidRPr="007A6C95">
        <w:t xml:space="preserve"> Grainger Trust-specific document</w:t>
      </w:r>
      <w:r w:rsidR="00170F81">
        <w:t>s</w:t>
      </w:r>
      <w:r w:rsidRPr="007A6C95">
        <w:t xml:space="preserve"> </w:t>
      </w:r>
      <w:r w:rsidR="00170F81">
        <w:t>(1 template)</w:t>
      </w:r>
    </w:p>
    <w:p w14:paraId="5D0E56E5" w14:textId="1A82E5E8" w:rsidR="00A06362" w:rsidRDefault="00A06362" w:rsidP="007F2BA4">
      <w:pPr>
        <w:pStyle w:val="NormalIndent"/>
        <w:numPr>
          <w:ilvl w:val="2"/>
          <w:numId w:val="1"/>
        </w:numPr>
      </w:pPr>
      <w:r>
        <w:t>Tenant signs via Adobe Sign.</w:t>
      </w:r>
    </w:p>
    <w:p w14:paraId="3E2A1001" w14:textId="3067D39B" w:rsidR="00C901C5" w:rsidRDefault="00555BA9" w:rsidP="00C901C5">
      <w:pPr>
        <w:pStyle w:val="NormalIndent"/>
        <w:numPr>
          <w:ilvl w:val="1"/>
          <w:numId w:val="1"/>
        </w:numPr>
      </w:pPr>
      <w:r>
        <w:t xml:space="preserve">Audit: </w:t>
      </w:r>
      <w:r w:rsidR="00C901C5">
        <w:t xml:space="preserve">Move to Audit for credit control to add tenant to Qube </w:t>
      </w:r>
      <w:r w:rsidR="00BE41BE">
        <w:rPr>
          <w:highlight w:val="yellow"/>
        </w:rPr>
        <w:t>–</w:t>
      </w:r>
      <w:r w:rsidR="00C901C5" w:rsidRPr="00C901C5">
        <w:rPr>
          <w:highlight w:val="yellow"/>
        </w:rPr>
        <w:t xml:space="preserve"> TBD</w:t>
      </w:r>
    </w:p>
    <w:p w14:paraId="7D0FFB25" w14:textId="5464F77F" w:rsidR="00BE41BE" w:rsidRDefault="00555BA9" w:rsidP="00C901C5">
      <w:pPr>
        <w:pStyle w:val="NormalIndent"/>
        <w:numPr>
          <w:ilvl w:val="1"/>
          <w:numId w:val="1"/>
        </w:numPr>
      </w:pPr>
      <w:r>
        <w:t xml:space="preserve">Close: </w:t>
      </w:r>
      <w:r w:rsidR="00BE41BE">
        <w:t xml:space="preserve">Send welcome email &amp; attach to opportunity </w:t>
      </w:r>
    </w:p>
    <w:p w14:paraId="3C068883" w14:textId="3FA68B12" w:rsidR="00622357" w:rsidRDefault="00622357" w:rsidP="000257AC">
      <w:pPr>
        <w:pStyle w:val="NormalIndent"/>
        <w:numPr>
          <w:ilvl w:val="0"/>
          <w:numId w:val="1"/>
        </w:numPr>
      </w:pPr>
      <w:r w:rsidRPr="00E2102A">
        <w:rPr>
          <w:b/>
          <w:bCs/>
        </w:rPr>
        <w:t>Data migration</w:t>
      </w:r>
      <w:r>
        <w:t xml:space="preserve"> from </w:t>
      </w:r>
      <w:r w:rsidR="007F01B0">
        <w:t>s</w:t>
      </w:r>
      <w:r w:rsidR="000257AC">
        <w:t>preadsheet</w:t>
      </w:r>
      <w:r w:rsidR="000257AC">
        <w:t xml:space="preserve">s </w:t>
      </w:r>
      <w:r w:rsidR="007F01B0">
        <w:t xml:space="preserve">(exported from Qube </w:t>
      </w:r>
      <w:r w:rsidR="000257AC">
        <w:t>that</w:t>
      </w:r>
      <w:r w:rsidR="00486C51">
        <w:t xml:space="preserve"> only</w:t>
      </w:r>
      <w:r w:rsidR="000257AC">
        <w:t xml:space="preserve"> include </w:t>
      </w:r>
      <w:r w:rsidR="00486C51">
        <w:t xml:space="preserve">GT </w:t>
      </w:r>
      <w:r>
        <w:t>tenants</w:t>
      </w:r>
      <w:r>
        <w:t xml:space="preserve"> not already in Salesforce</w:t>
      </w:r>
      <w:r w:rsidR="000257AC">
        <w:t>)</w:t>
      </w:r>
      <w:r>
        <w:t>.</w:t>
      </w:r>
    </w:p>
    <w:p w14:paraId="1C9C1DE1" w14:textId="69C18D47" w:rsidR="00622357" w:rsidRDefault="00622357" w:rsidP="00622357">
      <w:pPr>
        <w:pStyle w:val="NormalIndent"/>
        <w:numPr>
          <w:ilvl w:val="1"/>
          <w:numId w:val="1"/>
        </w:numPr>
      </w:pPr>
      <w:r>
        <w:t xml:space="preserve">Create </w:t>
      </w:r>
      <w:r>
        <w:t>account</w:t>
      </w:r>
      <w:r w:rsidR="000257AC">
        <w:t xml:space="preserve"> &amp; </w:t>
      </w:r>
      <w:r>
        <w:t>contact records.</w:t>
      </w:r>
    </w:p>
    <w:p w14:paraId="5180E620" w14:textId="0CEF792D" w:rsidR="00086E83" w:rsidRPr="003D6708" w:rsidRDefault="00086E83" w:rsidP="00622357">
      <w:pPr>
        <w:pStyle w:val="NormalIndent"/>
        <w:numPr>
          <w:ilvl w:val="1"/>
          <w:numId w:val="1"/>
        </w:numPr>
      </w:pPr>
      <w:r>
        <w:t xml:space="preserve">Create </w:t>
      </w:r>
      <w:r w:rsidR="000257AC">
        <w:t xml:space="preserve">tenancy </w:t>
      </w:r>
      <w:r>
        <w:t>record</w:t>
      </w:r>
      <w:r w:rsidR="000257AC">
        <w:t>s</w:t>
      </w:r>
      <w:r w:rsidR="00627D89" w:rsidRPr="00627D89">
        <w:t xml:space="preserve"> </w:t>
      </w:r>
      <w:r w:rsidR="00627D89" w:rsidRPr="007F01B0">
        <w:rPr>
          <w:highlight w:val="yellow"/>
        </w:rPr>
        <w:t>(</w:t>
      </w:r>
      <w:r w:rsidR="00627D89" w:rsidRPr="00C901C5">
        <w:rPr>
          <w:highlight w:val="yellow"/>
        </w:rPr>
        <w:t>excludes</w:t>
      </w:r>
      <w:r w:rsidR="00627D89" w:rsidRPr="00C901C5">
        <w:rPr>
          <w:highlight w:val="yellow"/>
        </w:rPr>
        <w:t xml:space="preserve"> opportunity</w:t>
      </w:r>
      <w:r w:rsidR="00627D89" w:rsidRPr="00C901C5">
        <w:rPr>
          <w:highlight w:val="yellow"/>
        </w:rPr>
        <w:t xml:space="preserve"> records</w:t>
      </w:r>
      <w:r w:rsidR="007F01B0">
        <w:rPr>
          <w:highlight w:val="yellow"/>
        </w:rPr>
        <w:t xml:space="preserve"> - TBD</w:t>
      </w:r>
      <w:r w:rsidR="00627D89" w:rsidRPr="00C901C5">
        <w:rPr>
          <w:highlight w:val="yellow"/>
        </w:rPr>
        <w:t>)</w:t>
      </w:r>
    </w:p>
    <w:p w14:paraId="351AC6B4" w14:textId="21E469BB" w:rsidR="007E2932" w:rsidRDefault="007E2932" w:rsidP="007E2932">
      <w:pPr>
        <w:pStyle w:val="Heading3"/>
      </w:pPr>
      <w:r>
        <w:t>Current Salesforce Process:</w:t>
      </w:r>
    </w:p>
    <w:p w14:paraId="154BF04A" w14:textId="6C0E0173" w:rsidR="006E1871" w:rsidRDefault="00116D1F" w:rsidP="00116D1F">
      <w:pPr>
        <w:spacing w:after="120"/>
        <w:ind w:left="-1276"/>
      </w:pPr>
      <w:r w:rsidRPr="00116D1F">
        <w:drawing>
          <wp:inline distT="0" distB="0" distL="0" distR="0" wp14:anchorId="705A7BD4" wp14:editId="058D3D25">
            <wp:extent cx="10359736" cy="3943350"/>
            <wp:effectExtent l="0" t="0" r="3810" b="0"/>
            <wp:docPr id="64360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06602" name=""/>
                    <pic:cNvPicPr/>
                  </pic:nvPicPr>
                  <pic:blipFill>
                    <a:blip r:embed="rId9"/>
                    <a:stretch>
                      <a:fillRect/>
                    </a:stretch>
                  </pic:blipFill>
                  <pic:spPr>
                    <a:xfrm>
                      <a:off x="0" y="0"/>
                      <a:ext cx="10364590" cy="3945198"/>
                    </a:xfrm>
                    <a:prstGeom prst="rect">
                      <a:avLst/>
                    </a:prstGeom>
                  </pic:spPr>
                </pic:pic>
              </a:graphicData>
            </a:graphic>
          </wp:inline>
        </w:drawing>
      </w:r>
    </w:p>
    <w:p w14:paraId="32867160" w14:textId="77777777" w:rsidR="00A67C78" w:rsidRDefault="00A67C78" w:rsidP="00A67C78">
      <w:pPr>
        <w:spacing w:after="120"/>
      </w:pPr>
    </w:p>
    <w:p w14:paraId="4EE0958A" w14:textId="26A3AAAE" w:rsidR="00BA4BE5" w:rsidRDefault="00BA4BE5" w:rsidP="006E1871">
      <w:r w:rsidRPr="00BA4BE5">
        <w:drawing>
          <wp:inline distT="0" distB="0" distL="0" distR="0" wp14:anchorId="6FD795DF" wp14:editId="3C9D82D9">
            <wp:extent cx="8345065" cy="314369"/>
            <wp:effectExtent l="0" t="0" r="0" b="9525"/>
            <wp:docPr id="97267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76528" name=""/>
                    <pic:cNvPicPr/>
                  </pic:nvPicPr>
                  <pic:blipFill>
                    <a:blip r:embed="rId10"/>
                    <a:stretch>
                      <a:fillRect/>
                    </a:stretch>
                  </pic:blipFill>
                  <pic:spPr>
                    <a:xfrm>
                      <a:off x="0" y="0"/>
                      <a:ext cx="8345065" cy="314369"/>
                    </a:xfrm>
                    <a:prstGeom prst="rect">
                      <a:avLst/>
                    </a:prstGeom>
                  </pic:spPr>
                </pic:pic>
              </a:graphicData>
            </a:graphic>
          </wp:inline>
        </w:drawing>
      </w:r>
    </w:p>
    <w:p w14:paraId="0E656DCD" w14:textId="77777777" w:rsidR="00315AF2" w:rsidRDefault="00315AF2">
      <w:r>
        <w:br w:type="page"/>
      </w:r>
    </w:p>
    <w:p w14:paraId="2EA06D60" w14:textId="1EF3EA04" w:rsidR="00315AF2" w:rsidRDefault="00315AF2" w:rsidP="00315AF2">
      <w:pPr>
        <w:pStyle w:val="Heading3"/>
      </w:pPr>
      <w:r>
        <w:t>Out of scope:</w:t>
      </w:r>
    </w:p>
    <w:p w14:paraId="52FBE5BA" w14:textId="77777777" w:rsidR="00315AF2" w:rsidRPr="006067B4" w:rsidRDefault="00315AF2" w:rsidP="00315AF2">
      <w:pPr>
        <w:pStyle w:val="NormalIndent"/>
        <w:numPr>
          <w:ilvl w:val="0"/>
          <w:numId w:val="3"/>
        </w:numPr>
        <w:rPr>
          <w:strike/>
        </w:rPr>
      </w:pPr>
      <w:r w:rsidRPr="006067B4">
        <w:rPr>
          <w:strike/>
        </w:rPr>
        <w:t xml:space="preserve">Additional KYC data points for Grainger Trust tenants, residents and shared owners. </w:t>
      </w:r>
    </w:p>
    <w:p w14:paraId="24A8EA1D" w14:textId="77777777" w:rsidR="00315AF2" w:rsidRPr="006067B4" w:rsidRDefault="00315AF2" w:rsidP="00315AF2">
      <w:pPr>
        <w:pStyle w:val="NormalIndent"/>
        <w:numPr>
          <w:ilvl w:val="1"/>
          <w:numId w:val="3"/>
        </w:numPr>
        <w:rPr>
          <w:strike/>
        </w:rPr>
      </w:pPr>
      <w:r w:rsidRPr="006067B4">
        <w:rPr>
          <w:strike/>
        </w:rPr>
        <w:t xml:space="preserve">Security to limit access to sensitive KYC data to the appropriate Grainger personnel. </w:t>
      </w:r>
    </w:p>
    <w:p w14:paraId="7F2A1055" w14:textId="77777777" w:rsidR="00315AF2" w:rsidRPr="00E2102A" w:rsidRDefault="00315AF2" w:rsidP="00315AF2">
      <w:pPr>
        <w:pStyle w:val="NormalIndent"/>
        <w:numPr>
          <w:ilvl w:val="1"/>
          <w:numId w:val="3"/>
        </w:numPr>
        <w:rPr>
          <w:strike/>
        </w:rPr>
      </w:pPr>
      <w:r w:rsidRPr="00E2102A">
        <w:rPr>
          <w:strike/>
        </w:rPr>
        <w:t>KYC data migration from 1 spreadsheet</w:t>
      </w:r>
    </w:p>
    <w:p w14:paraId="0BC176C2" w14:textId="77777777" w:rsidR="00315AF2" w:rsidRDefault="00315AF2" w:rsidP="00315AF2">
      <w:pPr>
        <w:pStyle w:val="NormalIndent"/>
        <w:numPr>
          <w:ilvl w:val="1"/>
          <w:numId w:val="3"/>
        </w:numPr>
        <w:rPr>
          <w:strike/>
        </w:rPr>
      </w:pPr>
      <w:r w:rsidRPr="006067B4">
        <w:rPr>
          <w:strike/>
        </w:rPr>
        <w:t>Require the upfront capture of KYC data.</w:t>
      </w:r>
    </w:p>
    <w:p w14:paraId="61D6AED2" w14:textId="185066F7" w:rsidR="00956354" w:rsidRPr="00956354" w:rsidRDefault="00956354" w:rsidP="00956354">
      <w:pPr>
        <w:pStyle w:val="NormalIndent"/>
        <w:numPr>
          <w:ilvl w:val="0"/>
          <w:numId w:val="3"/>
        </w:numPr>
        <w:rPr>
          <w:strike/>
        </w:rPr>
      </w:pPr>
      <w:r w:rsidRPr="00956354">
        <w:rPr>
          <w:strike/>
        </w:rPr>
        <w:t xml:space="preserve">User guide </w:t>
      </w:r>
    </w:p>
    <w:p w14:paraId="5CC02943" w14:textId="77777777" w:rsidR="00315AF2" w:rsidRDefault="00315AF2" w:rsidP="006E1871"/>
    <w:sectPr w:rsidR="00315AF2" w:rsidSect="00342A5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 w15:restartNumberingAfterBreak="0">
    <w:nsid w:val="3E8C317E"/>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 w15:restartNumberingAfterBreak="0">
    <w:nsid w:val="6FE85E6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num w:numId="1" w16cid:durableId="1737429975">
    <w:abstractNumId w:val="2"/>
  </w:num>
  <w:num w:numId="2" w16cid:durableId="267667495">
    <w:abstractNumId w:val="0"/>
  </w:num>
  <w:num w:numId="3" w16cid:durableId="2063364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revisionView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357"/>
    <w:rsid w:val="000149D5"/>
    <w:rsid w:val="000175D7"/>
    <w:rsid w:val="000257AC"/>
    <w:rsid w:val="000419D9"/>
    <w:rsid w:val="000615D5"/>
    <w:rsid w:val="000867CC"/>
    <w:rsid w:val="00086E83"/>
    <w:rsid w:val="00116D1F"/>
    <w:rsid w:val="00142141"/>
    <w:rsid w:val="00170F81"/>
    <w:rsid w:val="002868C5"/>
    <w:rsid w:val="00315AF2"/>
    <w:rsid w:val="003222CF"/>
    <w:rsid w:val="00342A52"/>
    <w:rsid w:val="0042060B"/>
    <w:rsid w:val="00480896"/>
    <w:rsid w:val="00486C51"/>
    <w:rsid w:val="004E681F"/>
    <w:rsid w:val="00555BA9"/>
    <w:rsid w:val="0057603C"/>
    <w:rsid w:val="00577C9F"/>
    <w:rsid w:val="006067B4"/>
    <w:rsid w:val="00622357"/>
    <w:rsid w:val="00627D89"/>
    <w:rsid w:val="00681CF6"/>
    <w:rsid w:val="006A3C2F"/>
    <w:rsid w:val="006E1871"/>
    <w:rsid w:val="00721C02"/>
    <w:rsid w:val="007E2932"/>
    <w:rsid w:val="007F01B0"/>
    <w:rsid w:val="007F2BA4"/>
    <w:rsid w:val="00863AED"/>
    <w:rsid w:val="00867931"/>
    <w:rsid w:val="008C2A5B"/>
    <w:rsid w:val="008D1A24"/>
    <w:rsid w:val="0091204E"/>
    <w:rsid w:val="00956354"/>
    <w:rsid w:val="00A06362"/>
    <w:rsid w:val="00A50008"/>
    <w:rsid w:val="00A67C78"/>
    <w:rsid w:val="00B475B2"/>
    <w:rsid w:val="00B739CB"/>
    <w:rsid w:val="00BA4BE5"/>
    <w:rsid w:val="00BE41BE"/>
    <w:rsid w:val="00C03E10"/>
    <w:rsid w:val="00C76EC4"/>
    <w:rsid w:val="00C901C5"/>
    <w:rsid w:val="00CB0DC8"/>
    <w:rsid w:val="00CD128C"/>
    <w:rsid w:val="00CD12F9"/>
    <w:rsid w:val="00CE55A9"/>
    <w:rsid w:val="00D92325"/>
    <w:rsid w:val="00DB2142"/>
    <w:rsid w:val="00DB5F7A"/>
    <w:rsid w:val="00E2102A"/>
    <w:rsid w:val="00E329E2"/>
    <w:rsid w:val="00EE2F8F"/>
    <w:rsid w:val="00F36F0B"/>
    <w:rsid w:val="00F656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2E917"/>
  <w15:chartTrackingRefBased/>
  <w15:docId w15:val="{6D0F0A98-356C-4F12-BCD5-B1C279502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22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eading 2 Char1,Heading 2 Char Char"/>
    <w:basedOn w:val="Normal"/>
    <w:next w:val="Normal"/>
    <w:link w:val="Heading2Char"/>
    <w:unhideWhenUsed/>
    <w:qFormat/>
    <w:rsid w:val="00622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eading 3 Char1"/>
    <w:basedOn w:val="Normal"/>
    <w:next w:val="Normal"/>
    <w:link w:val="Heading3Char"/>
    <w:unhideWhenUsed/>
    <w:qFormat/>
    <w:rsid w:val="00622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Heading 4 Char1,Heading 4 Char Char"/>
    <w:basedOn w:val="Normal"/>
    <w:next w:val="Normal"/>
    <w:link w:val="Heading4Char"/>
    <w:unhideWhenUsed/>
    <w:qFormat/>
    <w:rsid w:val="00622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622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22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22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22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22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357"/>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eading 2 Char1 Char,Heading 2 Char Char Char"/>
    <w:basedOn w:val="DefaultParagraphFont"/>
    <w:link w:val="Heading2"/>
    <w:rsid w:val="00622357"/>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eading 3 Char1 Char"/>
    <w:basedOn w:val="DefaultParagraphFont"/>
    <w:link w:val="Heading3"/>
    <w:uiPriority w:val="9"/>
    <w:semiHidden/>
    <w:rsid w:val="00622357"/>
    <w:rPr>
      <w:rFonts w:eastAsiaTheme="majorEastAsia" w:cstheme="majorBidi"/>
      <w:color w:val="0F4761" w:themeColor="accent1" w:themeShade="BF"/>
      <w:sz w:val="28"/>
      <w:szCs w:val="28"/>
    </w:rPr>
  </w:style>
  <w:style w:type="character" w:customStyle="1" w:styleId="Heading4Char">
    <w:name w:val="Heading 4 Char"/>
    <w:aliases w:val="Heading 4 Char1 Char,Heading 4 Char Char Char"/>
    <w:basedOn w:val="DefaultParagraphFont"/>
    <w:link w:val="Heading4"/>
    <w:uiPriority w:val="9"/>
    <w:semiHidden/>
    <w:rsid w:val="00622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357"/>
    <w:rPr>
      <w:rFonts w:eastAsiaTheme="majorEastAsia" w:cstheme="majorBidi"/>
      <w:color w:val="272727" w:themeColor="text1" w:themeTint="D8"/>
    </w:rPr>
  </w:style>
  <w:style w:type="paragraph" w:styleId="Title">
    <w:name w:val="Title"/>
    <w:basedOn w:val="Normal"/>
    <w:next w:val="Normal"/>
    <w:link w:val="TitleChar"/>
    <w:uiPriority w:val="10"/>
    <w:qFormat/>
    <w:rsid w:val="00622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357"/>
    <w:pPr>
      <w:spacing w:before="160"/>
      <w:jc w:val="center"/>
    </w:pPr>
    <w:rPr>
      <w:i/>
      <w:iCs/>
      <w:color w:val="404040" w:themeColor="text1" w:themeTint="BF"/>
    </w:rPr>
  </w:style>
  <w:style w:type="character" w:customStyle="1" w:styleId="QuoteChar">
    <w:name w:val="Quote Char"/>
    <w:basedOn w:val="DefaultParagraphFont"/>
    <w:link w:val="Quote"/>
    <w:uiPriority w:val="29"/>
    <w:rsid w:val="00622357"/>
    <w:rPr>
      <w:i/>
      <w:iCs/>
      <w:color w:val="404040" w:themeColor="text1" w:themeTint="BF"/>
    </w:rPr>
  </w:style>
  <w:style w:type="paragraph" w:styleId="ListParagraph">
    <w:name w:val="List Paragraph"/>
    <w:basedOn w:val="Normal"/>
    <w:uiPriority w:val="34"/>
    <w:qFormat/>
    <w:rsid w:val="00622357"/>
    <w:pPr>
      <w:ind w:left="720"/>
      <w:contextualSpacing/>
    </w:pPr>
  </w:style>
  <w:style w:type="character" w:styleId="IntenseEmphasis">
    <w:name w:val="Intense Emphasis"/>
    <w:basedOn w:val="DefaultParagraphFont"/>
    <w:uiPriority w:val="21"/>
    <w:qFormat/>
    <w:rsid w:val="00622357"/>
    <w:rPr>
      <w:i/>
      <w:iCs/>
      <w:color w:val="0F4761" w:themeColor="accent1" w:themeShade="BF"/>
    </w:rPr>
  </w:style>
  <w:style w:type="paragraph" w:styleId="IntenseQuote">
    <w:name w:val="Intense Quote"/>
    <w:basedOn w:val="Normal"/>
    <w:next w:val="Normal"/>
    <w:link w:val="IntenseQuoteChar"/>
    <w:uiPriority w:val="30"/>
    <w:qFormat/>
    <w:rsid w:val="00622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357"/>
    <w:rPr>
      <w:i/>
      <w:iCs/>
      <w:color w:val="0F4761" w:themeColor="accent1" w:themeShade="BF"/>
    </w:rPr>
  </w:style>
  <w:style w:type="character" w:styleId="IntenseReference">
    <w:name w:val="Intense Reference"/>
    <w:basedOn w:val="DefaultParagraphFont"/>
    <w:uiPriority w:val="32"/>
    <w:qFormat/>
    <w:rsid w:val="00622357"/>
    <w:rPr>
      <w:b/>
      <w:bCs/>
      <w:smallCaps/>
      <w:color w:val="0F4761" w:themeColor="accent1" w:themeShade="BF"/>
      <w:spacing w:val="5"/>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622357"/>
    <w:pPr>
      <w:spacing w:after="180" w:line="300" w:lineRule="atLeast"/>
      <w:ind w:left="709"/>
    </w:pPr>
    <w:rPr>
      <w:rFonts w:ascii="Verdana" w:eastAsia="Times New Roman" w:hAnsi="Verdana" w:cs="Times New Roman"/>
      <w:kern w:val="0"/>
      <w:sz w:val="20"/>
      <w:szCs w:val="20"/>
      <w:lang w:val="en-US"/>
      <w14:ligatures w14:val="none"/>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622357"/>
    <w:rPr>
      <w:rFonts w:ascii="Verdana" w:eastAsia="Times New Roman" w:hAnsi="Verdana"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4895E43F-09ED-42D9-AF53-3310E8448A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7F842C-19CF-42FB-AEE6-EDED74DDBCBE}">
  <ds:schemaRefs>
    <ds:schemaRef ds:uri="Microsoft.SharePoint.Taxonomy.ContentTypeSync"/>
  </ds:schemaRefs>
</ds:datastoreItem>
</file>

<file path=customXml/itemProps3.xml><?xml version="1.0" encoding="utf-8"?>
<ds:datastoreItem xmlns:ds="http://schemas.openxmlformats.org/officeDocument/2006/customXml" ds:itemID="{FC5D62CE-E260-45DC-B614-0373F86CB768}">
  <ds:schemaRefs>
    <ds:schemaRef ds:uri="http://schemas.microsoft.com/sharepoint/v3/contenttype/forms"/>
  </ds:schemaRefs>
</ds:datastoreItem>
</file>

<file path=customXml/itemProps4.xml><?xml version="1.0" encoding="utf-8"?>
<ds:datastoreItem xmlns:ds="http://schemas.openxmlformats.org/officeDocument/2006/customXml" ds:itemID="{BA592F4A-8B44-4B9D-BBE0-EFC7BFC1877E}">
  <ds:schemaRefs>
    <ds:schemaRef ds:uri="http://purl.org/dc/dcmitype/"/>
    <ds:schemaRef ds:uri="1ffbd5dc-7a64-4097-8396-87f6c90b212f"/>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4</Pages>
  <Words>253</Words>
  <Characters>1448</Characters>
  <Application>Microsoft Office Word</Application>
  <DocSecurity>0</DocSecurity>
  <Lines>12</Lines>
  <Paragraphs>3</Paragraphs>
  <ScaleCrop>false</ScaleCrop>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 Papenfus</dc:creator>
  <cp:keywords/>
  <dc:description/>
  <cp:lastModifiedBy>Nikki Papenfus</cp:lastModifiedBy>
  <cp:revision>60</cp:revision>
  <dcterms:created xsi:type="dcterms:W3CDTF">2024-10-23T08:46:00Z</dcterms:created>
  <dcterms:modified xsi:type="dcterms:W3CDTF">2024-10-23T10:19:00Z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MediaServiceImageTags">
    <vt:lpwstr/>
  </property>
  <property fmtid="{D5CDD505-2E9C-101B-9397-08002B2CF9AE}" pid="4" name="lcf76f155ced4ddcb4097134ff3c332f">
    <vt:lpwstr/>
  </property>
  <property fmtid="{D5CDD505-2E9C-101B-9397-08002B2CF9AE}" pid="5" name="Project_x0020_Document_x0020_Type">
    <vt:lpwstr>4;#Generic Project Document|258c2ed6-b93b-4ffe-8901-a23f2dc98ec9</vt:lpwstr>
  </property>
  <property fmtid="{D5CDD505-2E9C-101B-9397-08002B2CF9AE}" pid="6" name="Division">
    <vt:lpwstr>5;#Enterprise Solutions|08c57b01-67e8-4a4f-abc6-ffb3392ace7f</vt:lpwstr>
  </property>
  <property fmtid="{D5CDD505-2E9C-101B-9397-08002B2CF9AE}" pid="7" name="Client_x0020_Project">
    <vt:lpwstr/>
  </property>
  <property fmtid="{D5CDD505-2E9C-101B-9397-08002B2CF9AE}" pid="8" name="Client">
    <vt:lpwstr>6;#Grainger PLC|a74f1cb5-e995-4f9e-8521-6d52e2c6bf08</vt:lpwstr>
  </property>
  <property fmtid="{D5CDD505-2E9C-101B-9397-08002B2CF9AE}" pid="9" name="Project Document Type">
    <vt:lpwstr>4;#Generic Project Document|258c2ed6-b93b-4ffe-8901-a23f2dc98ec9</vt:lpwstr>
  </property>
  <property fmtid="{D5CDD505-2E9C-101B-9397-08002B2CF9AE}" pid="10" name="Client Project">
    <vt:lpwstr/>
  </property>
</Properties>
</file>