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776" w:type="dxa"/>
        <w:tblLook w:val="04A0" w:firstRow="1" w:lastRow="0" w:firstColumn="1" w:lastColumn="0" w:noHBand="0" w:noVBand="1"/>
      </w:tblPr>
      <w:tblGrid>
        <w:gridCol w:w="1838"/>
        <w:gridCol w:w="7938"/>
      </w:tblGrid>
      <w:tr w:rsidR="00980152" w14:paraId="34213409" w14:textId="77777777" w:rsidTr="006E1E51">
        <w:tc>
          <w:tcPr>
            <w:tcW w:w="1838" w:type="dxa"/>
          </w:tcPr>
          <w:p w14:paraId="7254DD71" w14:textId="77777777" w:rsidR="00980152" w:rsidRDefault="00980152" w:rsidP="006E1E51">
            <w:pPr>
              <w:rPr>
                <w:sz w:val="20"/>
                <w:szCs w:val="20"/>
              </w:rPr>
            </w:pPr>
            <w:r w:rsidRPr="0FA325BB">
              <w:rPr>
                <w:sz w:val="20"/>
                <w:szCs w:val="20"/>
              </w:rPr>
              <w:t>Proposal</w:t>
            </w:r>
          </w:p>
        </w:tc>
        <w:tc>
          <w:tcPr>
            <w:tcW w:w="7938" w:type="dxa"/>
          </w:tcPr>
          <w:p w14:paraId="3CC030E9" w14:textId="77777777" w:rsidR="00980152" w:rsidRDefault="00980152" w:rsidP="006E1E51">
            <w:pPr>
              <w:rPr>
                <w:sz w:val="20"/>
                <w:szCs w:val="20"/>
              </w:rPr>
            </w:pPr>
            <w:r w:rsidRPr="0FA325BB">
              <w:rPr>
                <w:sz w:val="20"/>
                <w:szCs w:val="20"/>
              </w:rPr>
              <w:t>Description &amp; background</w:t>
            </w:r>
          </w:p>
        </w:tc>
      </w:tr>
      <w:tr w:rsidR="00980152" w14:paraId="062280D9" w14:textId="77777777" w:rsidTr="006E1E51">
        <w:tc>
          <w:tcPr>
            <w:tcW w:w="1838" w:type="dxa"/>
          </w:tcPr>
          <w:p w14:paraId="78D60B7E" w14:textId="77777777" w:rsidR="00980152" w:rsidRDefault="00980152" w:rsidP="00980152">
            <w:pPr>
              <w:pStyle w:val="ListParagraph"/>
              <w:numPr>
                <w:ilvl w:val="0"/>
                <w:numId w:val="1"/>
              </w:numPr>
              <w:ind w:left="306" w:hanging="284"/>
              <w:rPr>
                <w:sz w:val="20"/>
                <w:szCs w:val="20"/>
              </w:rPr>
            </w:pPr>
            <w:r>
              <w:rPr>
                <w:sz w:val="20"/>
                <w:szCs w:val="20"/>
              </w:rPr>
              <w:t xml:space="preserve">Open ended, rolling tenancies with the ability for the tenant to serve </w:t>
            </w:r>
            <w:r w:rsidRPr="0FA325BB">
              <w:rPr>
                <w:sz w:val="20"/>
                <w:szCs w:val="20"/>
              </w:rPr>
              <w:t xml:space="preserve">2-month </w:t>
            </w:r>
            <w:r>
              <w:rPr>
                <w:sz w:val="20"/>
                <w:szCs w:val="20"/>
              </w:rPr>
              <w:t>from Day 1</w:t>
            </w:r>
          </w:p>
        </w:tc>
        <w:tc>
          <w:tcPr>
            <w:tcW w:w="7938" w:type="dxa"/>
          </w:tcPr>
          <w:p w14:paraId="4683D2E4" w14:textId="77777777" w:rsidR="00980152" w:rsidRDefault="00980152" w:rsidP="006E1E51">
            <w:pPr>
              <w:rPr>
                <w:sz w:val="20"/>
                <w:szCs w:val="20"/>
              </w:rPr>
            </w:pPr>
            <w:r w:rsidRPr="0FA325BB">
              <w:rPr>
                <w:sz w:val="20"/>
                <w:szCs w:val="20"/>
              </w:rPr>
              <w:t>The Bill will create ‘Rolling Monthly Tenancies’ and provide the tenant with the ability to serve a 2-month notice to vacate at any point from day 1.</w:t>
            </w:r>
          </w:p>
          <w:p w14:paraId="4A3E40E1" w14:textId="77777777" w:rsidR="00980152" w:rsidRDefault="00980152" w:rsidP="006E1E51">
            <w:pPr>
              <w:rPr>
                <w:sz w:val="20"/>
                <w:szCs w:val="20"/>
              </w:rPr>
            </w:pPr>
          </w:p>
          <w:p w14:paraId="514BDF97" w14:textId="77777777" w:rsidR="00980152" w:rsidRDefault="00980152" w:rsidP="006E1E51">
            <w:pPr>
              <w:rPr>
                <w:sz w:val="20"/>
                <w:szCs w:val="20"/>
              </w:rPr>
            </w:pPr>
            <w:r w:rsidRPr="0FA325BB">
              <w:rPr>
                <w:sz w:val="20"/>
                <w:szCs w:val="20"/>
              </w:rPr>
              <w:t xml:space="preserve">Under the previous </w:t>
            </w:r>
            <w:r>
              <w:rPr>
                <w:sz w:val="20"/>
                <w:szCs w:val="20"/>
              </w:rPr>
              <w:t>Conservative Government’s original version of the Bill</w:t>
            </w:r>
            <w:r w:rsidRPr="0FA325BB">
              <w:rPr>
                <w:sz w:val="20"/>
                <w:szCs w:val="20"/>
              </w:rPr>
              <w:t xml:space="preserve">, an amendment to allow a 6-month minimum term at the start of a tenancy had been secured. </w:t>
            </w:r>
            <w:r>
              <w:rPr>
                <w:sz w:val="20"/>
                <w:szCs w:val="20"/>
              </w:rPr>
              <w:t>This</w:t>
            </w:r>
            <w:r w:rsidRPr="0FA325BB">
              <w:rPr>
                <w:sz w:val="20"/>
                <w:szCs w:val="20"/>
              </w:rPr>
              <w:t xml:space="preserve"> has been dropped by the current Government and indications are that there is very little willingness to accept an amendment on this.</w:t>
            </w:r>
          </w:p>
          <w:p w14:paraId="66CD7440" w14:textId="77777777" w:rsidR="00980152" w:rsidRDefault="00980152" w:rsidP="006E1E51">
            <w:pPr>
              <w:rPr>
                <w:sz w:val="20"/>
                <w:szCs w:val="20"/>
              </w:rPr>
            </w:pPr>
          </w:p>
          <w:p w14:paraId="4094AB5F" w14:textId="77777777" w:rsidR="00980152" w:rsidRDefault="00980152" w:rsidP="006E1E51">
            <w:pPr>
              <w:rPr>
                <w:color w:val="FF0000"/>
                <w:sz w:val="20"/>
                <w:szCs w:val="20"/>
              </w:rPr>
            </w:pPr>
          </w:p>
          <w:p w14:paraId="227F2611" w14:textId="77777777" w:rsidR="00980152" w:rsidRPr="00592123" w:rsidRDefault="00980152" w:rsidP="006E1E51">
            <w:pPr>
              <w:rPr>
                <w:color w:val="FF0000"/>
                <w:sz w:val="20"/>
                <w:szCs w:val="20"/>
              </w:rPr>
            </w:pPr>
          </w:p>
          <w:p w14:paraId="02E429C1" w14:textId="77777777" w:rsidR="00980152" w:rsidRDefault="00980152" w:rsidP="006E1E51">
            <w:pPr>
              <w:rPr>
                <w:sz w:val="20"/>
                <w:szCs w:val="20"/>
              </w:rPr>
            </w:pPr>
          </w:p>
        </w:tc>
      </w:tr>
      <w:tr w:rsidR="00980152" w14:paraId="1F91AEC1" w14:textId="77777777" w:rsidTr="006E1E51">
        <w:tc>
          <w:tcPr>
            <w:tcW w:w="1838" w:type="dxa"/>
          </w:tcPr>
          <w:p w14:paraId="74B5ACFE" w14:textId="77777777" w:rsidR="00980152" w:rsidRDefault="00980152" w:rsidP="00980152">
            <w:pPr>
              <w:pStyle w:val="ListParagraph"/>
              <w:numPr>
                <w:ilvl w:val="0"/>
                <w:numId w:val="1"/>
              </w:numPr>
              <w:ind w:left="306" w:hanging="284"/>
              <w:rPr>
                <w:sz w:val="20"/>
                <w:szCs w:val="20"/>
              </w:rPr>
            </w:pPr>
            <w:r w:rsidRPr="0FA325BB">
              <w:rPr>
                <w:sz w:val="20"/>
                <w:szCs w:val="20"/>
              </w:rPr>
              <w:t>Right to challenge rent increases</w:t>
            </w:r>
          </w:p>
        </w:tc>
        <w:tc>
          <w:tcPr>
            <w:tcW w:w="7938" w:type="dxa"/>
          </w:tcPr>
          <w:p w14:paraId="78BA8AE4" w14:textId="77777777" w:rsidR="00980152" w:rsidRDefault="00980152" w:rsidP="006E1E51">
            <w:pPr>
              <w:rPr>
                <w:sz w:val="20"/>
                <w:szCs w:val="20"/>
              </w:rPr>
            </w:pPr>
            <w:r w:rsidRPr="0FA325BB">
              <w:rPr>
                <w:sz w:val="20"/>
                <w:szCs w:val="20"/>
              </w:rPr>
              <w:t>Under the Bill, all rent increases must go through the Section 13 process and cannot be proposed more than once in a 12-month period.</w:t>
            </w:r>
          </w:p>
          <w:p w14:paraId="276F3CD9" w14:textId="77777777" w:rsidR="00980152" w:rsidRDefault="00980152" w:rsidP="006E1E51">
            <w:pPr>
              <w:rPr>
                <w:sz w:val="20"/>
                <w:szCs w:val="20"/>
              </w:rPr>
            </w:pPr>
          </w:p>
          <w:p w14:paraId="717E1996" w14:textId="77777777" w:rsidR="00980152" w:rsidRDefault="00980152" w:rsidP="006E1E51">
            <w:pPr>
              <w:rPr>
                <w:sz w:val="20"/>
                <w:szCs w:val="20"/>
              </w:rPr>
            </w:pPr>
            <w:r w:rsidRPr="0FA325BB">
              <w:rPr>
                <w:sz w:val="20"/>
                <w:szCs w:val="20"/>
              </w:rPr>
              <w:t>This provides the tenant with the ability to appeal the rent increase to the First Tier Tribunal, within 6 months of any increase. The FTT will then make a judgement on whether the increase represents ‘market rent’. At appeal, the FTT will have the ability to set the rent at what they believe is fair market rent, but not above the level asked by the landlord. Any new rent will be implemented from the date of the tribunal hearing, not the date on the notice.</w:t>
            </w:r>
          </w:p>
          <w:p w14:paraId="0DA877A5" w14:textId="77777777" w:rsidR="00980152" w:rsidRDefault="00980152" w:rsidP="006E1E51">
            <w:pPr>
              <w:rPr>
                <w:sz w:val="20"/>
                <w:szCs w:val="20"/>
              </w:rPr>
            </w:pPr>
          </w:p>
          <w:p w14:paraId="1302BB01" w14:textId="77777777" w:rsidR="00980152" w:rsidRDefault="00980152" w:rsidP="006E1E51">
            <w:pPr>
              <w:rPr>
                <w:sz w:val="20"/>
                <w:szCs w:val="20"/>
              </w:rPr>
            </w:pPr>
            <w:r w:rsidRPr="0FA325BB">
              <w:rPr>
                <w:sz w:val="20"/>
                <w:szCs w:val="20"/>
              </w:rPr>
              <w:t xml:space="preserve">In conversation with the Minister, he </w:t>
            </w:r>
            <w:r>
              <w:rPr>
                <w:sz w:val="20"/>
                <w:szCs w:val="20"/>
              </w:rPr>
              <w:t>wants to avoid spurious challenges</w:t>
            </w:r>
            <w:r w:rsidRPr="0FA325BB">
              <w:rPr>
                <w:sz w:val="20"/>
                <w:szCs w:val="20"/>
              </w:rPr>
              <w:t xml:space="preserve"> going to tribunal, and has stated that the mechanism is designed to prevent ‘unreasonable’ rent increases. The Minister is yet to outline how he intends to prevent spurious appeals. </w:t>
            </w:r>
          </w:p>
          <w:p w14:paraId="6ACCC278" w14:textId="77777777" w:rsidR="00980152" w:rsidRDefault="00980152" w:rsidP="006E1E51">
            <w:pPr>
              <w:rPr>
                <w:sz w:val="20"/>
                <w:szCs w:val="20"/>
              </w:rPr>
            </w:pPr>
          </w:p>
          <w:p w14:paraId="4C4D5CC5" w14:textId="77777777" w:rsidR="00980152" w:rsidRDefault="00980152" w:rsidP="006E1E51">
            <w:pPr>
              <w:rPr>
                <w:sz w:val="20"/>
                <w:szCs w:val="20"/>
              </w:rPr>
            </w:pPr>
            <w:r>
              <w:rPr>
                <w:sz w:val="20"/>
                <w:szCs w:val="20"/>
              </w:rPr>
              <w:t>In a joint letter with the BPF and NRLA, which Grainger signed, a suggestion to the Minister was made to allow the VOA to initially determine the rent challenge as a first line of defence before going to the FTT.</w:t>
            </w:r>
          </w:p>
          <w:p w14:paraId="4EECD00D" w14:textId="77777777" w:rsidR="00980152" w:rsidRDefault="00980152" w:rsidP="006E1E51">
            <w:pPr>
              <w:rPr>
                <w:sz w:val="20"/>
                <w:szCs w:val="20"/>
              </w:rPr>
            </w:pPr>
          </w:p>
          <w:p w14:paraId="6DF65E6F" w14:textId="4E9F18CE" w:rsidR="00980152" w:rsidRDefault="00980152" w:rsidP="006E1E51">
            <w:pPr>
              <w:rPr>
                <w:sz w:val="20"/>
                <w:szCs w:val="20"/>
              </w:rPr>
            </w:pPr>
          </w:p>
        </w:tc>
      </w:tr>
      <w:tr w:rsidR="00980152" w14:paraId="6E4BAC3C" w14:textId="77777777" w:rsidTr="006E1E51">
        <w:trPr>
          <w:trHeight w:val="2778"/>
        </w:trPr>
        <w:tc>
          <w:tcPr>
            <w:tcW w:w="1838" w:type="dxa"/>
          </w:tcPr>
          <w:p w14:paraId="32E9E147" w14:textId="77777777" w:rsidR="00980152" w:rsidRDefault="00980152" w:rsidP="00980152">
            <w:pPr>
              <w:pStyle w:val="ListParagraph"/>
              <w:numPr>
                <w:ilvl w:val="0"/>
                <w:numId w:val="1"/>
              </w:numPr>
              <w:ind w:left="306" w:hanging="284"/>
              <w:rPr>
                <w:sz w:val="20"/>
                <w:szCs w:val="20"/>
              </w:rPr>
            </w:pPr>
            <w:r>
              <w:rPr>
                <w:sz w:val="20"/>
                <w:szCs w:val="20"/>
              </w:rPr>
              <w:t>Abolition</w:t>
            </w:r>
            <w:r w:rsidRPr="0FA325BB">
              <w:rPr>
                <w:sz w:val="20"/>
                <w:szCs w:val="20"/>
              </w:rPr>
              <w:t xml:space="preserve"> of Section 21 ‘no fault evictions’</w:t>
            </w:r>
          </w:p>
        </w:tc>
        <w:tc>
          <w:tcPr>
            <w:tcW w:w="7938" w:type="dxa"/>
          </w:tcPr>
          <w:p w14:paraId="51743F5A" w14:textId="77777777" w:rsidR="00980152" w:rsidRDefault="00980152" w:rsidP="006E1E51">
            <w:pPr>
              <w:ind w:left="22"/>
              <w:rPr>
                <w:sz w:val="20"/>
                <w:szCs w:val="20"/>
              </w:rPr>
            </w:pPr>
            <w:r w:rsidRPr="0FA325BB">
              <w:rPr>
                <w:sz w:val="20"/>
                <w:szCs w:val="20"/>
              </w:rPr>
              <w:t xml:space="preserve">We tend to only use Section 21 on anti social behaviour and some rent arrear cases, in order to bypass the drawn out court process through Section 8 notices. </w:t>
            </w:r>
          </w:p>
          <w:p w14:paraId="73AF425F" w14:textId="77777777" w:rsidR="00980152" w:rsidRDefault="00980152" w:rsidP="006E1E51">
            <w:pPr>
              <w:ind w:left="22"/>
              <w:rPr>
                <w:sz w:val="20"/>
                <w:szCs w:val="20"/>
              </w:rPr>
            </w:pPr>
          </w:p>
          <w:p w14:paraId="25923F2F" w14:textId="77777777" w:rsidR="00980152" w:rsidRDefault="00980152" w:rsidP="006E1E51">
            <w:pPr>
              <w:ind w:left="22"/>
              <w:rPr>
                <w:sz w:val="20"/>
                <w:szCs w:val="20"/>
              </w:rPr>
            </w:pPr>
            <w:r w:rsidRPr="0FA325BB">
              <w:rPr>
                <w:sz w:val="20"/>
                <w:szCs w:val="20"/>
              </w:rPr>
              <w:t>We will still be able to evict tenants on rent arrears and anti social behaviour but we will be required to go through a Section 8 courts process. The risk is therefore that our ability to address anti social behaviour and rent arrears is elongated through a slow and costly court process.</w:t>
            </w:r>
          </w:p>
          <w:p w14:paraId="768EAD89" w14:textId="77777777" w:rsidR="00980152" w:rsidRDefault="00980152" w:rsidP="006E1E51">
            <w:pPr>
              <w:ind w:left="22"/>
              <w:rPr>
                <w:sz w:val="20"/>
                <w:szCs w:val="20"/>
              </w:rPr>
            </w:pPr>
          </w:p>
          <w:p w14:paraId="5AA45B33" w14:textId="77777777" w:rsidR="00980152" w:rsidRDefault="00980152" w:rsidP="006E1E51">
            <w:pPr>
              <w:ind w:left="22"/>
              <w:rPr>
                <w:sz w:val="20"/>
                <w:szCs w:val="20"/>
              </w:rPr>
            </w:pPr>
            <w:r w:rsidRPr="0FA325BB">
              <w:rPr>
                <w:sz w:val="20"/>
                <w:szCs w:val="20"/>
              </w:rPr>
              <w:t>Through our lobbying, we have a letter from the Justice Minister</w:t>
            </w:r>
            <w:r>
              <w:rPr>
                <w:sz w:val="20"/>
                <w:szCs w:val="20"/>
              </w:rPr>
              <w:t xml:space="preserve"> explicitly stating</w:t>
            </w:r>
            <w:r w:rsidRPr="0FA325BB">
              <w:rPr>
                <w:sz w:val="20"/>
                <w:szCs w:val="20"/>
              </w:rPr>
              <w:t xml:space="preserve"> that they are determined to improve and reform and digitise the court process. At present, no indication of what this reform looks like, nor the timing of the reform has been provided. </w:t>
            </w:r>
          </w:p>
        </w:tc>
      </w:tr>
      <w:tr w:rsidR="00980152" w14:paraId="6B7804D1" w14:textId="77777777" w:rsidTr="006E1E51">
        <w:trPr>
          <w:trHeight w:val="2835"/>
        </w:trPr>
        <w:tc>
          <w:tcPr>
            <w:tcW w:w="1838" w:type="dxa"/>
          </w:tcPr>
          <w:p w14:paraId="681B6B89" w14:textId="77777777" w:rsidR="00980152" w:rsidRDefault="00980152" w:rsidP="00980152">
            <w:pPr>
              <w:pStyle w:val="ListParagraph"/>
              <w:numPr>
                <w:ilvl w:val="0"/>
                <w:numId w:val="1"/>
              </w:numPr>
              <w:ind w:left="306" w:hanging="284"/>
              <w:rPr>
                <w:sz w:val="20"/>
                <w:szCs w:val="20"/>
              </w:rPr>
            </w:pPr>
            <w:r w:rsidRPr="0FA325BB">
              <w:rPr>
                <w:sz w:val="20"/>
                <w:szCs w:val="20"/>
              </w:rPr>
              <w:t>Threshold for possession orders on rent arrears increased from 2 to 3 months</w:t>
            </w:r>
          </w:p>
        </w:tc>
        <w:tc>
          <w:tcPr>
            <w:tcW w:w="7938" w:type="dxa"/>
          </w:tcPr>
          <w:p w14:paraId="7EF95CC7" w14:textId="77777777" w:rsidR="00980152" w:rsidRDefault="00980152" w:rsidP="006E1E51">
            <w:pPr>
              <w:ind w:left="22"/>
              <w:rPr>
                <w:sz w:val="20"/>
                <w:szCs w:val="20"/>
              </w:rPr>
            </w:pPr>
            <w:r w:rsidRPr="0FA325BB">
              <w:rPr>
                <w:sz w:val="20"/>
                <w:szCs w:val="20"/>
              </w:rPr>
              <w:t>When a tenant is in arrears and the landlord is seeking possession under Ground 8, the Bill increases the mandatory threshold for eviction from 2 to 3 months’ arrears and the notice period from 2 weeks to 4. This will remain a mandatory ground.</w:t>
            </w:r>
          </w:p>
          <w:p w14:paraId="3F6941B8" w14:textId="77777777" w:rsidR="00980152" w:rsidRDefault="00980152" w:rsidP="006E1E51">
            <w:pPr>
              <w:ind w:left="22"/>
              <w:rPr>
                <w:sz w:val="20"/>
                <w:szCs w:val="20"/>
              </w:rPr>
            </w:pPr>
          </w:p>
          <w:p w14:paraId="440AFA66" w14:textId="77777777" w:rsidR="00980152" w:rsidRDefault="00980152" w:rsidP="006E1E51">
            <w:pPr>
              <w:ind w:left="22"/>
              <w:rPr>
                <w:sz w:val="20"/>
                <w:szCs w:val="20"/>
              </w:rPr>
            </w:pPr>
            <w:r w:rsidRPr="0FA325BB">
              <w:rPr>
                <w:sz w:val="20"/>
                <w:szCs w:val="20"/>
              </w:rPr>
              <w:t xml:space="preserve">This is intended to allow tenants more time to clear arrears and remain in the property.  </w:t>
            </w:r>
          </w:p>
          <w:p w14:paraId="7434EAA0" w14:textId="77777777" w:rsidR="00980152" w:rsidRDefault="00980152" w:rsidP="006E1E51">
            <w:pPr>
              <w:ind w:left="22"/>
              <w:rPr>
                <w:sz w:val="20"/>
                <w:szCs w:val="20"/>
              </w:rPr>
            </w:pPr>
          </w:p>
          <w:p w14:paraId="2D19F895" w14:textId="77777777" w:rsidR="00980152" w:rsidRDefault="00980152" w:rsidP="006E1E51">
            <w:pPr>
              <w:ind w:left="22"/>
              <w:rPr>
                <w:sz w:val="20"/>
                <w:szCs w:val="20"/>
              </w:rPr>
            </w:pPr>
            <w:r w:rsidRPr="0FA325BB">
              <w:rPr>
                <w:sz w:val="20"/>
                <w:szCs w:val="20"/>
              </w:rPr>
              <w:t>Discretionary grounds 10 and 11 will remain and will both carry a 4 –week notice period.</w:t>
            </w:r>
          </w:p>
          <w:p w14:paraId="58623ABA" w14:textId="77777777" w:rsidR="00980152" w:rsidRDefault="00980152" w:rsidP="006E1E51">
            <w:pPr>
              <w:ind w:left="22"/>
              <w:rPr>
                <w:sz w:val="20"/>
                <w:szCs w:val="20"/>
              </w:rPr>
            </w:pPr>
          </w:p>
          <w:p w14:paraId="4B73E02A" w14:textId="77777777" w:rsidR="00980152" w:rsidRDefault="00980152" w:rsidP="006E1E51">
            <w:pPr>
              <w:ind w:left="22"/>
              <w:rPr>
                <w:sz w:val="20"/>
                <w:szCs w:val="20"/>
              </w:rPr>
            </w:pPr>
            <w:r>
              <w:rPr>
                <w:sz w:val="20"/>
                <w:szCs w:val="20"/>
              </w:rPr>
              <w:t>Whilst this has not been raised as a major sticking point to date, there may be scope for some technical changes to the mechanism. For example, changing the criteria for possession to being in arrears at the point of the notice rather than at the possession hearing.</w:t>
            </w:r>
          </w:p>
          <w:p w14:paraId="376B88FE" w14:textId="77777777" w:rsidR="00980152" w:rsidRDefault="00980152" w:rsidP="006E1E51">
            <w:pPr>
              <w:ind w:left="22"/>
              <w:rPr>
                <w:sz w:val="20"/>
                <w:szCs w:val="20"/>
              </w:rPr>
            </w:pPr>
          </w:p>
          <w:p w14:paraId="33735B08" w14:textId="31E463D8" w:rsidR="00980152" w:rsidRPr="00592123" w:rsidRDefault="00980152" w:rsidP="006E1E51">
            <w:pPr>
              <w:ind w:left="22"/>
              <w:rPr>
                <w:color w:val="FF0000"/>
                <w:sz w:val="20"/>
                <w:szCs w:val="20"/>
              </w:rPr>
            </w:pPr>
          </w:p>
        </w:tc>
      </w:tr>
      <w:tr w:rsidR="00980152" w14:paraId="065FB518" w14:textId="77777777" w:rsidTr="006E1E51">
        <w:tc>
          <w:tcPr>
            <w:tcW w:w="1838" w:type="dxa"/>
          </w:tcPr>
          <w:p w14:paraId="765DA7A1" w14:textId="77777777" w:rsidR="00980152" w:rsidRDefault="00980152" w:rsidP="00980152">
            <w:pPr>
              <w:pStyle w:val="ListParagraph"/>
              <w:numPr>
                <w:ilvl w:val="0"/>
                <w:numId w:val="1"/>
              </w:numPr>
              <w:ind w:left="306" w:hanging="284"/>
              <w:rPr>
                <w:sz w:val="20"/>
                <w:szCs w:val="20"/>
              </w:rPr>
            </w:pPr>
            <w:r w:rsidRPr="0FA325BB">
              <w:rPr>
                <w:sz w:val="20"/>
                <w:szCs w:val="20"/>
              </w:rPr>
              <w:lastRenderedPageBreak/>
              <w:t>Limiting the amount of rent a landlord can demand upfront (this is not a reference to deposits which will remain as is)</w:t>
            </w:r>
          </w:p>
        </w:tc>
        <w:tc>
          <w:tcPr>
            <w:tcW w:w="7938" w:type="dxa"/>
          </w:tcPr>
          <w:p w14:paraId="01F4C64D" w14:textId="77777777" w:rsidR="00980152" w:rsidRDefault="00980152" w:rsidP="006E1E51">
            <w:pPr>
              <w:ind w:left="22"/>
              <w:rPr>
                <w:sz w:val="20"/>
                <w:szCs w:val="20"/>
              </w:rPr>
            </w:pPr>
            <w:r w:rsidRPr="0FA325BB">
              <w:rPr>
                <w:sz w:val="20"/>
                <w:szCs w:val="20"/>
              </w:rPr>
              <w:t>The Government has stated an intention to cap that amount of rent that can be paid upfront to a single month. However, the Bill does not yet seem to explicitly include this measure.</w:t>
            </w:r>
          </w:p>
          <w:p w14:paraId="2668205C" w14:textId="77777777" w:rsidR="00980152" w:rsidRDefault="00980152" w:rsidP="006E1E51">
            <w:pPr>
              <w:ind w:left="22"/>
              <w:rPr>
                <w:sz w:val="20"/>
                <w:szCs w:val="20"/>
              </w:rPr>
            </w:pPr>
          </w:p>
          <w:p w14:paraId="03AE3F99" w14:textId="77777777" w:rsidR="00980152" w:rsidRDefault="00980152" w:rsidP="006E1E51">
            <w:pPr>
              <w:ind w:left="22"/>
              <w:rPr>
                <w:sz w:val="20"/>
                <w:szCs w:val="20"/>
              </w:rPr>
            </w:pPr>
            <w:r w:rsidRPr="0FA325BB">
              <w:rPr>
                <w:sz w:val="20"/>
                <w:szCs w:val="20"/>
              </w:rPr>
              <w:t xml:space="preserve">For those tenancies where an upfront payment has been made, the tenant is entitled to a repayment of the rent for any unspent period at the point the tenancy is terminated. </w:t>
            </w:r>
          </w:p>
          <w:p w14:paraId="4ECA705A" w14:textId="77777777" w:rsidR="00980152" w:rsidRDefault="00980152" w:rsidP="006E1E51">
            <w:pPr>
              <w:ind w:left="22"/>
              <w:rPr>
                <w:sz w:val="20"/>
                <w:szCs w:val="20"/>
              </w:rPr>
            </w:pPr>
          </w:p>
          <w:p w14:paraId="47450722" w14:textId="77777777" w:rsidR="00980152" w:rsidRDefault="00980152" w:rsidP="006E1E51">
            <w:pPr>
              <w:ind w:left="22"/>
              <w:rPr>
                <w:sz w:val="20"/>
                <w:szCs w:val="20"/>
              </w:rPr>
            </w:pPr>
            <w:r>
              <w:rPr>
                <w:sz w:val="20"/>
                <w:szCs w:val="20"/>
              </w:rPr>
              <w:t>The impact this would have, particularly on overseas students, has been highlighted by the industry, but no further indication of the Governments willingness to move on this has been seen as yet.</w:t>
            </w:r>
          </w:p>
          <w:p w14:paraId="3E2F8668" w14:textId="77777777" w:rsidR="00980152" w:rsidRDefault="00980152" w:rsidP="006E1E51">
            <w:pPr>
              <w:ind w:left="22"/>
              <w:rPr>
                <w:sz w:val="20"/>
                <w:szCs w:val="20"/>
              </w:rPr>
            </w:pPr>
          </w:p>
          <w:p w14:paraId="37F67E80" w14:textId="0B4AC61E" w:rsidR="00980152" w:rsidRDefault="00980152" w:rsidP="00980152">
            <w:pPr>
              <w:ind w:left="22"/>
              <w:rPr>
                <w:sz w:val="20"/>
                <w:szCs w:val="20"/>
              </w:rPr>
            </w:pPr>
          </w:p>
        </w:tc>
      </w:tr>
    </w:tbl>
    <w:p w14:paraId="1382CD36" w14:textId="77777777" w:rsidR="008A2561" w:rsidRDefault="008A2561"/>
    <w:sectPr w:rsidR="008A25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256A82"/>
    <w:multiLevelType w:val="hybridMultilevel"/>
    <w:tmpl w:val="CF22C5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8891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152"/>
    <w:rsid w:val="00033C59"/>
    <w:rsid w:val="005F0930"/>
    <w:rsid w:val="006C2712"/>
    <w:rsid w:val="008A2561"/>
    <w:rsid w:val="00980152"/>
    <w:rsid w:val="00BD1439"/>
    <w:rsid w:val="00D104C4"/>
    <w:rsid w:val="00E801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ED1DB"/>
  <w15:chartTrackingRefBased/>
  <w15:docId w15:val="{DFA45B3D-1818-4051-B7F2-274E3ED54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152"/>
  </w:style>
  <w:style w:type="paragraph" w:styleId="Heading1">
    <w:name w:val="heading 1"/>
    <w:basedOn w:val="Normal"/>
    <w:next w:val="Normal"/>
    <w:link w:val="Heading1Char"/>
    <w:uiPriority w:val="9"/>
    <w:qFormat/>
    <w:rsid w:val="00980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152"/>
    <w:rPr>
      <w:rFonts w:eastAsiaTheme="majorEastAsia" w:cstheme="majorBidi"/>
      <w:color w:val="272727" w:themeColor="text1" w:themeTint="D8"/>
    </w:rPr>
  </w:style>
  <w:style w:type="paragraph" w:styleId="Title">
    <w:name w:val="Title"/>
    <w:basedOn w:val="Normal"/>
    <w:next w:val="Normal"/>
    <w:link w:val="TitleChar"/>
    <w:uiPriority w:val="10"/>
    <w:qFormat/>
    <w:rsid w:val="00980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152"/>
    <w:pPr>
      <w:spacing w:before="160"/>
      <w:jc w:val="center"/>
    </w:pPr>
    <w:rPr>
      <w:i/>
      <w:iCs/>
      <w:color w:val="404040" w:themeColor="text1" w:themeTint="BF"/>
    </w:rPr>
  </w:style>
  <w:style w:type="character" w:customStyle="1" w:styleId="QuoteChar">
    <w:name w:val="Quote Char"/>
    <w:basedOn w:val="DefaultParagraphFont"/>
    <w:link w:val="Quote"/>
    <w:uiPriority w:val="29"/>
    <w:rsid w:val="00980152"/>
    <w:rPr>
      <w:i/>
      <w:iCs/>
      <w:color w:val="404040" w:themeColor="text1" w:themeTint="BF"/>
    </w:rPr>
  </w:style>
  <w:style w:type="paragraph" w:styleId="ListParagraph">
    <w:name w:val="List Paragraph"/>
    <w:basedOn w:val="Normal"/>
    <w:uiPriority w:val="34"/>
    <w:qFormat/>
    <w:rsid w:val="00980152"/>
    <w:pPr>
      <w:ind w:left="720"/>
      <w:contextualSpacing/>
    </w:pPr>
  </w:style>
  <w:style w:type="character" w:styleId="IntenseEmphasis">
    <w:name w:val="Intense Emphasis"/>
    <w:basedOn w:val="DefaultParagraphFont"/>
    <w:uiPriority w:val="21"/>
    <w:qFormat/>
    <w:rsid w:val="00980152"/>
    <w:rPr>
      <w:i/>
      <w:iCs/>
      <w:color w:val="0F4761" w:themeColor="accent1" w:themeShade="BF"/>
    </w:rPr>
  </w:style>
  <w:style w:type="paragraph" w:styleId="IntenseQuote">
    <w:name w:val="Intense Quote"/>
    <w:basedOn w:val="Normal"/>
    <w:next w:val="Normal"/>
    <w:link w:val="IntenseQuoteChar"/>
    <w:uiPriority w:val="30"/>
    <w:qFormat/>
    <w:rsid w:val="00980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152"/>
    <w:rPr>
      <w:i/>
      <w:iCs/>
      <w:color w:val="0F4761" w:themeColor="accent1" w:themeShade="BF"/>
    </w:rPr>
  </w:style>
  <w:style w:type="character" w:styleId="IntenseReference">
    <w:name w:val="Intense Reference"/>
    <w:basedOn w:val="DefaultParagraphFont"/>
    <w:uiPriority w:val="32"/>
    <w:qFormat/>
    <w:rsid w:val="00980152"/>
    <w:rPr>
      <w:b/>
      <w:bCs/>
      <w:smallCaps/>
      <w:color w:val="0F4761" w:themeColor="accent1" w:themeShade="BF"/>
      <w:spacing w:val="5"/>
    </w:rPr>
  </w:style>
  <w:style w:type="table" w:styleId="TableGrid">
    <w:name w:val="Table Grid"/>
    <w:basedOn w:val="TableNormal"/>
    <w:uiPriority w:val="59"/>
    <w:rsid w:val="009801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F3A4E870-E8FC-411D-9B27-967E73F28A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D4369B-0465-48D9-8C22-FFE7DBF3E1EA}">
  <ds:schemaRefs>
    <ds:schemaRef ds:uri="Microsoft.SharePoint.Taxonomy.ContentTypeSync"/>
  </ds:schemaRefs>
</ds:datastoreItem>
</file>

<file path=customXml/itemProps3.xml><?xml version="1.0" encoding="utf-8"?>
<ds:datastoreItem xmlns:ds="http://schemas.openxmlformats.org/officeDocument/2006/customXml" ds:itemID="{8B7E9498-11C2-4FD0-A68E-B96788832857}">
  <ds:schemaRefs>
    <ds:schemaRef ds:uri="http://schemas.microsoft.com/sharepoint/v3/contenttype/forms"/>
  </ds:schemaRefs>
</ds:datastoreItem>
</file>

<file path=customXml/itemProps4.xml><?xml version="1.0" encoding="utf-8"?>
<ds:datastoreItem xmlns:ds="http://schemas.openxmlformats.org/officeDocument/2006/customXml" ds:itemID="{5E6878D7-ECAF-4807-A978-B95D02620275}">
  <ds:schemaRefs>
    <ds:schemaRef ds:uri="1ffbd5dc-7a64-4097-8396-87f6c90b212f"/>
    <ds:schemaRef ds:uri="http://schemas.microsoft.com/office/2006/documentManagement/types"/>
    <ds:schemaRef ds:uri="http://schemas.openxmlformats.org/package/2006/metadata/core-properties"/>
    <ds:schemaRef ds:uri="http://purl.org/dc/terms/"/>
    <ds:schemaRef ds:uri="http://schemas.microsoft.com/office/2006/metadata/properties"/>
    <ds:schemaRef ds:uri="http://purl.org/dc/elements/1.1/"/>
    <ds:schemaRef ds:uri="http://purl.org/dc/dcmitype/"/>
    <ds:schemaRef ds:uri="http://www.w3.org/XML/1998/namespace"/>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583</Words>
  <Characters>3325</Characters>
  <Application>Microsoft Office Word</Application>
  <DocSecurity>0</DocSecurity>
  <Lines>27</Lines>
  <Paragraphs>7</Paragraphs>
  <ScaleCrop>false</ScaleCrop>
  <Company>Grainger PLC</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Pitt</dc:creator>
  <cp:keywords/>
  <dc:description/>
  <cp:lastModifiedBy>Nikki Papenfus</cp:lastModifiedBy>
  <cp:revision>2</cp:revision>
  <dcterms:created xsi:type="dcterms:W3CDTF">2024-11-22T10:42:00Z</dcterms:created>
  <dcterms:modified xsi:type="dcterms:W3CDTF">2024-11-22T10:42:00Z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Client">
    <vt:lpwstr>6;#Grainger PLC|a74f1cb5-e995-4f9e-8521-6d52e2c6bf08</vt:lpwstr>
  </property>
  <property fmtid="{D5CDD505-2E9C-101B-9397-08002B2CF9AE}" pid="5" name="Client Project">
    <vt:lpwstr/>
  </property>
  <property fmtid="{D5CDD505-2E9C-101B-9397-08002B2CF9AE}" pid="6" name="Division">
    <vt:lpwstr>5;#Enterprise Solutions|08c57b01-67e8-4a4f-abc6-ffb3392ace7f</vt:lpwstr>
  </property>
  <property fmtid="{D5CDD505-2E9C-101B-9397-08002B2CF9AE}" pid="7" name="MediaServiceImageTags">
    <vt:lpwstr/>
  </property>
  <property fmtid="{D5CDD505-2E9C-101B-9397-08002B2CF9AE}" pid="8" name="lcf76f155ced4ddcb4097134ff3c332f">
    <vt:lpwstr/>
  </property>
  <property fmtid="{D5CDD505-2E9C-101B-9397-08002B2CF9AE}" pid="9" name="Project_x0020_Document_x0020_Type">
    <vt:lpwstr>4;#Generic Project Document|258c2ed6-b93b-4ffe-8901-a23f2dc98ec9</vt:lpwstr>
  </property>
  <property fmtid="{D5CDD505-2E9C-101B-9397-08002B2CF9AE}" pid="10" name="Client_x0020_Project">
    <vt:lpwstr/>
  </property>
</Properties>
</file>