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luật Hình sự 2015 - Tội phạm về ma tuý</w:t>
      </w:r>
    </w:p>
    <w:p>
      <w:r>
        <w:t>Theo Điều 248 và các điều liên quan của Bộ luật Hình sự 2015, hình phạt cho tội tàng trữ trái phép chất ma tuý có thể từ 1 năm đến chung thân tùy theo khối lượng và tính chất vi phạm. Người sử dụng trái phép ma tuý cũng sẽ bị xử lý hành chính và áp dụng biện pháp cai nghiện.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