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Phòng, chống ma tuý 2021</w:t>
      </w:r>
    </w:p>
    <w:p>
      <w:r>
        <w:t>Đây là văn bản giả định đại diện cho Luật Phòng, chống ma tuý 2021. Các hành vi tàng trữ, vận chuyển, mua bán trái phép chất ma tuý đều bị xử lý nghiêm theo quy định của pháp luật. Người nghiện ma tuý phải được đưa vào trung tâm cai nghiện bắt buộc hoặc tự nguyện tùy theo mức độ vi phạm.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