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Equivalence relations: a, </w:t>
      </w:r>
      <w:r>
        <w:rPr>
          <w:rFonts w:hint="default"/>
          <w:lang w:val="en-US" w:eastAsia="zh-CN"/>
        </w:rPr>
        <w:t xml:space="preserve">b (because </w:t>
      </w:r>
      <w:r>
        <w:rPr>
          <w:rFonts w:hint="default"/>
          <w:position w:val="-10"/>
          <w:lang w:val="en-US" w:eastAsia="zh-CN"/>
        </w:rPr>
        <w:object>
          <v:shape id="_x0000_i1082" o:spt="75" type="#_x0000_t75" style="height:17pt;width:2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82" DrawAspect="Content" ObjectID="_1468075725" r:id="rId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and </w:t>
      </w:r>
      <w:r>
        <w:rPr>
          <w:rFonts w:hint="default"/>
          <w:position w:val="-10"/>
          <w:lang w:val="en-US" w:eastAsia="zh-CN"/>
        </w:rPr>
        <w:object>
          <v:shape id="_x0000_i1083" o:spt="75" alt="" type="#_x0000_t75" style="height:17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83" DrawAspect="Content" ObjectID="_1468075726" r:id="rId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are obviously in </w:t>
      </w:r>
      <w:r>
        <w:rPr>
          <w:rFonts w:hint="default"/>
          <w:lang w:val="en-US" w:eastAsia="zh-CN"/>
        </w:rPr>
        <w:t>t</w:t>
      </w:r>
      <w:r>
        <w:rPr>
          <w:rFonts w:hint="default"/>
          <w:lang w:val="en-US" w:eastAsia="zh-CN"/>
        </w:rPr>
        <w:t>he set and they are all of the same age and have the same parents. Thus, they are transitive.)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transitive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ransitive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e. </w:t>
      </w:r>
      <w:r>
        <w:rPr>
          <w:rFonts w:hint="eastAsia"/>
          <w:lang w:val="en-US" w:eastAsia="zh-CN"/>
        </w:rPr>
        <w:t>transitive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Reflexive: obviously, for all </w:t>
      </w:r>
      <w:r>
        <w:rPr>
          <w:rFonts w:hint="eastAsia"/>
          <w:position w:val="-10"/>
          <w:lang w:val="en-US" w:eastAsia="zh-CN"/>
        </w:rPr>
        <w:object>
          <v:shape id="_x0000_i1025" o:spt="75" alt="" type="#_x0000_t75" style="height:18pt;width:8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Thus, </w:t>
      </w:r>
      <w:r>
        <w:rPr>
          <w:rFonts w:hint="eastAsia"/>
          <w:position w:val="-10"/>
          <w:lang w:val="en-US" w:eastAsia="zh-CN"/>
        </w:rPr>
        <w:object>
          <v:shape id="_x0000_i1026" o:spt="75" alt="" type="#_x0000_t75" style="height:17pt;width: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, it is reflexive.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Symmetric: If 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8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8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still true, because 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3.95pt;width:4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still holds. Thus, it is symmetric.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Transitive: If 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16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78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equivalent to </w:t>
      </w:r>
      <w:r>
        <w:rPr>
          <w:rFonts w:hint="eastAsia"/>
          <w:position w:val="-28"/>
          <w:lang w:val="en-US" w:eastAsia="zh-CN"/>
        </w:rPr>
        <w:object>
          <v:shape id="_x0000_i1032" o:spt="75" type="#_x0000_t75" style="height:33pt;width:1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8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, it is transitive.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Hence, R is an equivalence relation.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2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6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15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2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alt="" type="#_x0000_t75" style="height:17pt;width:18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8" r:id="rId3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7" o:spt="75" type="#_x0000_t75" style="height:13.95pt;width:8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2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8" o:spt="75" type="#_x0000_t75" style="height:13.95pt;width:5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16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3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18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3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7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4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24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4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33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5" r:id="rId4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23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4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7pt;width:18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7" r:id="rId4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36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8" r:id="rId5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 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8pt;width:37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9" r:id="rId5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8pt;width:38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50" r:id="rId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28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51" r:id="rId56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0" o:spt="75" type="#_x0000_t75" style="height:17pt;width:28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0" DrawAspect="Content" ObjectID="_1468075752" r:id="rId58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28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1" DrawAspect="Content" ObjectID="_1468075753" r:id="rId6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2" o:spt="75" type="#_x0000_t75" style="height:19pt;width:25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4" r:id="rId62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3" o:spt="75" type="#_x0000_t75" style="height:34pt;width:16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4" o:spt="75" type="#_x0000_t75" style="height:19pt;width:32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5" o:spt="75" type="#_x0000_t75" style="height:19pt;width:23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5" DrawAspect="Content" ObjectID="_1468075757" r:id="rId68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6" o:spt="75" type="#_x0000_t75" style="height:19pt;width:25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6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7" o:spt="75" type="#_x0000_t75" style="height:19pt;width:29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8" o:spt="75" type="#_x0000_t75" style="height:19pt;width:39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59" o:spt="75" type="#_x0000_t75" style="height:38pt;width:258.9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9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60" o:spt="75" type="#_x0000_t75" style="height:38pt;width:27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0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61" o:spt="75" type="#_x0000_t75" style="height:38pt;width:43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1" DrawAspect="Content" ObjectID="_1468075763" r:id="rId8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D.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62" o:spt="75" type="#_x0000_t75" style="height:38pt;width:34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2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divisors of 6 other than itself are 1,2,3, and </w:t>
      </w:r>
      <w:r>
        <w:rPr>
          <w:rFonts w:hint="eastAsia"/>
          <w:position w:val="-6"/>
          <w:lang w:val="en-US" w:eastAsia="zh-CN"/>
        </w:rPr>
        <w:object>
          <v:shape id="_x0000_i1063" o:spt="75" type="#_x0000_t75" style="height:13.95pt;width:58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3" DrawAspect="Content" ObjectID="_1468075765" r:id="rId84">
            <o:LockedField>false</o:LockedField>
          </o:OLEObject>
        </w:object>
      </w:r>
      <w:r>
        <w:rPr>
          <w:rFonts w:hint="eastAsia"/>
          <w:lang w:val="en-US" w:eastAsia="zh-CN"/>
        </w:rPr>
        <w:t>. Thus, 6 is perfect.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divisors of 28 other than itself are 1,2,4,7,14 and </w:t>
      </w:r>
      <w:r>
        <w:rPr>
          <w:rFonts w:hint="eastAsia"/>
          <w:position w:val="-6"/>
          <w:lang w:val="en-US" w:eastAsia="zh-CN"/>
        </w:rPr>
        <w:object>
          <v:shape id="_x0000_i1064" o:spt="75" type="#_x0000_t75" style="height:13.95pt;width:10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4" DrawAspect="Content" ObjectID="_1468075766" r:id="rId86">
            <o:LockedField>false</o:LockedField>
          </o:OLEObject>
        </w:object>
      </w:r>
      <w:r>
        <w:rPr>
          <w:rFonts w:hint="eastAsia"/>
          <w:lang w:val="en-US" w:eastAsia="zh-CN"/>
        </w:rPr>
        <w:t>. Thus, 28 is perfect.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2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5" DrawAspect="Content" ObjectID="_1468075767" r:id="rId8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Obviously, the divisors of </w:t>
      </w:r>
      <w:r>
        <w:rPr>
          <w:rFonts w:hint="eastAsia"/>
          <w:position w:val="-4"/>
          <w:lang w:val="en-US" w:eastAsia="zh-CN"/>
        </w:rPr>
        <w:object>
          <v:shape id="_x0000_i1066" o:spt="75" type="#_x0000_t75" style="height:15pt;width:2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6" DrawAspect="Content" ObjectID="_1468075768" r:id="rId8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other than itself are 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6pt;width:6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7" DrawAspect="Content" ObjectID="_1468075769" r:id="rId9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</w:t>
      </w:r>
      <w:r>
        <w:rPr>
          <w:rFonts w:hint="eastAsia"/>
          <w:position w:val="-4"/>
          <w:lang w:val="en-US" w:eastAsia="zh-CN"/>
        </w:rPr>
        <w:object>
          <v:shape id="_x0000_i1068" o:spt="75" type="#_x0000_t75" style="height:15pt;width:30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8" DrawAspect="Content" ObjectID="_1468075770" r:id="rId9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prime, the divisors of 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8pt;width:5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71" r:id="rId9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other than itself are </w:t>
      </w:r>
      <w:r>
        <w:rPr>
          <w:rFonts w:hint="eastAsia"/>
          <w:position w:val="-6"/>
          <w:lang w:val="en-US" w:eastAsia="zh-CN"/>
        </w:rPr>
        <w:object>
          <v:shape id="_x0000_i1070" o:spt="75" type="#_x0000_t75" style="height:16pt;width:69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0" DrawAspect="Content" ObjectID="_1468075772" r:id="rId9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1" o:spt="75" type="#_x0000_t75" style="height:18pt;width:229.9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1" DrawAspect="Content" ObjectID="_1468075773" r:id="rId9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position w:val="-4"/>
          <w:lang w:val="en-US" w:eastAsia="zh-CN"/>
        </w:rPr>
        <w:object>
          <v:shape id="_x0000_i1072" o:spt="75" type="#_x0000_t75" style="height:15pt;width:30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2" DrawAspect="Content" ObjectID="_1468075774" r:id="rId10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position w:val="-28"/>
          <w:lang w:val="en-US" w:eastAsia="zh-CN"/>
        </w:rPr>
        <w:object>
          <v:shape id="_x0000_i1073" o:spt="75" type="#_x0000_t75" style="height:35pt;width:219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3" DrawAspect="Content" ObjectID="_1468075775" r:id="rId10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28"/>
          <w:lang w:val="en-US" w:eastAsia="zh-CN"/>
        </w:rPr>
        <w:object>
          <v:shape id="_x0000_i1074" o:spt="75" type="#_x0000_t75" style="height:35pt;width:168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4" DrawAspect="Content" ObjectID="_1468075776" r:id="rId104">
            <o:LockedField>false</o:LockedField>
          </o:OLEObject>
        </w:object>
      </w:r>
      <w:r>
        <w:rPr>
          <w:rFonts w:hint="eastAsia"/>
          <w:lang w:val="en-US" w:eastAsia="zh-CN"/>
        </w:rPr>
        <w:t>, which means it equals to the sum of its factors other than itself.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5" o:spt="75" type="#_x0000_t75" style="height:16pt;width:2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75" DrawAspect="Content" ObjectID="_1468075777" r:id="rId10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6" o:spt="75" alt="" type="#_x0000_t75" style="height:18pt;width:20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6" DrawAspect="Content" ObjectID="_1468075778" r:id="rId107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7" o:spt="75" alt="" type="#_x0000_t75" style="height:18pt;width:233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7" DrawAspect="Content" ObjectID="_1468075779" r:id="rId109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8" o:spt="75" alt="" type="#_x0000_t75" style="height:18pt;width:83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8" DrawAspect="Content" ObjectID="_1468075780" r:id="rId111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alt="" type="#_x0000_t75" style="height:18pt;width:9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79" DrawAspect="Content" ObjectID="_1468075781" r:id="rId113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0" o:spt="75" alt="" type="#_x0000_t75" style="height:17pt;width:58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0" DrawAspect="Content" ObjectID="_1468075782" r:id="rId115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1" o:spt="75" type="#_x0000_t75" style="height:17pt;width:175.9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1" DrawAspect="Content" ObjectID="_1468075783" r:id="rId11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5E8D"/>
    <w:multiLevelType w:val="singleLevel"/>
    <w:tmpl w:val="596E5E8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6E62A9"/>
    <w:multiLevelType w:val="singleLevel"/>
    <w:tmpl w:val="596E62A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6E63A8"/>
    <w:multiLevelType w:val="singleLevel"/>
    <w:tmpl w:val="596E63A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96E651C"/>
    <w:multiLevelType w:val="singleLevel"/>
    <w:tmpl w:val="596E651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96E9BA8"/>
    <w:multiLevelType w:val="singleLevel"/>
    <w:tmpl w:val="596E9BA8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96EB39A"/>
    <w:multiLevelType w:val="singleLevel"/>
    <w:tmpl w:val="596EB39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36873"/>
    <w:rsid w:val="721F17D7"/>
    <w:rsid w:val="7CC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1" Type="http://schemas.openxmlformats.org/officeDocument/2006/relationships/fontTable" Target="fontTable.xml"/><Relationship Id="rId120" Type="http://schemas.openxmlformats.org/officeDocument/2006/relationships/numbering" Target="numbering.xml"/><Relationship Id="rId12" Type="http://schemas.openxmlformats.org/officeDocument/2006/relationships/oleObject" Target="embeddings/oleObject5.bin"/><Relationship Id="rId119" Type="http://schemas.openxmlformats.org/officeDocument/2006/relationships/customXml" Target="../customXml/item1.xml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2017-07-19T21:49:28Z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