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лабораторной работы, переходим в него и создаём файл lab10-1.asm и ещё 2 текстовых файла.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, переход в него,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него,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Вводим текст программы из листинга 10.1.</w:t>
      </w:r>
    </w:p>
    <w:p>
      <w:pPr>
        <w:pStyle w:val="CaptionedFigure"/>
      </w:pPr>
      <w:r>
        <w:drawing>
          <wp:inline>
            <wp:extent cx="3733800" cy="4062374"/>
            <wp:effectExtent b="0" l="0" r="0" t="0"/>
            <wp:docPr descr="Введённый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Введённый текст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Создаём исполняемый файл и тестируем.</w:t>
      </w:r>
    </w:p>
    <w:p>
      <w:pPr>
        <w:pStyle w:val="CaptionedFigure"/>
      </w:pPr>
      <w:r>
        <w:drawing>
          <wp:inline>
            <wp:extent cx="3733800" cy="2682262"/>
            <wp:effectExtent b="0" l="0" r="0" t="0"/>
            <wp:docPr descr="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Изменяем права доступа. При попытке запустить файл видим ошибку.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 с измененными правами доступа" title="" id="31" name="Picture"/>
            <a:graphic>
              <a:graphicData uri="http://schemas.openxmlformats.org/drawingml/2006/picture">
                <pic:pic>
                  <pic:nvPicPr>
                    <pic:cNvPr descr="image/pic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с измененными правами доступа</w:t>
      </w:r>
    </w:p>
    <w:p>
      <w:pPr>
        <w:numPr>
          <w:ilvl w:val="0"/>
          <w:numId w:val="1005"/>
        </w:numPr>
        <w:pStyle w:val="Compact"/>
      </w:pPr>
      <w:r>
        <w:t xml:space="preserve">Изменяем права доступа к файлу lab10-1.asm. Программа не может запуститься, т.к. тип файла не распознан.</w:t>
      </w:r>
    </w:p>
    <w:p>
      <w:pPr>
        <w:pStyle w:val="CaptionedFigure"/>
      </w:pPr>
      <w:r>
        <w:drawing>
          <wp:inline>
            <wp:extent cx="3733800" cy="3952774"/>
            <wp:effectExtent b="0" l="0" r="0" t="0"/>
            <wp:docPr descr="Попытка запуска lab10-1.asm" title="" id="34" name="Picture"/>
            <a:graphic>
              <a:graphicData uri="http://schemas.openxmlformats.org/drawingml/2006/picture">
                <pic:pic>
                  <pic:nvPicPr>
                    <pic:cNvPr descr="image/pic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запуска lab10-1.asm</w:t>
      </w:r>
    </w:p>
    <w:p>
      <w:pPr>
        <w:numPr>
          <w:ilvl w:val="0"/>
          <w:numId w:val="1006"/>
        </w:numPr>
        <w:pStyle w:val="Compact"/>
      </w:pPr>
      <w:r>
        <w:t xml:space="preserve">Меняем права доступа в соответствии с таблицей (14 вариант).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прав доступа и проверка" title="" id="37" name="Picture"/>
            <a:graphic>
              <a:graphicData uri="http://schemas.openxmlformats.org/drawingml/2006/picture">
                <pic:pic>
                  <pic:nvPicPr>
                    <pic:cNvPr descr="image/pic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проверка</w:t>
      </w:r>
    </w:p>
    <w:bookmarkStart w:id="45" w:name="выполнение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самостоятельной работы</w:t>
      </w:r>
    </w:p>
    <w:p>
      <w:pPr>
        <w:pStyle w:val="CaptionedFigure"/>
      </w:pPr>
      <w:r>
        <w:drawing>
          <wp:inline>
            <wp:extent cx="3733800" cy="2514600"/>
            <wp:effectExtent b="0" l="0" r="0" t="0"/>
            <wp:docPr descr="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pic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CaptionedFigure"/>
      </w:pPr>
      <w:r>
        <w:drawing>
          <wp:inline>
            <wp:extent cx="3733800" cy="1698960"/>
            <wp:effectExtent b="0" l="0" r="0" t="0"/>
            <wp:docPr descr="Работа программы" title="" id="43" name="Picture"/>
            <a:graphic>
              <a:graphicData uri="http://schemas.openxmlformats.org/drawingml/2006/picture">
                <pic:pic>
                  <pic:nvPicPr>
                    <pic:cNvPr descr="image/pic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навыки написания программ с использованием файлов.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Ярослав Антонович Меркулов</dc:creator>
  <dc:language>ru-RU</dc:language>
  <cp:keywords/>
  <dcterms:created xsi:type="dcterms:W3CDTF">2024-12-14T16:45:27Z</dcterms:created>
  <dcterms:modified xsi:type="dcterms:W3CDTF">2024-12-14T16:45:27Z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