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Продвинутое</w:t>
      </w:r>
      <w:r>
        <w:t xml:space="preserve"> </w:t>
      </w:r>
      <w:r>
        <w:t xml:space="preserve">использование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Ярослав</w:t>
      </w:r>
      <w:r>
        <w:t xml:space="preserve"> </w:t>
      </w:r>
      <w:r>
        <w:t xml:space="preserve">Антонович</w:t>
      </w:r>
      <w:r>
        <w:t xml:space="preserve"> </w:t>
      </w:r>
      <w:r>
        <w:t xml:space="preserve">Меркулов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правильно работать с git flow</w:t>
      </w:r>
    </w:p>
    <w:bookmarkEnd w:id="20"/>
    <w:bookmarkStart w:id="7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Устанавливаем git flow(рис. 1).</w:t>
      </w:r>
    </w:p>
    <w:p>
      <w:pPr>
        <w:pStyle w:val="CaptionedFigure"/>
      </w:pPr>
      <w:r>
        <w:drawing>
          <wp:inline>
            <wp:extent cx="3733800" cy="2866170"/>
            <wp:effectExtent b="0" l="0" r="0" t="0"/>
            <wp:docPr descr="Установка git flow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6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git flow</w:t>
      </w:r>
    </w:p>
    <w:p>
      <w:pPr>
        <w:pStyle w:val="Compact"/>
        <w:numPr>
          <w:ilvl w:val="0"/>
          <w:numId w:val="1002"/>
        </w:numPr>
      </w:pPr>
      <w:r>
        <w:t xml:space="preserve">Устанавливаем nodeJS(рис. 2).</w:t>
      </w:r>
    </w:p>
    <w:p>
      <w:pPr>
        <w:pStyle w:val="CaptionedFigure"/>
      </w:pPr>
      <w:r>
        <w:drawing>
          <wp:inline>
            <wp:extent cx="3733800" cy="2974383"/>
            <wp:effectExtent b="0" l="0" r="0" t="0"/>
            <wp:docPr descr="Установка nodeJS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4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nodeJS</w:t>
      </w:r>
    </w:p>
    <w:p>
      <w:pPr>
        <w:pStyle w:val="Compact"/>
        <w:numPr>
          <w:ilvl w:val="0"/>
          <w:numId w:val="1003"/>
        </w:numPr>
      </w:pPr>
      <w:r>
        <w:t xml:space="preserve">Устанавливаем pnpm(рис. 3).</w:t>
      </w:r>
    </w:p>
    <w:p>
      <w:pPr>
        <w:pStyle w:val="CaptionedFigure"/>
      </w:pPr>
      <w:r>
        <w:drawing>
          <wp:inline>
            <wp:extent cx="3733800" cy="1320490"/>
            <wp:effectExtent b="0" l="0" r="0" t="0"/>
            <wp:docPr descr="Установка pnpm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0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pnpm</w:t>
      </w:r>
    </w:p>
    <w:p>
      <w:pPr>
        <w:pStyle w:val="Compact"/>
        <w:numPr>
          <w:ilvl w:val="0"/>
          <w:numId w:val="1004"/>
        </w:numPr>
      </w:pPr>
      <w:r>
        <w:t xml:space="preserve">Добавляем каталог с исполняемыми файлами через команду source(рис. 4).</w:t>
      </w:r>
    </w:p>
    <w:p>
      <w:pPr>
        <w:pStyle w:val="CaptionedFigure"/>
      </w:pPr>
      <w:r>
        <w:drawing>
          <wp:inline>
            <wp:extent cx="3060833" cy="539014"/>
            <wp:effectExtent b="0" l="0" r="0" t="0"/>
            <wp:docPr descr="Добавление источника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833" cy="539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Добавление источника</w:t>
      </w:r>
    </w:p>
    <w:p>
      <w:pPr>
        <w:pStyle w:val="Compact"/>
        <w:numPr>
          <w:ilvl w:val="0"/>
          <w:numId w:val="1005"/>
        </w:numPr>
      </w:pPr>
      <w:r>
        <w:t xml:space="preserve">Устанавливаем commitizen(рис. 5).</w:t>
      </w:r>
    </w:p>
    <w:p>
      <w:pPr>
        <w:pStyle w:val="CaptionedFigure"/>
      </w:pPr>
      <w:r>
        <w:drawing>
          <wp:inline>
            <wp:extent cx="3733800" cy="2845985"/>
            <wp:effectExtent b="0" l="0" r="0" t="0"/>
            <wp:docPr descr="Установка commitizen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5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Установка commitizen</w:t>
      </w:r>
    </w:p>
    <w:p>
      <w:pPr>
        <w:pStyle w:val="Compact"/>
        <w:numPr>
          <w:ilvl w:val="0"/>
          <w:numId w:val="1006"/>
        </w:numPr>
      </w:pPr>
      <w:r>
        <w:t xml:space="preserve">Устанавливаем standard-changelog(рис. 6).</w:t>
      </w:r>
    </w:p>
    <w:p>
      <w:pPr>
        <w:pStyle w:val="CaptionedFigure"/>
      </w:pPr>
      <w:r>
        <w:drawing>
          <wp:inline>
            <wp:extent cx="3733800" cy="1266825"/>
            <wp:effectExtent b="0" l="0" r="0" t="0"/>
            <wp:docPr descr="Устанавливаем standard-changelog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Устанавливаем standard-changelog</w:t>
      </w:r>
    </w:p>
    <w:p>
      <w:pPr>
        <w:pStyle w:val="Compact"/>
        <w:numPr>
          <w:ilvl w:val="0"/>
          <w:numId w:val="1007"/>
        </w:numPr>
      </w:pPr>
      <w:r>
        <w:t xml:space="preserve">Создаём новый репозиторий git-extended(рис. 7).</w:t>
      </w:r>
    </w:p>
    <w:p>
      <w:pPr>
        <w:pStyle w:val="CaptionedFigure"/>
      </w:pPr>
      <w:r>
        <w:drawing>
          <wp:inline>
            <wp:extent cx="3733800" cy="2764585"/>
            <wp:effectExtent b="0" l="0" r="0" t="0"/>
            <wp:docPr descr="Создание репозитория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4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репозитория</w:t>
      </w:r>
    </w:p>
    <w:p>
      <w:pPr>
        <w:pStyle w:val="Compact"/>
        <w:numPr>
          <w:ilvl w:val="0"/>
          <w:numId w:val="1008"/>
        </w:numPr>
      </w:pPr>
      <w:r>
        <w:t xml:space="preserve">Клонируем на виртуальную машину файлы репозитория(рис. 8).</w:t>
      </w:r>
    </w:p>
    <w:p>
      <w:pPr>
        <w:pStyle w:val="CaptionedFigure"/>
      </w:pPr>
      <w:r>
        <w:drawing>
          <wp:inline>
            <wp:extent cx="3733800" cy="678296"/>
            <wp:effectExtent b="0" l="0" r="0" t="0"/>
            <wp:docPr descr="Клонирование репозитория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8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Клонирование репозитория</w:t>
      </w:r>
    </w:p>
    <w:p>
      <w:pPr>
        <w:pStyle w:val="Compact"/>
        <w:numPr>
          <w:ilvl w:val="0"/>
          <w:numId w:val="1009"/>
        </w:numPr>
      </w:pPr>
      <w:r>
        <w:t xml:space="preserve">Добавляем коммит(рис. 9).</w:t>
      </w:r>
    </w:p>
    <w:p>
      <w:pPr>
        <w:pStyle w:val="CaptionedFigure"/>
      </w:pPr>
      <w:r>
        <w:drawing>
          <wp:inline>
            <wp:extent cx="3733800" cy="922769"/>
            <wp:effectExtent b="0" l="0" r="0" t="0"/>
            <wp:docPr descr="Коммит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2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Коммит</w:t>
      </w:r>
    </w:p>
    <w:p>
      <w:pPr>
        <w:pStyle w:val="Compact"/>
        <w:numPr>
          <w:ilvl w:val="0"/>
          <w:numId w:val="1010"/>
        </w:numPr>
      </w:pPr>
      <w:r>
        <w:t xml:space="preserve">Выкладываем на github(рис. 10).</w:t>
      </w:r>
    </w:p>
    <w:p>
      <w:pPr>
        <w:pStyle w:val="CaptionedFigure"/>
      </w:pPr>
      <w:r>
        <w:drawing>
          <wp:inline>
            <wp:extent cx="3733800" cy="1441981"/>
            <wp:effectExtent b="0" l="0" r="0" t="0"/>
            <wp:docPr descr="Отправка на сервер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1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Отправка на сервер</w:t>
      </w:r>
    </w:p>
    <w:p>
      <w:pPr>
        <w:pStyle w:val="Compact"/>
        <w:numPr>
          <w:ilvl w:val="0"/>
          <w:numId w:val="1011"/>
        </w:numPr>
      </w:pPr>
      <w:r>
        <w:t xml:space="preserve">Меняем конфигурацию nodeJS(рис. 11).</w:t>
      </w:r>
    </w:p>
    <w:p>
      <w:pPr>
        <w:pStyle w:val="CaptionedFigure"/>
      </w:pPr>
      <w:r>
        <w:drawing>
          <wp:inline>
            <wp:extent cx="3705726" cy="2714324"/>
            <wp:effectExtent b="0" l="0" r="0" t="0"/>
            <wp:docPr descr="Шаблон конфигурации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726" cy="2714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Шаблон конфигурации</w:t>
      </w:r>
    </w:p>
    <w:p>
      <w:pPr>
        <w:pStyle w:val="Compact"/>
        <w:numPr>
          <w:ilvl w:val="0"/>
          <w:numId w:val="1012"/>
        </w:numPr>
      </w:pPr>
      <w:r>
        <w:t xml:space="preserve">Вписываем собственные данные(рис. 12).</w:t>
      </w:r>
    </w:p>
    <w:p>
      <w:pPr>
        <w:pStyle w:val="CaptionedFigure"/>
      </w:pPr>
      <w:r>
        <w:drawing>
          <wp:inline>
            <wp:extent cx="3733800" cy="1906833"/>
            <wp:effectExtent b="0" l="0" r="0" t="0"/>
            <wp:docPr descr="Готовая конфигурация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6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Готовая конфигурация</w:t>
      </w:r>
    </w:p>
    <w:p>
      <w:pPr>
        <w:pStyle w:val="Compact"/>
        <w:numPr>
          <w:ilvl w:val="0"/>
          <w:numId w:val="1013"/>
        </w:numPr>
      </w:pPr>
      <w:r>
        <w:t xml:space="preserve">Отправляем на github(рис. 13).</w:t>
      </w:r>
    </w:p>
    <w:p>
      <w:pPr>
        <w:pStyle w:val="CaptionedFigure"/>
      </w:pPr>
      <w:r>
        <w:drawing>
          <wp:inline>
            <wp:extent cx="3733800" cy="2176546"/>
            <wp:effectExtent b="0" l="0" r="0" t="0"/>
            <wp:docPr descr="Отправка на сервер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6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Отправка на сервер</w:t>
      </w:r>
    </w:p>
    <w:p>
      <w:pPr>
        <w:pStyle w:val="Compact"/>
        <w:numPr>
          <w:ilvl w:val="0"/>
          <w:numId w:val="1014"/>
        </w:numPr>
      </w:pPr>
      <w:r>
        <w:t xml:space="preserve">Настраиваем git flow(рис. 14).</w:t>
      </w:r>
    </w:p>
    <w:p>
      <w:pPr>
        <w:pStyle w:val="CaptionedFigure"/>
      </w:pPr>
      <w:r>
        <w:drawing>
          <wp:inline>
            <wp:extent cx="3733800" cy="1974902"/>
            <wp:effectExtent b="0" l="0" r="0" t="0"/>
            <wp:docPr descr="Настройка git flow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4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Настройка git flow</w:t>
      </w:r>
    </w:p>
    <w:p>
      <w:pPr>
        <w:pStyle w:val="Compact"/>
        <w:numPr>
          <w:ilvl w:val="0"/>
          <w:numId w:val="1015"/>
        </w:numPr>
      </w:pPr>
      <w:r>
        <w:t xml:space="preserve">Создаём новый релиз 1.0.0(рис. 15).</w:t>
      </w:r>
    </w:p>
    <w:p>
      <w:pPr>
        <w:pStyle w:val="CaptionedFigure"/>
      </w:pPr>
      <w:r>
        <w:drawing>
          <wp:inline>
            <wp:extent cx="3733800" cy="2992289"/>
            <wp:effectExtent b="0" l="0" r="0" t="0"/>
            <wp:docPr descr="Создание релиза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2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релиза</w:t>
      </w:r>
    </w:p>
    <w:p>
      <w:pPr>
        <w:pStyle w:val="Compact"/>
        <w:numPr>
          <w:ilvl w:val="0"/>
          <w:numId w:val="1016"/>
        </w:numPr>
      </w:pPr>
      <w:r>
        <w:t xml:space="preserve">Добавляем changelog(рис. 16).</w:t>
      </w:r>
    </w:p>
    <w:p>
      <w:pPr>
        <w:pStyle w:val="CaptionedFigure"/>
      </w:pPr>
      <w:r>
        <w:drawing>
          <wp:inline>
            <wp:extent cx="3733800" cy="1147846"/>
            <wp:effectExtent b="0" l="0" r="0" t="0"/>
            <wp:docPr descr="Добавление changelog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7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Добавление changelog</w:t>
      </w:r>
    </w:p>
    <w:p>
      <w:pPr>
        <w:pStyle w:val="Compact"/>
        <w:numPr>
          <w:ilvl w:val="0"/>
          <w:numId w:val="1017"/>
        </w:numPr>
      </w:pPr>
      <w:r>
        <w:t xml:space="preserve">Отправка всего на сервер + создание нового релиза(рис. 17).</w:t>
      </w:r>
    </w:p>
    <w:p>
      <w:pPr>
        <w:pStyle w:val="CaptionedFigure"/>
      </w:pPr>
      <w:r>
        <w:drawing>
          <wp:inline>
            <wp:extent cx="3733800" cy="3412347"/>
            <wp:effectExtent b="0" l="0" r="0" t="0"/>
            <wp:docPr descr="Действия с репозиторием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2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Действия с репозиторием</w:t>
      </w:r>
    </w:p>
    <w:p>
      <w:pPr>
        <w:pStyle w:val="Compact"/>
        <w:numPr>
          <w:ilvl w:val="0"/>
          <w:numId w:val="1018"/>
        </w:numPr>
      </w:pPr>
      <w:r>
        <w:t xml:space="preserve">Меняем версию в package.json(рис. 18).</w:t>
      </w:r>
    </w:p>
    <w:p>
      <w:pPr>
        <w:pStyle w:val="CaptionedFigure"/>
      </w:pPr>
      <w:r>
        <w:drawing>
          <wp:inline>
            <wp:extent cx="3733800" cy="2151856"/>
            <wp:effectExtent b="0" l="0" r="0" t="0"/>
            <wp:docPr descr="Редактирование конфигурации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1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Редактирование конфигурации</w:t>
      </w:r>
    </w:p>
    <w:p>
      <w:pPr>
        <w:pStyle w:val="Compact"/>
        <w:numPr>
          <w:ilvl w:val="0"/>
          <w:numId w:val="1019"/>
        </w:numPr>
      </w:pPr>
      <w:r>
        <w:t xml:space="preserve">Отправляем новый релиз на сервер(рис. 19).</w:t>
      </w:r>
    </w:p>
    <w:p>
      <w:pPr>
        <w:pStyle w:val="CaptionedFigure"/>
      </w:pPr>
      <w:r>
        <w:drawing>
          <wp:inline>
            <wp:extent cx="3733800" cy="2816726"/>
            <wp:effectExtent b="0" l="0" r="0" t="0"/>
            <wp:docPr descr="Отправка на github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6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Отправка на github</w:t>
      </w:r>
    </w:p>
    <w:bookmarkEnd w:id="78"/>
    <w:bookmarkStart w:id="79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Были получены и отработаны практические навыки по работе с git flow и релизами.</w:t>
      </w:r>
    </w:p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0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0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0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0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0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Ярослав Антонович Меркулов</dc:creator>
  <dc:language>ru-RU</dc:language>
  <cp:keywords/>
  <dcterms:created xsi:type="dcterms:W3CDTF">2025-03-03T15:20:01Z</dcterms:created>
  <dcterms:modified xsi:type="dcterms:W3CDTF">2025-03-03T15:20:01Z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IBM Plex Serif</vt:lpwstr>
  </property>
  <property fmtid="{D5CDD505-2E9C-101B-9397-08002B2CF9AE}" pid="58" name="mainfontoptions">
    <vt:lpwstr>Ligatures=Common,Ligatures=TeX,Scale=0.94</vt:lpwstr>
  </property>
  <property fmtid="{D5CDD505-2E9C-101B-9397-08002B2CF9AE}" pid="59" name="mathfont">
    <vt:lpwstr>STIX Two Math</vt:lpwstr>
  </property>
  <property fmtid="{D5CDD505-2E9C-101B-9397-08002B2CF9AE}" pid="60" name="mathfontoptions">
    <vt:lpwstr/>
  </property>
  <property fmtid="{D5CDD505-2E9C-101B-9397-08002B2CF9AE}" pid="61" name="monofont">
    <vt:lpwstr>IBM Plex Mono</vt:lpwstr>
  </property>
  <property fmtid="{D5CDD505-2E9C-101B-9397-08002B2CF9AE}" pid="62" name="monofontoptions">
    <vt:lpwstr>Scale=MatchLowercase,Scale=0.94,FakeStretch=0.9</vt:lpwstr>
  </property>
  <property fmtid="{D5CDD505-2E9C-101B-9397-08002B2CF9AE}" pid="63" name="nameInLink">
    <vt:lpwstr>False</vt:lpwstr>
  </property>
  <property fmtid="{D5CDD505-2E9C-101B-9397-08002B2CF9AE}" pid="64" name="numberSections">
    <vt:lpwstr>False</vt:lpwstr>
  </property>
  <property fmtid="{D5CDD505-2E9C-101B-9397-08002B2CF9AE}" pid="65" name="pairDelim">
    <vt:lpwstr>, </vt:lpwstr>
  </property>
  <property fmtid="{D5CDD505-2E9C-101B-9397-08002B2CF9AE}" pid="66" name="papersize">
    <vt:lpwstr>a4</vt:lpwstr>
  </property>
  <property fmtid="{D5CDD505-2E9C-101B-9397-08002B2CF9AE}" pid="67" name="polyglossia-lang">
    <vt:lpwstr/>
  </property>
  <property fmtid="{D5CDD505-2E9C-101B-9397-08002B2CF9AE}" pid="68" name="polyglossia-otherlangs">
    <vt:lpwstr/>
  </property>
  <property fmtid="{D5CDD505-2E9C-101B-9397-08002B2CF9AE}" pid="69" name="rangeDelim">
    <vt:lpwstr>-</vt:lpwstr>
  </property>
  <property fmtid="{D5CDD505-2E9C-101B-9397-08002B2CF9AE}" pid="70" name="refDelim">
    <vt:lpwstr>, </vt:lpwstr>
  </property>
  <property fmtid="{D5CDD505-2E9C-101B-9397-08002B2CF9AE}" pid="71" name="refIndexTemplate">
    <vt:lpwstr>isuf</vt:lpwstr>
  </property>
  <property fmtid="{D5CDD505-2E9C-101B-9397-08002B2CF9AE}" pid="72" name="romanfont">
    <vt:lpwstr>IBM Plex Serif</vt:lpwstr>
  </property>
  <property fmtid="{D5CDD505-2E9C-101B-9397-08002B2CF9AE}" pid="73" name="romanfontoptions">
    <vt:lpwstr>Ligatures=Common,Ligatures=TeX,Scale=0.94</vt:lpwstr>
  </property>
  <property fmtid="{D5CDD505-2E9C-101B-9397-08002B2CF9AE}" pid="74" name="sansfont">
    <vt:lpwstr>IBM Plex Sans</vt:lpwstr>
  </property>
  <property fmtid="{D5CDD505-2E9C-101B-9397-08002B2CF9AE}" pid="75" name="sansfontoptions">
    <vt:lpwstr>Ligatures=Common,Ligatures=TeX,Scale=MatchLowercase,Scale=0.94</vt:lpwstr>
  </property>
  <property fmtid="{D5CDD505-2E9C-101B-9397-08002B2CF9AE}" pid="76" name="secHeaderDelim">
    <vt:lpwstr> </vt:lpwstr>
  </property>
  <property fmtid="{D5CDD505-2E9C-101B-9397-08002B2CF9AE}" pid="77" name="secHeaderTemplate">
    <vt:lpwstr>isecHeaderDelim[n]t</vt:lpwstr>
  </property>
  <property fmtid="{D5CDD505-2E9C-101B-9397-08002B2CF9AE}" pid="78" name="secLabels">
    <vt:lpwstr>arabic</vt:lpwstr>
  </property>
  <property fmtid="{D5CDD505-2E9C-101B-9397-08002B2CF9AE}" pid="79" name="secPrefix">
    <vt:lpwstr/>
  </property>
  <property fmtid="{D5CDD505-2E9C-101B-9397-08002B2CF9AE}" pid="80" name="secPrefixTemplate">
    <vt:lpwstr>p i</vt:lpwstr>
  </property>
  <property fmtid="{D5CDD505-2E9C-101B-9397-08002B2CF9AE}" pid="81" name="sectionsDepth">
    <vt:lpwstr>0</vt:lpwstr>
  </property>
  <property fmtid="{D5CDD505-2E9C-101B-9397-08002B2CF9AE}" pid="82" name="subfigGrid">
    <vt:lpwstr>False</vt:lpwstr>
  </property>
  <property fmtid="{D5CDD505-2E9C-101B-9397-08002B2CF9AE}" pid="83" name="subfigLabels">
    <vt:lpwstr>alpha a</vt:lpwstr>
  </property>
  <property fmtid="{D5CDD505-2E9C-101B-9397-08002B2CF9AE}" pid="84" name="subfigureChildTemplate">
    <vt:lpwstr>i</vt:lpwstr>
  </property>
  <property fmtid="{D5CDD505-2E9C-101B-9397-08002B2CF9AE}" pid="85" name="subfigureRefIndexTemplate">
    <vt:lpwstr>isuf (s)</vt:lpwstr>
  </property>
  <property fmtid="{D5CDD505-2E9C-101B-9397-08002B2CF9AE}" pid="86" name="subfigureTemplate">
    <vt:lpwstr>figureTitle ititleDelim t. ccs</vt:lpwstr>
  </property>
  <property fmtid="{D5CDD505-2E9C-101B-9397-08002B2CF9AE}" pid="87" name="subtitle">
    <vt:lpwstr>Продвинутое использование git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Таблица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