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rPr>
      </w:pPr>
      <w:bookmarkStart w:colFirst="0" w:colLast="0" w:name="_heading=h.2et92p0" w:id="0"/>
      <w:bookmarkEnd w:id="0"/>
      <w:r w:rsidDel="00000000" w:rsidR="00000000" w:rsidRPr="00000000">
        <w:rPr>
          <w:rtl w:val="0"/>
        </w:rPr>
      </w:r>
    </w:p>
    <w:tbl>
      <w:tblPr>
        <w:tblStyle w:val="Table1"/>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15.0" w:type="dxa"/>
              <w:bottom w:w="115.0" w:type="dxa"/>
            </w:tcMar>
            <w:vAlign w:val="bottom"/>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0"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0" w:line="240" w:lineRule="auto"/>
              <w:jc w:val="right"/>
              <w:rPr>
                <w:rFonts w:ascii="Times New Roman" w:cs="Times New Roman" w:eastAsia="Times New Roman" w:hAnsi="Times New Roman"/>
                <w:sz w:val="120"/>
                <w:szCs w:val="120"/>
              </w:rPr>
            </w:pPr>
            <w:r w:rsidDel="00000000" w:rsidR="00000000" w:rsidRPr="00000000">
              <w:rPr>
                <w:rtl w:val="0"/>
              </w:rPr>
            </w:r>
          </w:p>
          <w:p w:rsidR="00000000" w:rsidDel="00000000" w:rsidP="00000000" w:rsidRDefault="00000000" w:rsidRPr="00000000" w14:paraId="00000005">
            <w:pPr>
              <w:pStyle w:val="Title"/>
              <w:spacing w:after="0" w:before="0" w:line="240" w:lineRule="auto"/>
              <w:jc w:val="cente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HURRICANE READINESS PROJECT</w:t>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pStyle w:val="Subtitle"/>
              <w:spacing w:after="0" w:before="0" w:line="240" w:lineRule="auto"/>
              <w:rPr>
                <w:rFonts w:ascii="Times New Roman" w:cs="Times New Roman" w:eastAsia="Times New Roman" w:hAnsi="Times New Roman"/>
              </w:rPr>
            </w:pPr>
            <w:bookmarkStart w:colFirst="0" w:colLast="0" w:name="_heading=h.h1mmpjrajsnp" w:id="1"/>
            <w:bookmarkEnd w:id="1"/>
            <w:r w:rsidDel="00000000" w:rsidR="00000000" w:rsidRPr="00000000">
              <w:rPr>
                <w:rFonts w:ascii="Times New Roman" w:cs="Times New Roman" w:eastAsia="Times New Roman" w:hAnsi="Times New Roman"/>
                <w:rtl w:val="0"/>
              </w:rPr>
              <w:t xml:space="preserve">TEAM 4</w:t>
            </w:r>
          </w:p>
          <w:p w:rsidR="00000000" w:rsidDel="00000000" w:rsidP="00000000" w:rsidRDefault="00000000" w:rsidRPr="00000000" w14:paraId="00000008">
            <w:pPr>
              <w:pStyle w:val="Subtitle"/>
              <w:spacing w:after="0" w:before="0" w:line="240" w:lineRule="auto"/>
              <w:rPr>
                <w:rFonts w:ascii="Times New Roman" w:cs="Times New Roman" w:eastAsia="Times New Roman" w:hAnsi="Times New Roman"/>
              </w:rPr>
            </w:pPr>
            <w:bookmarkStart w:colFirst="0" w:colLast="0" w:name="_heading=h.ja8i4nfe6e0q" w:id="2"/>
            <w:bookmarkEnd w:id="2"/>
            <w:r w:rsidDel="00000000" w:rsidR="00000000" w:rsidRPr="00000000">
              <w:rPr>
                <w:rFonts w:ascii="Times New Roman" w:cs="Times New Roman" w:eastAsia="Times New Roman" w:hAnsi="Times New Roman"/>
                <w:rtl w:val="0"/>
              </w:rPr>
              <w:t xml:space="preserve">Lukman Awad, Irvin Carreon, Seamus Flaherty, April Groce, Grayson Nico </w:t>
            </w:r>
          </w:p>
          <w:p w:rsidR="00000000" w:rsidDel="00000000" w:rsidP="00000000" w:rsidRDefault="00000000" w:rsidRPr="00000000" w14:paraId="00000009">
            <w:pPr>
              <w:pStyle w:val="Subtitle"/>
              <w:spacing w:after="0" w:before="0" w:line="240" w:lineRule="auto"/>
              <w:rPr>
                <w:rFonts w:ascii="Times New Roman" w:cs="Times New Roman" w:eastAsia="Times New Roman" w:hAnsi="Times New Roman"/>
              </w:rPr>
            </w:pPr>
            <w:bookmarkStart w:colFirst="0" w:colLast="0" w:name="_heading=h.axi9h5xfq8rb" w:id="3"/>
            <w:bookmarkEnd w:id="3"/>
            <w:r w:rsidDel="00000000" w:rsidR="00000000" w:rsidRPr="00000000">
              <w:rPr>
                <w:rtl w:val="0"/>
              </w:rPr>
            </w:r>
          </w:p>
          <w:p w:rsidR="00000000" w:rsidDel="00000000" w:rsidP="00000000" w:rsidRDefault="00000000" w:rsidRPr="00000000" w14:paraId="0000000A">
            <w:pPr>
              <w:pStyle w:val="Subtitle"/>
              <w:spacing w:after="0" w:before="0" w:line="240" w:lineRule="auto"/>
              <w:rPr>
                <w:rFonts w:ascii="Times New Roman" w:cs="Times New Roman" w:eastAsia="Times New Roman" w:hAnsi="Times New Roman"/>
              </w:rPr>
            </w:pPr>
            <w:bookmarkStart w:colFirst="0" w:colLast="0" w:name="_heading=h.k75ujgmtfc82" w:id="4"/>
            <w:bookmarkEnd w:id="4"/>
            <w:r w:rsidDel="00000000" w:rsidR="00000000" w:rsidRPr="00000000">
              <w:rPr>
                <w:rFonts w:ascii="Times New Roman" w:cs="Times New Roman" w:eastAsia="Times New Roman" w:hAnsi="Times New Roman"/>
                <w:rtl w:val="0"/>
              </w:rPr>
              <w:t xml:space="preserve">13th February 2025</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pStyle w:val="Heading1"/>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sz w:val="40"/>
                <w:szCs w:val="40"/>
              </w:rPr>
            </w:pPr>
            <w:r w:rsidDel="00000000" w:rsidR="00000000" w:rsidRPr="00000000">
              <w:rPr>
                <w:rtl w:val="0"/>
              </w:rPr>
            </w:r>
          </w:p>
        </w:tc>
      </w:tr>
    </w:tbl>
    <w:p w:rsidR="00000000" w:rsidDel="00000000" w:rsidP="00000000" w:rsidRDefault="00000000" w:rsidRPr="00000000" w14:paraId="0000000E">
      <w:pPr>
        <w:spacing w:after="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Table of Contents</w:t>
      </w:r>
    </w:p>
    <w:p w:rsidR="00000000" w:rsidDel="00000000" w:rsidP="00000000" w:rsidRDefault="00000000" w:rsidRPr="00000000" w14:paraId="00000014">
      <w:pPr>
        <w:widowControl w:val="0"/>
        <w:spacing w:after="0" w:before="0" w:line="240" w:lineRule="auto"/>
        <w:rPr>
          <w:rFonts w:ascii="Times New Roman" w:cs="Times New Roman" w:eastAsia="Times New Roman" w:hAnsi="Times New Roman"/>
        </w:rPr>
      </w:pPr>
      <w:r w:rsidDel="00000000" w:rsidR="00000000" w:rsidRPr="00000000">
        <w:rPr>
          <w:rtl w:val="0"/>
        </w:rPr>
      </w:r>
    </w:p>
    <w:sdt>
      <w:sdtPr>
        <w:id w:val="-1992402248"/>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1zakx2id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la6peraii8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h.xg53hvut1r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Used</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h.y4695gwf48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Preparation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pydqhsb3cz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h.7y1ttehadp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Cox Hazard Model</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h.9diqmi2wjvv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Motor Runtime Impact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o4ryz37yulu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&amp; Recommendations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w9t3vktuh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mallCaps w:val="1"/>
          <w:sz w:val="36"/>
          <w:szCs w:val="36"/>
        </w:rPr>
      </w:pPr>
      <w:r w:rsidDel="00000000" w:rsidR="00000000" w:rsidRPr="00000000">
        <w:rPr>
          <w:rtl w:val="0"/>
        </w:rPr>
      </w:r>
    </w:p>
    <w:p w:rsidR="00000000" w:rsidDel="00000000" w:rsidP="00000000" w:rsidRDefault="00000000" w:rsidRPr="00000000" w14:paraId="00000021">
      <w:pPr>
        <w:spacing w:after="0" w:before="0" w:line="240" w:lineRule="auto"/>
        <w:rPr>
          <w:rFonts w:ascii="Times New Roman" w:cs="Times New Roman" w:eastAsia="Times New Roman" w:hAnsi="Times New Roman"/>
          <w:sz w:val="48"/>
          <w:szCs w:val="48"/>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2">
      <w:pPr>
        <w:pStyle w:val="Title"/>
        <w:spacing w:after="0" w:before="0" w:line="240" w:lineRule="auto"/>
        <w:jc w:val="center"/>
        <w:rPr>
          <w:rFonts w:ascii="Times New Roman" w:cs="Times New Roman" w:eastAsia="Times New Roman" w:hAnsi="Times New Roman"/>
          <w:b w:val="1"/>
          <w:bCs w:val="1"/>
          <w:color w:val="000000"/>
          <w:sz w:val="48"/>
          <w:szCs w:val="48"/>
        </w:rPr>
      </w:pPr>
      <w:bookmarkStart w:colFirst="0" w:colLast="0" w:name="_heading=h.n3y4ccd98ph3" w:id="5"/>
      <w:bookmarkEnd w:id="5"/>
      <w:r w:rsidDel="00000000" w:rsidR="00000000" w:rsidRPr="00000000">
        <w:rPr>
          <w:rFonts w:ascii="Times New Roman" w:cs="Times New Roman" w:eastAsia="Times New Roman" w:hAnsi="Times New Roman"/>
          <w:b w:val="1"/>
          <w:bCs w:val="1"/>
          <w:color w:val="000000"/>
          <w:sz w:val="48"/>
          <w:szCs w:val="48"/>
          <w:rtl w:val="0"/>
        </w:rPr>
        <w:t xml:space="preserve">HURRICANE READINESS PROJECT</w:t>
      </w:r>
    </w:p>
    <w:p w:rsidR="00000000" w:rsidDel="00000000" w:rsidP="00000000" w:rsidRDefault="00000000" w:rsidRPr="00000000" w14:paraId="00000023">
      <w:pPr>
        <w:pStyle w:val="Heading1"/>
        <w:spacing w:after="0" w:before="0" w:line="240" w:lineRule="auto"/>
        <w:rPr>
          <w:rFonts w:ascii="Times New Roman" w:cs="Times New Roman" w:eastAsia="Times New Roman" w:hAnsi="Times New Roman"/>
          <w:b w:val="1"/>
          <w:bCs w:val="1"/>
          <w:sz w:val="32"/>
          <w:szCs w:val="32"/>
        </w:rPr>
      </w:pPr>
      <w:bookmarkStart w:colFirst="0" w:colLast="0" w:name="_heading=h.rs337zj069ya" w:id="6"/>
      <w:bookmarkEnd w:id="6"/>
      <w:r w:rsidDel="00000000" w:rsidR="00000000" w:rsidRPr="00000000">
        <w:rPr>
          <w:rtl w:val="0"/>
        </w:rPr>
      </w:r>
    </w:p>
    <w:p w:rsidR="00000000" w:rsidDel="00000000" w:rsidP="00000000" w:rsidRDefault="00000000" w:rsidRPr="00000000" w14:paraId="00000024">
      <w:pPr>
        <w:pStyle w:val="Heading1"/>
        <w:spacing w:after="0" w:before="0" w:line="240" w:lineRule="auto"/>
        <w:rPr>
          <w:rFonts w:ascii="Times New Roman" w:cs="Times New Roman" w:eastAsia="Times New Roman" w:hAnsi="Times New Roman"/>
          <w:b w:val="1"/>
          <w:bCs w:val="1"/>
          <w:sz w:val="32"/>
          <w:szCs w:val="32"/>
        </w:rPr>
      </w:pPr>
      <w:bookmarkStart w:colFirst="0" w:colLast="0" w:name="_heading=h.e1zakx2idzk" w:id="7"/>
      <w:bookmarkEnd w:id="7"/>
      <w:r w:rsidDel="00000000" w:rsidR="00000000" w:rsidRPr="00000000">
        <w:rPr>
          <w:rFonts w:ascii="Times New Roman" w:cs="Times New Roman" w:eastAsia="Times New Roman" w:hAnsi="Times New Roman"/>
          <w:b w:val="1"/>
          <w:bCs w:val="1"/>
          <w:sz w:val="32"/>
          <w:szCs w:val="32"/>
          <w:rtl w:val="0"/>
        </w:rPr>
        <w:t xml:space="preserve">Overview</w:t>
      </w:r>
    </w:p>
    <w:p w:rsidR="00000000" w:rsidDel="00000000" w:rsidP="00000000" w:rsidRDefault="00000000" w:rsidRPr="00000000" w14:paraId="0000002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Steering Committee of the Center for Risk Management (hereafter the “Committee”) seeks to better understand the expected rate of failure for pump operations in the gulf area. When hurricanes hit this area, pumps are at risk of flood-related damage or mechanical failures, which render the machine inoperable. The Committee is particularly concerned about the impact of runtime on motor-related failures.</w:t>
      </w:r>
    </w:p>
    <w:p w:rsidR="00000000" w:rsidDel="00000000" w:rsidP="00000000" w:rsidRDefault="00000000" w:rsidRPr="00000000" w14:paraId="0000002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concerns, o</w:t>
      </w:r>
      <w:r w:rsidDel="00000000" w:rsidR="00000000" w:rsidRPr="00000000">
        <w:rPr>
          <w:rFonts w:ascii="Times New Roman" w:cs="Times New Roman" w:eastAsia="Times New Roman" w:hAnsi="Times New Roman"/>
          <w:sz w:val="24"/>
          <w:szCs w:val="24"/>
          <w:rtl w:val="0"/>
        </w:rPr>
        <w:t xml:space="preserve">ur team built a Cox proportional hazard (PH) model for motor failures. We found that the most significant predictors of these failures are the pump’s age and the slope of the surrounding ravine.</w:t>
      </w:r>
      <w:r w:rsidDel="00000000" w:rsidR="00000000" w:rsidRPr="00000000">
        <w:rPr>
          <w:rFonts w:ascii="Times New Roman" w:cs="Times New Roman" w:eastAsia="Times New Roman" w:hAnsi="Times New Roman"/>
          <w:sz w:val="24"/>
          <w:szCs w:val="24"/>
          <w:rtl w:val="0"/>
        </w:rPr>
        <w:t xml:space="preserve"> Further analysis demonstrated that running a pump for 12+ hours does not impact failure risk. Based on our findings we recommend that the Committee pay close attention to newly installed pumps, which have a higher risk of motor failure.</w:t>
      </w:r>
    </w:p>
    <w:p w:rsidR="00000000" w:rsidDel="00000000" w:rsidP="00000000" w:rsidRDefault="00000000" w:rsidRPr="00000000" w14:paraId="00000028">
      <w:pPr>
        <w:pStyle w:val="Heading1"/>
        <w:spacing w:after="0" w:before="0" w:line="240" w:lineRule="auto"/>
        <w:rPr>
          <w:rFonts w:ascii="Times New Roman" w:cs="Times New Roman" w:eastAsia="Times New Roman" w:hAnsi="Times New Roman"/>
          <w:b w:val="1"/>
          <w:bCs w:val="1"/>
          <w:sz w:val="32"/>
          <w:szCs w:val="32"/>
        </w:rPr>
      </w:pPr>
      <w:bookmarkStart w:colFirst="0" w:colLast="0" w:name="_heading=h.61mzmcqv8zve" w:id="8"/>
      <w:bookmarkEnd w:id="8"/>
      <w:r w:rsidDel="00000000" w:rsidR="00000000" w:rsidRPr="00000000">
        <w:rPr>
          <w:rtl w:val="0"/>
        </w:rPr>
      </w:r>
    </w:p>
    <w:p w:rsidR="00000000" w:rsidDel="00000000" w:rsidP="00000000" w:rsidRDefault="00000000" w:rsidRPr="00000000" w14:paraId="00000029">
      <w:pPr>
        <w:pStyle w:val="Heading1"/>
        <w:spacing w:after="0" w:before="0" w:line="240" w:lineRule="auto"/>
        <w:rPr/>
      </w:pPr>
      <w:bookmarkStart w:colFirst="0" w:colLast="0" w:name="_heading=h.la6peraii8re" w:id="9"/>
      <w:bookmarkEnd w:id="9"/>
      <w:r w:rsidDel="00000000" w:rsidR="00000000" w:rsidRPr="00000000">
        <w:rPr>
          <w:rFonts w:ascii="Times New Roman" w:cs="Times New Roman" w:eastAsia="Times New Roman" w:hAnsi="Times New Roman"/>
          <w:b w:val="1"/>
          <w:bCs w:val="1"/>
          <w:sz w:val="32"/>
          <w:szCs w:val="32"/>
          <w:rtl w:val="0"/>
        </w:rPr>
        <w:t xml:space="preserve">Methodology</w:t>
      </w:r>
      <w:r w:rsidDel="00000000" w:rsidR="00000000" w:rsidRPr="00000000">
        <w:rPr>
          <w:rtl w:val="0"/>
        </w:rPr>
      </w:r>
    </w:p>
    <w:p w:rsidR="00000000" w:rsidDel="00000000" w:rsidP="00000000" w:rsidRDefault="00000000" w:rsidRPr="00000000" w14:paraId="000000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data used for modeling, including any necessary modifications.</w:t>
      </w:r>
    </w:p>
    <w:p w:rsidR="00000000" w:rsidDel="00000000" w:rsidP="00000000" w:rsidRDefault="00000000" w:rsidRPr="00000000" w14:paraId="0000002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spacing w:after="0" w:before="0" w:line="240" w:lineRule="auto"/>
        <w:rPr>
          <w:rFonts w:ascii="Times New Roman" w:cs="Times New Roman" w:eastAsia="Times New Roman" w:hAnsi="Times New Roman"/>
          <w:i w:val="1"/>
          <w:iCs w:val="1"/>
        </w:rPr>
      </w:pPr>
      <w:bookmarkStart w:colFirst="0" w:colLast="0" w:name="_heading=h.xg53hvut1rdu" w:id="10"/>
      <w:bookmarkEnd w:id="10"/>
      <w:r w:rsidDel="00000000" w:rsidR="00000000" w:rsidRPr="00000000">
        <w:rPr>
          <w:rFonts w:ascii="Times New Roman" w:cs="Times New Roman" w:eastAsia="Times New Roman" w:hAnsi="Times New Roman"/>
          <w:i w:val="1"/>
          <w:iCs w:val="1"/>
          <w:rtl w:val="0"/>
        </w:rPr>
        <w:t xml:space="preserve">Data </w:t>
      </w:r>
      <w:r w:rsidDel="00000000" w:rsidR="00000000" w:rsidRPr="00000000">
        <w:rPr>
          <w:rFonts w:ascii="Times New Roman" w:cs="Times New Roman" w:eastAsia="Times New Roman" w:hAnsi="Times New Roman"/>
          <w:i w:val="1"/>
          <w:iCs w:val="1"/>
          <w:rtl w:val="0"/>
        </w:rPr>
        <w:t xml:space="preserve">Used</w:t>
      </w:r>
      <w:r w:rsidDel="00000000" w:rsidR="00000000" w:rsidRPr="00000000">
        <w:rPr>
          <w:rtl w:val="0"/>
        </w:rPr>
      </w:r>
    </w:p>
    <w:p w:rsidR="00000000" w:rsidDel="00000000" w:rsidP="00000000" w:rsidRDefault="00000000" w:rsidRPr="00000000" w14:paraId="0000002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analyzed a training set with 770 observations, with each observation representing one pump. Pump status </w:t>
      </w:r>
      <w:r w:rsidDel="00000000" w:rsidR="00000000" w:rsidRPr="00000000">
        <w:rPr>
          <w:rFonts w:ascii="Times New Roman" w:cs="Times New Roman" w:eastAsia="Times New Roman" w:hAnsi="Times New Roman"/>
          <w:i w:val="1"/>
          <w:iCs w:val="1"/>
          <w:sz w:val="24"/>
          <w:szCs w:val="24"/>
          <w:rtl w:val="0"/>
        </w:rPr>
        <w:t xml:space="preserve">(i.e., operational or failed) </w:t>
      </w:r>
      <w:r w:rsidDel="00000000" w:rsidR="00000000" w:rsidRPr="00000000">
        <w:rPr>
          <w:rFonts w:ascii="Times New Roman" w:cs="Times New Roman" w:eastAsia="Times New Roman" w:hAnsi="Times New Roman"/>
          <w:sz w:val="24"/>
          <w:szCs w:val="24"/>
          <w:rtl w:val="0"/>
        </w:rPr>
        <w:t xml:space="preserve">was recorded for each hour of the critical 48-hour emergency period. A separate variable recorded the number of hours until the pump either failed or was censored from the data. Pump attributes were organized into nine additional predictors.</w:t>
      </w:r>
    </w:p>
    <w:p w:rsidR="00000000" w:rsidDel="00000000" w:rsidP="00000000" w:rsidRDefault="00000000" w:rsidRPr="00000000" w14:paraId="0000002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spacing w:after="0" w:before="0" w:lineRule="auto"/>
        <w:rPr>
          <w:rFonts w:ascii="Times New Roman" w:cs="Times New Roman" w:eastAsia="Times New Roman" w:hAnsi="Times New Roman"/>
          <w:i w:val="1"/>
          <w:iCs w:val="1"/>
        </w:rPr>
      </w:pPr>
      <w:bookmarkStart w:colFirst="0" w:colLast="0" w:name="_heading=h.y4695gwf48xd" w:id="11"/>
      <w:bookmarkEnd w:id="11"/>
      <w:r w:rsidDel="00000000" w:rsidR="00000000" w:rsidRPr="00000000">
        <w:rPr>
          <w:rFonts w:ascii="Times New Roman" w:cs="Times New Roman" w:eastAsia="Times New Roman" w:hAnsi="Times New Roman"/>
          <w:i w:val="1"/>
          <w:iCs w:val="1"/>
          <w:rtl w:val="0"/>
        </w:rPr>
        <w:t xml:space="preserve">Data Preparation</w:t>
      </w:r>
    </w:p>
    <w:p w:rsidR="00000000" w:rsidDel="00000000" w:rsidP="00000000" w:rsidRDefault="00000000" w:rsidRPr="00000000" w14:paraId="0000003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pumps have a listed reason for failure, labeled from 0 </w:t>
      </w:r>
      <w:r w:rsidDel="00000000" w:rsidR="00000000" w:rsidRPr="00000000">
        <w:rPr>
          <w:rFonts w:ascii="Times New Roman" w:cs="Times New Roman" w:eastAsia="Times New Roman" w:hAnsi="Times New Roman"/>
          <w:i w:val="1"/>
          <w:iCs w:val="1"/>
          <w:sz w:val="24"/>
          <w:szCs w:val="24"/>
          <w:rtl w:val="0"/>
        </w:rPr>
        <w:t xml:space="preserve">(i.e., no failure)</w:t>
      </w:r>
      <w:r w:rsidDel="00000000" w:rsidR="00000000" w:rsidRPr="00000000">
        <w:rPr>
          <w:rFonts w:ascii="Times New Roman" w:cs="Times New Roman" w:eastAsia="Times New Roman" w:hAnsi="Times New Roman"/>
          <w:sz w:val="24"/>
          <w:szCs w:val="24"/>
          <w:rtl w:val="0"/>
        </w:rPr>
        <w:t xml:space="preserve"> to 5. Our analysis focused on the motor failure type (represented by 2 in the reason column). We therefore created an updated target variable to record whether a pump experienced a motor-related failure </w:t>
      </w:r>
      <w:r w:rsidDel="00000000" w:rsidR="00000000" w:rsidRPr="00000000">
        <w:rPr>
          <w:rFonts w:ascii="Times New Roman" w:cs="Times New Roman" w:eastAsia="Times New Roman" w:hAnsi="Times New Roman"/>
          <w:i w:val="1"/>
          <w:iCs w:val="1"/>
          <w:sz w:val="24"/>
          <w:szCs w:val="24"/>
          <w:rtl w:val="0"/>
        </w:rPr>
        <w:t xml:space="preserve">(target equals 1)</w:t>
      </w:r>
      <w:r w:rsidDel="00000000" w:rsidR="00000000" w:rsidRPr="00000000">
        <w:rPr>
          <w:rFonts w:ascii="Times New Roman" w:cs="Times New Roman" w:eastAsia="Times New Roman" w:hAnsi="Times New Roman"/>
          <w:sz w:val="24"/>
          <w:szCs w:val="24"/>
          <w:rtl w:val="0"/>
        </w:rPr>
        <w:t xml:space="preserve"> or not </w:t>
      </w:r>
      <w:r w:rsidDel="00000000" w:rsidR="00000000" w:rsidRPr="00000000">
        <w:rPr>
          <w:rFonts w:ascii="Times New Roman" w:cs="Times New Roman" w:eastAsia="Times New Roman" w:hAnsi="Times New Roman"/>
          <w:i w:val="1"/>
          <w:iCs w:val="1"/>
          <w:sz w:val="24"/>
          <w:szCs w:val="24"/>
          <w:rtl w:val="0"/>
        </w:rPr>
        <w:t xml:space="preserve">(target equals 0)</w:t>
      </w:r>
      <w:r w:rsidDel="00000000" w:rsidR="00000000" w:rsidRPr="00000000">
        <w:rPr>
          <w:rFonts w:ascii="Times New Roman" w:cs="Times New Roman" w:eastAsia="Times New Roman" w:hAnsi="Times New Roman"/>
          <w:sz w:val="24"/>
          <w:szCs w:val="24"/>
          <w:rtl w:val="0"/>
        </w:rPr>
        <w:t xml:space="preserve"> during the 48 hour period.</w:t>
      </w:r>
    </w:p>
    <w:p w:rsidR="00000000" w:rsidDel="00000000" w:rsidP="00000000" w:rsidRDefault="00000000" w:rsidRPr="00000000" w14:paraId="0000003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binned the pump’s age variable into four quartile categories, with the first category representing the youngest pumps and the fourth category representing the oldest pumps. We binned the slope variable into three tertile categories. </w:t>
      </w:r>
      <w:r w:rsidDel="00000000" w:rsidR="00000000" w:rsidRPr="00000000">
        <w:rPr>
          <w:rFonts w:ascii="Times New Roman" w:cs="Times New Roman" w:eastAsia="Times New Roman" w:hAnsi="Times New Roman"/>
          <w:sz w:val="24"/>
          <w:szCs w:val="24"/>
          <w:rtl w:val="0"/>
        </w:rPr>
        <w:t xml:space="preserve">This modification removed the linearity assumption required for continuous variables, since we were able to treat age and slope as categorical. Our team treated all other numeric variables as categorical.</w:t>
      </w:r>
    </w:p>
    <w:p w:rsidR="00000000" w:rsidDel="00000000" w:rsidP="00000000" w:rsidRDefault="00000000" w:rsidRPr="00000000" w14:paraId="00000033">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to determine if constantly running a motor for 12+ hours impacts its risk of failure, we transformed the data into long format. In this format, each row contains information about one pump over a one-hour period. We then created a flag variable that indicates if the motor has been running for at least 12 consecutive hours.</w:t>
      </w:r>
    </w:p>
    <w:p w:rsidR="00000000" w:rsidDel="00000000" w:rsidP="00000000" w:rsidRDefault="00000000" w:rsidRPr="00000000" w14:paraId="00000035">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pStyle w:val="Heading1"/>
        <w:spacing w:after="0" w:before="0" w:line="240" w:lineRule="auto"/>
        <w:rPr>
          <w:rFonts w:ascii="Times New Roman" w:cs="Times New Roman" w:eastAsia="Times New Roman" w:hAnsi="Times New Roman"/>
          <w:b w:val="1"/>
          <w:bCs w:val="1"/>
          <w:sz w:val="32"/>
          <w:szCs w:val="32"/>
        </w:rPr>
      </w:pPr>
      <w:bookmarkStart w:colFirst="0" w:colLast="0" w:name="_heading=h.pydqhsb3cz7x" w:id="12"/>
      <w:bookmarkEnd w:id="12"/>
      <w:r w:rsidDel="00000000" w:rsidR="00000000" w:rsidRPr="00000000">
        <w:rPr>
          <w:rFonts w:ascii="Times New Roman" w:cs="Times New Roman" w:eastAsia="Times New Roman" w:hAnsi="Times New Roman"/>
          <w:b w:val="1"/>
          <w:bCs w:val="1"/>
          <w:sz w:val="32"/>
          <w:szCs w:val="32"/>
          <w:rtl w:val="0"/>
        </w:rPr>
        <w:t xml:space="preserve">Analysis</w:t>
      </w:r>
    </w:p>
    <w:p w:rsidR="00000000" w:rsidDel="00000000" w:rsidP="00000000" w:rsidRDefault="00000000" w:rsidRPr="00000000" w14:paraId="000000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modeling process to explore the hazard rate of motor failure.</w:t>
      </w:r>
    </w:p>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spacing w:after="0" w:before="0" w:lineRule="auto"/>
        <w:rPr>
          <w:rFonts w:ascii="Times New Roman" w:cs="Times New Roman" w:eastAsia="Times New Roman" w:hAnsi="Times New Roman"/>
          <w:i w:val="1"/>
          <w:iCs w:val="1"/>
        </w:rPr>
      </w:pPr>
      <w:bookmarkStart w:colFirst="0" w:colLast="0" w:name="_heading=h.7y1ttehadpep" w:id="13"/>
      <w:bookmarkEnd w:id="13"/>
      <w:r w:rsidDel="00000000" w:rsidR="00000000" w:rsidRPr="00000000">
        <w:rPr>
          <w:rFonts w:ascii="Times New Roman" w:cs="Times New Roman" w:eastAsia="Times New Roman" w:hAnsi="Times New Roman"/>
          <w:i w:val="1"/>
          <w:iCs w:val="1"/>
          <w:rtl w:val="0"/>
        </w:rPr>
        <w:t xml:space="preserve">Cox Hazard Model</w:t>
      </w:r>
    </w:p>
    <w:p w:rsidR="00000000" w:rsidDel="00000000" w:rsidP="00000000" w:rsidRDefault="00000000" w:rsidRPr="00000000" w14:paraId="0000003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with the Committee’s current variable selection strategies, our team used backward selection to eliminate insignificant predictors of motor failure. In this scenario, a model with fewer predictors is more desirable, as it would simplify any Committee decisions regarding budget allocation for pump upgrades. Therefore, our team used the </w:t>
      </w:r>
      <w:r w:rsidDel="00000000" w:rsidR="00000000" w:rsidRPr="00000000">
        <w:rPr>
          <w:rFonts w:ascii="Times New Roman" w:cs="Times New Roman" w:eastAsia="Times New Roman" w:hAnsi="Times New Roman"/>
          <w:sz w:val="24"/>
          <w:szCs w:val="24"/>
          <w:highlight w:val="white"/>
          <w:rtl w:val="0"/>
        </w:rPr>
        <w:t xml:space="preserve">Bayesian Information Criterion (BIC) </w:t>
      </w:r>
      <w:r w:rsidDel="00000000" w:rsidR="00000000" w:rsidRPr="00000000">
        <w:rPr>
          <w:rFonts w:ascii="Times New Roman" w:cs="Times New Roman" w:eastAsia="Times New Roman" w:hAnsi="Times New Roman"/>
          <w:sz w:val="24"/>
          <w:szCs w:val="24"/>
          <w:rtl w:val="0"/>
        </w:rPr>
        <w:t xml:space="preserve">criteria for the selection process, which penalizes more complex models. </w:t>
      </w:r>
      <w:r w:rsidDel="00000000" w:rsidR="00000000" w:rsidRPr="00000000">
        <w:rPr>
          <w:rFonts w:ascii="Times New Roman" w:cs="Times New Roman" w:eastAsia="Times New Roman" w:hAnsi="Times New Roman"/>
          <w:sz w:val="24"/>
          <w:szCs w:val="24"/>
          <w:rtl w:val="0"/>
        </w:rPr>
        <w:t xml:space="preserve">We also confirmed that both variables satisfied the proportional hazard assumption by running the appropriate test on the Schoenfeld residuals. </w:t>
      </w:r>
      <w:r w:rsidDel="00000000" w:rsidR="00000000" w:rsidRPr="00000000">
        <w:rPr>
          <w:rtl w:val="0"/>
        </w:rPr>
      </w:r>
    </w:p>
    <w:p w:rsidR="00000000" w:rsidDel="00000000" w:rsidP="00000000" w:rsidRDefault="00000000" w:rsidRPr="00000000" w14:paraId="0000003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lists the variables in the final Cox PH model, along with their description and p-value. Variables are listed in descending order of significance based on p-value.</w:t>
      </w:r>
    </w:p>
    <w:p w:rsidR="00000000" w:rsidDel="00000000" w:rsidP="00000000" w:rsidRDefault="00000000" w:rsidRPr="00000000" w14:paraId="0000003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Final Cox-PH predictors for motor failure, selected by backwards elimination.</w:t>
      </w:r>
    </w:p>
    <w:sdt>
      <w:sdtPr>
        <w:lock w:val="contentLocked"/>
        <w:id w:val="885050274"/>
        <w:tag w:val="goog_rdk_0"/>
      </w:sdtPr>
      <w:sdtContent>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5550"/>
            <w:gridCol w:w="2010"/>
            <w:tblGridChange w:id="0">
              <w:tblGrid>
                <w:gridCol w:w="1680"/>
                <w:gridCol w:w="5550"/>
                <w:gridCol w:w="201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P-Value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(Q3)*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pumps from ages 7.1 to 7.8.</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8.84 x 10</w:t>
                </w:r>
                <w:r w:rsidDel="00000000" w:rsidR="00000000" w:rsidRPr="00000000">
                  <w:rPr>
                    <w:rFonts w:ascii="Times New Roman" w:cs="Times New Roman" w:eastAsia="Times New Roman" w:hAnsi="Times New Roman"/>
                    <w:vertAlign w:val="superscript"/>
                    <w:rtl w:val="0"/>
                  </w:rPr>
                  <w:t xml:space="preserve">-13</w:t>
                </w: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(Q4)*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pumps from ages 7.9 to 10.4.</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1.47 x 10</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w:t>
                </w:r>
                <w:r w:rsidDel="00000000" w:rsidR="00000000" w:rsidRPr="00000000">
                  <w:rPr>
                    <w:rFonts w:ascii="Times New Roman" w:cs="Times New Roman" w:eastAsia="Times New Roman" w:hAnsi="Times New Roman"/>
                    <w:sz w:val="20"/>
                    <w:szCs w:val="20"/>
                    <w:rtl w:val="0"/>
                  </w:rPr>
                  <w:t xml:space="preserve"> (Q2)*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pumps from ages 6.6 to 7.</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4.88 x 10</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Slope (T3)**</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surrounding slope ranges from 3ft to 18ft.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5.81 x 10</w:t>
                </w: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Slope (T2)**</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surrounding slope ranges from 2ft to 3ft.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0.967</w:t>
                </w:r>
                <w:r w:rsidDel="00000000" w:rsidR="00000000" w:rsidRPr="00000000">
                  <w:rPr>
                    <w:rtl w:val="0"/>
                  </w:rPr>
                </w:r>
              </w:p>
            </w:tc>
          </w:tr>
        </w:tbl>
      </w:sdtContent>
    </w:sdt>
    <w:p w:rsidR="00000000" w:rsidDel="00000000" w:rsidP="00000000" w:rsidRDefault="00000000" w:rsidRPr="00000000" w14:paraId="00000051">
      <w:pPr>
        <w:spacing w:after="0" w:before="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spacing w:after="0" w:before="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*All original ages are the difference between the pump’s installation date and the current date. Age reference level was Q1, which contains pumps from ages 5.3 to 6.5.</w:t>
      </w:r>
      <w:r w:rsidDel="00000000" w:rsidR="00000000" w:rsidRPr="00000000">
        <w:rPr>
          <w:rtl w:val="0"/>
        </w:rPr>
      </w:r>
    </w:p>
    <w:p w:rsidR="00000000" w:rsidDel="00000000" w:rsidP="00000000" w:rsidRDefault="00000000" w:rsidRPr="00000000" w14:paraId="00000053">
      <w:pPr>
        <w:spacing w:after="0" w:before="10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*All original ravine slopes were assumed to be measured in feet. Slope reference level was T1, which describes a surrounding ravine slope ranging from 0ft to 2ft.</w:t>
      </w:r>
    </w:p>
    <w:p w:rsidR="00000000" w:rsidDel="00000000" w:rsidP="00000000" w:rsidRDefault="00000000" w:rsidRPr="00000000" w14:paraId="00000054">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seen in Table 1, t</w:t>
      </w:r>
      <w:r w:rsidDel="00000000" w:rsidR="00000000" w:rsidRPr="00000000">
        <w:rPr>
          <w:rFonts w:ascii="Times New Roman" w:cs="Times New Roman" w:eastAsia="Times New Roman" w:hAnsi="Times New Roman"/>
          <w:sz w:val="24"/>
          <w:szCs w:val="24"/>
          <w:rtl w:val="0"/>
        </w:rPr>
        <w:t xml:space="preserve">he most significant feature contributing to a pump’s hazard rate was its binned age, with all comparisons made to the youngest pumps. For example, we found that for pumps between 7.1 and 7.8 units old, the hazard rate of motor failure decreased by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87.84%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compared to pumps between 5.3 and 6.5 units old, holding all other variables constant. In general, at any given point during the hurricane, an older pump has a lower rate of motor failure than a younger pump</w:t>
      </w:r>
      <w:r w:rsidDel="00000000" w:rsidR="00000000" w:rsidRPr="00000000">
        <w:rPr>
          <w:rFonts w:ascii="Times New Roman" w:cs="Times New Roman" w:eastAsia="Times New Roman" w:hAnsi="Times New Roman"/>
          <w:i w:val="1"/>
          <w:iCs w:val="1"/>
          <w:sz w:val="24"/>
          <w:szCs w:val="24"/>
          <w:rtl w:val="0"/>
        </w:rPr>
        <w:t xml:space="preserve"> (ignoring the effects of other </w:t>
      </w:r>
      <w:r w:rsidDel="00000000" w:rsidR="00000000" w:rsidRPr="00000000">
        <w:rPr>
          <w:rFonts w:ascii="Times New Roman" w:cs="Times New Roman" w:eastAsia="Times New Roman" w:hAnsi="Times New Roman"/>
          <w:i w:val="1"/>
          <w:iCs w:val="1"/>
          <w:sz w:val="24"/>
          <w:szCs w:val="24"/>
          <w:rtl w:val="0"/>
        </w:rPr>
        <w:t xml:space="preserve">factors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Finally, while the indicator for surrounding slopes ranging from 2ft to 3ft was not statistically significant, it was retained because its counterpart for slopes ranging from 3ft to 18ft </w:t>
      </w:r>
      <w:r w:rsidDel="00000000" w:rsidR="00000000" w:rsidRPr="00000000">
        <w:rPr>
          <w:rFonts w:ascii="Times New Roman" w:cs="Times New Roman" w:eastAsia="Times New Roman" w:hAnsi="Times New Roman"/>
          <w:i w:val="1"/>
          <w:iCs w:val="1"/>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statistically significant. </w:t>
      </w: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building this model, our team also discovered that the indicator </w:t>
      </w:r>
      <w:r w:rsidDel="00000000" w:rsidR="00000000" w:rsidRPr="00000000">
        <w:rPr>
          <w:rFonts w:ascii="Times New Roman" w:cs="Times New Roman" w:eastAsia="Times New Roman" w:hAnsi="Times New Roman"/>
          <w:sz w:val="24"/>
          <w:szCs w:val="24"/>
          <w:rtl w:val="0"/>
        </w:rPr>
        <w:t xml:space="preserve">for trash</w:t>
      </w:r>
      <w:r w:rsidDel="00000000" w:rsidR="00000000" w:rsidRPr="00000000">
        <w:rPr>
          <w:rFonts w:ascii="Times New Roman" w:cs="Times New Roman" w:eastAsia="Times New Roman" w:hAnsi="Times New Roman"/>
          <w:sz w:val="24"/>
          <w:szCs w:val="24"/>
          <w:rtl w:val="0"/>
        </w:rPr>
        <w:t xml:space="preserve"> rack (a piece of hardware that protects the pump from debris) had quasi-complete separation with the target variable. In other words, none of the 398 pumps protected by a trash rack experienced a motor failure. Including this variable in a statistical model would result in an uninterpretable coefficient due to non-convergence. However, this separation may suggest that protecting a pump with a trash rack greatly reduces the risk of motor failure. </w:t>
      </w:r>
      <w:r w:rsidDel="00000000" w:rsidR="00000000" w:rsidRPr="00000000">
        <w:rPr>
          <w:rFonts w:ascii="Times New Roman" w:cs="Times New Roman" w:eastAsia="Times New Roman" w:hAnsi="Times New Roman"/>
          <w:sz w:val="24"/>
          <w:szCs w:val="24"/>
          <w:rtl w:val="0"/>
        </w:rPr>
        <w:t xml:space="preserve">It is important to note that the addition of a trash rack does not necessarily reduce the pump’s risk of failing for non-mechanical reasons.</w:t>
      </w:r>
      <w:r w:rsidDel="00000000" w:rsidR="00000000" w:rsidRPr="00000000">
        <w:rPr>
          <w:rtl w:val="0"/>
        </w:rPr>
      </w:r>
    </w:p>
    <w:p w:rsidR="00000000" w:rsidDel="00000000" w:rsidP="00000000" w:rsidRDefault="00000000" w:rsidRPr="00000000" w14:paraId="00000057">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spacing w:after="0" w:before="0" w:lineRule="auto"/>
        <w:rPr>
          <w:rFonts w:ascii="Times New Roman" w:cs="Times New Roman" w:eastAsia="Times New Roman" w:hAnsi="Times New Roman"/>
          <w:i w:val="1"/>
          <w:iCs w:val="1"/>
        </w:rPr>
      </w:pPr>
      <w:bookmarkStart w:colFirst="0" w:colLast="0" w:name="_heading=h.9diqmi2wjvv7" w:id="14"/>
      <w:bookmarkEnd w:id="14"/>
      <w:r w:rsidDel="00000000" w:rsidR="00000000" w:rsidRPr="00000000">
        <w:rPr>
          <w:rFonts w:ascii="Times New Roman" w:cs="Times New Roman" w:eastAsia="Times New Roman" w:hAnsi="Times New Roman"/>
          <w:i w:val="1"/>
          <w:iCs w:val="1"/>
          <w:rtl w:val="0"/>
        </w:rPr>
        <w:t xml:space="preserve">Motor Runtime Impact</w:t>
      </w:r>
      <w:r w:rsidDel="00000000" w:rsidR="00000000" w:rsidRPr="00000000">
        <w:rPr>
          <w:rtl w:val="0"/>
        </w:rPr>
      </w:r>
    </w:p>
    <w:p w:rsidR="00000000" w:rsidDel="00000000" w:rsidP="00000000" w:rsidRDefault="00000000" w:rsidRPr="00000000" w14:paraId="0000005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Army Corp of Engineers and the Committee were interested in assessing the risk of motor failure for pumps that constantly ran for 12 hour blocks. We transformed the data so that </w:t>
      </w:r>
      <w:r w:rsidDel="00000000" w:rsidR="00000000" w:rsidRPr="00000000">
        <w:rPr>
          <w:rFonts w:ascii="Times New Roman" w:cs="Times New Roman" w:eastAsia="Times New Roman" w:hAnsi="Times New Roman"/>
          <w:sz w:val="24"/>
          <w:szCs w:val="24"/>
          <w:rtl w:val="0"/>
        </w:rPr>
        <w:t xml:space="preserve">each row recorded the status of each pump for one hour during the critical 48 hour time period. Status was equal to 1 if the pump was running, and 0 otherwise.</w:t>
      </w:r>
      <w:r w:rsidDel="00000000" w:rsidR="00000000" w:rsidRPr="00000000">
        <w:rPr>
          <w:rFonts w:ascii="Times New Roman" w:cs="Times New Roman" w:eastAsia="Times New Roman" w:hAnsi="Times New Roman"/>
          <w:sz w:val="24"/>
          <w:szCs w:val="24"/>
          <w:rtl w:val="0"/>
        </w:rPr>
        <w:t xml:space="preserve"> Pumps that never suffered a motor failure were thus represented by 48 rows; all other pumps stopped being recorded after the hour that they failed. We flagged each 12+ hour block of consecutive runtime to use as a time-dependent predictor of motor failure.</w:t>
      </w:r>
    </w:p>
    <w:p w:rsidR="00000000" w:rsidDel="00000000" w:rsidP="00000000" w:rsidRDefault="00000000" w:rsidRPr="00000000" w14:paraId="0000005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built a new Cox PH model using the pump’s binned age, the binned slope of the surrounding ravine, and the pump’s runtime. This new data format allowed for variable effects that may change over time. We found that the runtime variable was insignificant at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α=0.03 </w:t>
      </w:r>
      <w:r w:rsidDel="00000000" w:rsidR="00000000" w:rsidRPr="00000000">
        <w:rPr>
          <w:rFonts w:ascii="Times New Roman" w:cs="Times New Roman" w:eastAsia="Times New Roman" w:hAnsi="Times New Roman"/>
          <w:sz w:val="24"/>
          <w:szCs w:val="24"/>
          <w:rtl w:val="0"/>
        </w:rPr>
        <w:t xml:space="preserve">level </w:t>
      </w:r>
      <w:r w:rsidDel="00000000" w:rsidR="00000000" w:rsidRPr="00000000">
        <w:rPr>
          <w:rFonts w:ascii="Times New Roman" w:cs="Times New Roman" w:eastAsia="Times New Roman" w:hAnsi="Times New Roman"/>
          <w:sz w:val="24"/>
          <w:szCs w:val="24"/>
          <w:rtl w:val="0"/>
        </w:rPr>
        <w:t xml:space="preserve">(p=0.480)</w:t>
      </w:r>
      <w:r w:rsidDel="00000000" w:rsidR="00000000" w:rsidRPr="00000000">
        <w:rPr>
          <w:rFonts w:ascii="Times New Roman" w:cs="Times New Roman" w:eastAsia="Times New Roman" w:hAnsi="Times New Roman"/>
          <w:sz w:val="24"/>
          <w:szCs w:val="24"/>
          <w:rtl w:val="0"/>
        </w:rPr>
        <w:t xml:space="preserve">, while the binned age and slope variables still significantly impacted hazard rate.</w:t>
      </w:r>
    </w:p>
    <w:p w:rsidR="00000000" w:rsidDel="00000000" w:rsidP="00000000" w:rsidRDefault="00000000" w:rsidRPr="00000000" w14:paraId="0000005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spacing w:after="0" w:before="0" w:lineRule="auto"/>
        <w:rPr>
          <w:rFonts w:ascii="Times New Roman" w:cs="Times New Roman" w:eastAsia="Times New Roman" w:hAnsi="Times New Roman"/>
          <w:b w:val="1"/>
          <w:bCs w:val="1"/>
          <w:sz w:val="32"/>
          <w:szCs w:val="32"/>
        </w:rPr>
      </w:pPr>
      <w:bookmarkStart w:colFirst="0" w:colLast="0" w:name="_heading=h.o4ryz37yuluh" w:id="15"/>
      <w:bookmarkEnd w:id="15"/>
      <w:r w:rsidDel="00000000" w:rsidR="00000000" w:rsidRPr="00000000">
        <w:rPr>
          <w:rFonts w:ascii="Times New Roman" w:cs="Times New Roman" w:eastAsia="Times New Roman" w:hAnsi="Times New Roman"/>
          <w:b w:val="1"/>
          <w:bCs w:val="1"/>
          <w:sz w:val="32"/>
          <w:szCs w:val="32"/>
          <w:rtl w:val="0"/>
        </w:rPr>
        <w:t xml:space="preserve">Results &amp; Recommendations</w:t>
      </w:r>
    </w:p>
    <w:p w:rsidR="00000000" w:rsidDel="00000000" w:rsidP="00000000" w:rsidRDefault="00000000" w:rsidRPr="00000000" w14:paraId="0000005E">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analyses, we recommend that the Committee focus on assessing pumps based on their age and the surrounding ravine slope, if they intend to reduce the specific risk of motor failure. The pumps at lower risks of this failure are those that are older and/or stationed in areas with a larger slope value. This is why we suggest the Committee investigate newly installed pumps to look for a reason that those pumps are more prone to motor failure.</w:t>
      </w:r>
    </w:p>
    <w:p w:rsidR="00000000" w:rsidDel="00000000" w:rsidP="00000000" w:rsidRDefault="00000000" w:rsidRPr="00000000" w14:paraId="0000005F">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focus on exploring the relationship between other pump failure reasons and age, ravine slope, and trash racks. Our analysis shows significant relationships between age and motor failure and ravine slope and motor failure, but does not prove any causal relationships.</w:t>
      </w:r>
      <w:r w:rsidDel="00000000" w:rsidR="00000000" w:rsidRPr="00000000">
        <w:rPr>
          <w:rtl w:val="0"/>
        </w:rPr>
      </w:r>
    </w:p>
    <w:p w:rsidR="00000000" w:rsidDel="00000000" w:rsidP="00000000" w:rsidRDefault="00000000" w:rsidRPr="00000000" w14:paraId="00000061">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1"/>
        <w:spacing w:after="0" w:before="0" w:line="240" w:lineRule="auto"/>
        <w:rPr>
          <w:rFonts w:ascii="Times New Roman" w:cs="Times New Roman" w:eastAsia="Times New Roman" w:hAnsi="Times New Roman"/>
          <w:b w:val="1"/>
          <w:bCs w:val="1"/>
          <w:sz w:val="32"/>
          <w:szCs w:val="32"/>
        </w:rPr>
      </w:pPr>
      <w:bookmarkStart w:colFirst="0" w:colLast="0" w:name="_heading=h.w9t3vktuhyd" w:id="16"/>
      <w:bookmarkEnd w:id="16"/>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06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identifying the significant relationships between motor failures and certain pump characteristics, such as its age category, this analysis will inform the Committee’s strategy to improve pump performance. Data shows that younger pumps and those situated on minimal slopes are at higher risk of motor failure; in response, the Committee is encouraged to closely monitor new pumps, and prioritize steeper slopes for installation. </w:t>
      </w:r>
    </w:p>
    <w:p w:rsidR="00000000" w:rsidDel="00000000" w:rsidP="00000000" w:rsidRDefault="00000000" w:rsidRPr="00000000" w14:paraId="0000006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Committee’s budget allows for additional upgrades, our team believes that new trash rack installations would be the most immediately beneficial modification. By implementing these recommendations, the Steering Committee of the Center for Risk Management will be better prepared for future hurricane seasons.</w:t>
      </w:r>
    </w:p>
    <w:sectPr>
      <w:footerReference r:id="rId13" w:type="default"/>
      <w:footerReference r:id="rId1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wentieth Century"/>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spacing w:line="259" w:lineRule="auto"/>
      <w:jc w:val="right"/>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76"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tab/>
      <w:tab/>
      <w:tab/>
    </w:r>
  </w:p>
  <w:p w:rsidR="00000000" w:rsidDel="00000000" w:rsidP="00000000" w:rsidRDefault="00000000" w:rsidRPr="00000000" w14:paraId="0000006C">
    <w:pPr>
      <w:jc w:val="right"/>
      <w:rPr/>
    </w:pPr>
    <w:r w:rsidDel="00000000" w:rsidR="00000000" w:rsidRPr="00000000">
      <w:rPr>
        <w:rtl w:val="0"/>
      </w:rPr>
    </w:r>
  </w:p>
  <w:p w:rsidR="00000000" w:rsidDel="00000000" w:rsidP="00000000" w:rsidRDefault="00000000" w:rsidRPr="00000000" w14:paraId="0000006D">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320"/>
        <w:tab w:val="right" w:leader="none" w:pos="8640"/>
      </w:tabs>
      <w:spacing w:line="259" w:lineRule="auto"/>
      <w:rPr>
        <w:rFonts w:ascii="Twentieth Century" w:cs="Twentieth Century" w:eastAsia="Twentieth Century" w:hAnsi="Twentieth Century"/>
        <w:color w:val="000000"/>
      </w:rPr>
    </w:pPr>
    <w:r w:rsidDel="00000000" w:rsidR="00000000" w:rsidRPr="00000000">
      <w:rPr>
        <w:rFonts w:ascii="Twentieth Century" w:cs="Twentieth Century" w:eastAsia="Twentieth Century" w:hAnsi="Twentieth Century"/>
        <w:color w:val="000000"/>
        <w:rtl w:val="0"/>
      </w:rPr>
      <w:t xml:space="preserve">[Type here]</w:t>
    </w:r>
  </w:p>
  <w:p w:rsidR="00000000" w:rsidDel="00000000" w:rsidP="00000000" w:rsidRDefault="00000000" w:rsidRPr="00000000" w14:paraId="0000006F">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320"/>
        <w:tab w:val="right" w:leader="none" w:pos="8640"/>
      </w:tabs>
      <w:spacing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jc w:val="right"/>
      <w:rPr>
        <w:rFonts w:ascii="Open Sans Light" w:cs="Open Sans Light" w:eastAsia="Open Sans Light" w:hAnsi="Open Sans Light"/>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276" w:lineRule="auto"/>
      <w:jc w:val="right"/>
      <w:rPr>
        <w:rFonts w:ascii="Open Sans Light" w:cs="Open Sans Light" w:eastAsia="Open Sans Light" w:hAnsi="Open Sans L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color="94b6d2" w:space="1" w:sz="4" w:val="single"/>
        <w:right w:space="0" w:sz="0" w:val="nil"/>
        <w:between w:space="0" w:sz="0" w:val="nil"/>
      </w:pBdr>
      <w:spacing w:after="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Hurricane Readiness Project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color="94b6d2" w:space="1" w:sz="4" w:val="single"/>
        <w:right w:space="0" w:sz="0" w:val="nil"/>
        <w:between w:space="0" w:sz="0" w:val="nil"/>
      </w:pBdr>
      <w:spacing w:after="0" w:lineRule="auto"/>
      <w:rPr>
        <w:b w:val="1"/>
        <w:bCs w:val="1"/>
        <w:color w:val="775f55"/>
        <w:sz w:val="20"/>
        <w:szCs w:val="20"/>
      </w:rPr>
    </w:pPr>
    <w:r w:rsidDel="00000000" w:rsidR="00000000" w:rsidRPr="00000000">
      <w:rPr>
        <w:b w:val="1"/>
        <w:bCs w:val="1"/>
        <w:color w:val="775f55"/>
        <w:sz w:val="20"/>
        <w:szCs w:val="20"/>
        <w:rtl w:val="0"/>
      </w:rPr>
      <w:t xml:space="preserve">Title of report here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Rule="auto"/>
    </w:pPr>
    <w:rPr>
      <w:rFonts w:ascii="Twentieth Century" w:cs="Twentieth Century" w:eastAsia="Twentieth Century" w:hAnsi="Twentieth Century"/>
      <w:sz w:val="36"/>
      <w:szCs w:val="36"/>
    </w:rPr>
  </w:style>
  <w:style w:type="paragraph" w:styleId="Heading2">
    <w:name w:val="heading 2"/>
    <w:basedOn w:val="Normal"/>
    <w:next w:val="Normal"/>
    <w:pPr>
      <w:keepNext w:val="1"/>
      <w:keepLines w:val="1"/>
      <w:spacing w:after="0" w:before="120" w:lineRule="auto"/>
    </w:pPr>
    <w:rPr>
      <w:rFonts w:ascii="Twentieth Century" w:cs="Twentieth Century" w:eastAsia="Twentieth Century" w:hAnsi="Twentieth Century"/>
      <w:sz w:val="28"/>
      <w:szCs w:val="28"/>
    </w:rPr>
  </w:style>
  <w:style w:type="paragraph" w:styleId="Heading3">
    <w:name w:val="heading 3"/>
    <w:basedOn w:val="Normal"/>
    <w:next w:val="Normal"/>
    <w:pPr>
      <w:keepNext w:val="1"/>
      <w:keepLines w:val="1"/>
      <w:spacing w:after="0" w:before="120" w:lineRule="auto"/>
    </w:pPr>
    <w:rPr>
      <w:rFonts w:ascii="Twentieth Century" w:cs="Twentieth Century" w:eastAsia="Twentieth Century" w:hAnsi="Twentieth Century"/>
      <w:smallCaps w:val="1"/>
      <w:sz w:val="28"/>
      <w:szCs w:val="28"/>
    </w:rPr>
  </w:style>
  <w:style w:type="paragraph" w:styleId="Heading4">
    <w:name w:val="heading 4"/>
    <w:basedOn w:val="Normal"/>
    <w:next w:val="Normal"/>
    <w:pPr>
      <w:keepNext w:val="1"/>
      <w:keepLines w:val="1"/>
      <w:spacing w:after="0" w:before="120" w:lineRule="auto"/>
    </w:pPr>
    <w:rPr>
      <w:rFonts w:ascii="Twentieth Century" w:cs="Twentieth Century" w:eastAsia="Twentieth Century" w:hAnsi="Twentieth Century"/>
      <w:smallCaps w:val="1"/>
    </w:rPr>
  </w:style>
  <w:style w:type="paragraph" w:styleId="Heading5">
    <w:name w:val="heading 5"/>
    <w:basedOn w:val="Normal"/>
    <w:next w:val="Normal"/>
    <w:pPr>
      <w:keepNext w:val="1"/>
      <w:keepLines w:val="1"/>
      <w:spacing w:after="0" w:before="120" w:lineRule="auto"/>
    </w:pPr>
    <w:rPr>
      <w:rFonts w:ascii="Twentieth Century" w:cs="Twentieth Century" w:eastAsia="Twentieth Century" w:hAnsi="Twentieth Century"/>
      <w:i w:val="1"/>
      <w:iCs w:val="1"/>
      <w:smallCaps w:val="1"/>
    </w:rPr>
  </w:style>
  <w:style w:type="paragraph" w:styleId="Heading6">
    <w:name w:val="heading 6"/>
    <w:basedOn w:val="Normal"/>
    <w:next w:val="Normal"/>
    <w:pPr>
      <w:keepNext w:val="1"/>
      <w:keepLines w:val="1"/>
      <w:spacing w:after="0" w:before="120" w:lineRule="auto"/>
    </w:pPr>
    <w:rPr>
      <w:rFonts w:ascii="Twentieth Century" w:cs="Twentieth Century" w:eastAsia="Twentieth Century" w:hAnsi="Twentieth Century"/>
      <w:b w:val="1"/>
      <w:bCs w:val="1"/>
      <w:smallCaps w:val="1"/>
      <w:color w:val="262626"/>
      <w:sz w:val="20"/>
      <w:szCs w:val="20"/>
    </w:rPr>
  </w:style>
  <w:style w:type="paragraph" w:styleId="Title">
    <w:name w:val="Title"/>
    <w:basedOn w:val="Normal"/>
    <w:next w:val="Normal"/>
    <w:pPr>
      <w:spacing w:after="0" w:lineRule="auto"/>
    </w:pPr>
    <w:rPr>
      <w:rFonts w:ascii="Twentieth Century" w:cs="Twentieth Century" w:eastAsia="Twentieth Century" w:hAnsi="Twentieth Century"/>
      <w:smallCaps w:val="1"/>
      <w:color w:val="40404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F2717"/>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semiHidden w:val="1"/>
    <w:unhideWhenUsed w:val="1"/>
    <w:qFormat w:val="1"/>
    <w:rsid w:val="00CF2717"/>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semiHidden w:val="1"/>
    <w:unhideWhenUsed w:val="1"/>
    <w:qFormat w:val="1"/>
    <w:rsid w:val="00CF2717"/>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50A2F"/>
    <w:rPr>
      <w:rFonts w:cs="Times New Roman (Headings CS)" w:asciiTheme="majorHAnsi" w:eastAsiaTheme="majorEastAsia" w:hAnsiTheme="majorHAnsi"/>
      <w:sz w:val="36"/>
      <w:szCs w:val="36"/>
    </w:rPr>
  </w:style>
  <w:style w:type="character" w:styleId="Heading2Char" w:customStyle="1">
    <w:name w:val="Heading 2 Char"/>
    <w:basedOn w:val="DefaultParagraphFont"/>
    <w:link w:val="Heading2"/>
    <w:uiPriority w:val="9"/>
    <w:rsid w:val="00F50A2F"/>
    <w:rPr>
      <w:rFonts w:cs="Times New Roman (Headings CS)" w:asciiTheme="majorHAnsi" w:eastAsiaTheme="majorEastAsia" w:hAnsiTheme="majorHAnsi"/>
      <w:sz w:val="28"/>
      <w:szCs w:val="28"/>
    </w:rPr>
  </w:style>
  <w:style w:type="character" w:styleId="Heading3Char" w:customStyle="1">
    <w:name w:val="Heading 3 Char"/>
    <w:basedOn w:val="DefaultParagraphFont"/>
    <w:link w:val="Heading3"/>
    <w:uiPriority w:val="9"/>
    <w:rsid w:val="00CF2717"/>
    <w:rPr>
      <w:rFonts w:asciiTheme="majorHAnsi" w:cstheme="majorBidi" w:eastAsiaTheme="majorEastAsia" w:hAnsiTheme="majorHAnsi"/>
      <w:smallCaps w:val="1"/>
      <w:sz w:val="28"/>
      <w:szCs w:val="28"/>
    </w:rPr>
  </w:style>
  <w:style w:type="paragraph" w:styleId="Footer">
    <w:name w:val="footer"/>
    <w:basedOn w:val="Normal"/>
    <w:link w:val="FooterChar"/>
    <w:uiPriority w:val="99"/>
    <w:unhideWhenUsed w:val="1"/>
    <w:pPr>
      <w:tabs>
        <w:tab w:val="center" w:pos="4320"/>
        <w:tab w:val="right" w:pos="8640"/>
      </w:tabs>
    </w:pPr>
  </w:style>
  <w:style w:type="character" w:styleId="FooterChar" w:customStyle="1">
    <w:name w:val="Footer Char"/>
    <w:basedOn w:val="DefaultParagraphFont"/>
    <w:link w:val="Footer"/>
    <w:uiPriority w:val="99"/>
    <w:rPr>
      <w:rFonts w:cs="Times New Roman"/>
      <w:sz w:val="23"/>
      <w:szCs w:val="20"/>
      <w:lang w:eastAsia="ja-JP"/>
    </w:rPr>
  </w:style>
  <w:style w:type="paragraph" w:styleId="Header">
    <w:name w:val="header"/>
    <w:basedOn w:val="Normal"/>
    <w:link w:val="HeaderChar"/>
    <w:uiPriority w:val="99"/>
    <w:unhideWhenUsed w:val="1"/>
    <w:pPr>
      <w:tabs>
        <w:tab w:val="center" w:pos="4320"/>
        <w:tab w:val="right" w:pos="8640"/>
      </w:tabs>
    </w:pPr>
  </w:style>
  <w:style w:type="character" w:styleId="HeaderChar" w:customStyle="1">
    <w:name w:val="Header Char"/>
    <w:basedOn w:val="DefaultParagraphFont"/>
    <w:link w:val="Header"/>
    <w:uiPriority w:val="99"/>
    <w:rPr>
      <w:rFonts w:cs="Times New Roman"/>
      <w:sz w:val="23"/>
      <w:szCs w:val="20"/>
      <w:lang w:eastAsia="ja-JP"/>
    </w:rPr>
  </w:style>
  <w:style w:type="paragraph" w:styleId="IntenseQuote">
    <w:name w:val="Intense Quote"/>
    <w:basedOn w:val="Normal"/>
    <w:next w:val="Normal"/>
    <w:link w:val="IntenseQuoteChar"/>
    <w:uiPriority w:val="30"/>
    <w:qFormat w:val="1"/>
    <w:rsid w:val="00CF2717"/>
    <w:pPr>
      <w:spacing w:after="280" w:before="280"/>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CF2717"/>
    <w:rPr>
      <w:color w:val="404040" w:themeColor="text1" w:themeTint="0000BF"/>
      <w:sz w:val="32"/>
      <w:szCs w:val="32"/>
    </w:rPr>
  </w:style>
  <w:style w:type="character" w:styleId="SubtitleChar" w:customStyle="1">
    <w:name w:val="Subtitle Char"/>
    <w:basedOn w:val="DefaultParagraphFont"/>
    <w:link w:val="Subtitle"/>
    <w:uiPriority w:val="11"/>
    <w:rsid w:val="00CF2717"/>
    <w:rPr>
      <w:rFonts w:asciiTheme="majorHAnsi" w:cstheme="majorBidi" w:eastAsiaTheme="majorEastAsia" w:hAnsiTheme="majorHAnsi"/>
      <w:smallCaps w:val="1"/>
      <w:color w:val="595959" w:themeColor="text1" w:themeTint="0000A6"/>
      <w:sz w:val="28"/>
      <w:szCs w:val="28"/>
    </w:rPr>
  </w:style>
  <w:style w:type="character" w:styleId="TitleChar" w:customStyle="1">
    <w:name w:val="Title Char"/>
    <w:basedOn w:val="DefaultParagraphFont"/>
    <w:link w:val="Title"/>
    <w:uiPriority w:val="10"/>
    <w:rsid w:val="00CF2717"/>
    <w:rPr>
      <w:rFonts w:asciiTheme="majorHAnsi" w:cstheme="majorBidi" w:eastAsiaTheme="majorEastAsia" w:hAnsiTheme="majorHAnsi"/>
      <w:caps w:val="1"/>
      <w:color w:val="404040" w:themeColor="text1" w:themeTint="0000BF"/>
      <w:spacing w:val="-10"/>
      <w:sz w:val="72"/>
      <w:szCs w:val="72"/>
    </w:rPr>
  </w:style>
  <w:style w:type="paragraph" w:styleId="BalloonText">
    <w:name w:val="Balloon Text"/>
    <w:basedOn w:val="Normal"/>
    <w:link w:val="BalloonTextChar"/>
    <w:uiPriority w:val="99"/>
    <w:semiHidden w:val="1"/>
    <w:unhideWhenUsed w:val="1"/>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hAnsi="Tahoma"/>
      <w:sz w:val="16"/>
      <w:szCs w:val="16"/>
      <w:lang w:eastAsia="ja-JP"/>
    </w:rPr>
  </w:style>
  <w:style w:type="character" w:styleId="BookTitle">
    <w:name w:val="Book Title"/>
    <w:basedOn w:val="DefaultParagraphFont"/>
    <w:uiPriority w:val="33"/>
    <w:qFormat w:val="1"/>
    <w:rsid w:val="00CF2717"/>
    <w:rPr>
      <w:b w:val="1"/>
      <w:bCs w:val="1"/>
      <w:smallCaps w:val="1"/>
      <w:spacing w:val="7"/>
    </w:rPr>
  </w:style>
  <w:style w:type="paragraph" w:styleId="Caption">
    <w:name w:val="caption"/>
    <w:aliases w:val="Caption Figure TOC"/>
    <w:basedOn w:val="Normal"/>
    <w:next w:val="Normal"/>
    <w:uiPriority w:val="35"/>
    <w:unhideWhenUsed w:val="1"/>
    <w:qFormat w:val="1"/>
    <w:rsid w:val="00CF2717"/>
    <w:rPr>
      <w:b w:val="1"/>
      <w:bCs w:val="1"/>
      <w:smallCaps w:val="1"/>
      <w:color w:val="595959" w:themeColor="text1" w:themeTint="0000A6"/>
    </w:rPr>
  </w:style>
  <w:style w:type="character" w:styleId="Emphasis">
    <w:name w:val="Emphasis"/>
    <w:basedOn w:val="DefaultParagraphFont"/>
    <w:uiPriority w:val="20"/>
    <w:qFormat w:val="1"/>
    <w:rsid w:val="00CF2717"/>
    <w:rPr>
      <w:i w:val="1"/>
      <w:iCs w:val="1"/>
    </w:rPr>
  </w:style>
  <w:style w:type="character" w:styleId="Heading4Char" w:customStyle="1">
    <w:name w:val="Heading 4 Char"/>
    <w:basedOn w:val="DefaultParagraphFont"/>
    <w:link w:val="Heading4"/>
    <w:uiPriority w:val="9"/>
    <w:semiHidden w:val="1"/>
    <w:rsid w:val="00CF2717"/>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semiHidden w:val="1"/>
    <w:rsid w:val="00CF2717"/>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semiHidden w:val="1"/>
    <w:rsid w:val="00CF2717"/>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semiHidden w:val="1"/>
    <w:rsid w:val="00CF2717"/>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semiHidden w:val="1"/>
    <w:rsid w:val="00CF2717"/>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semiHidden w:val="1"/>
    <w:rsid w:val="00CF2717"/>
    <w:rPr>
      <w:rFonts w:asciiTheme="majorHAnsi" w:cstheme="majorBidi" w:eastAsiaTheme="majorEastAsia" w:hAnsiTheme="majorHAnsi"/>
      <w:b w:val="1"/>
      <w:bCs w:val="1"/>
      <w:i w:val="1"/>
      <w:iCs w:val="1"/>
      <w:caps w:val="1"/>
      <w:color w:val="7f7f7f" w:themeColor="text1" w:themeTint="000080"/>
      <w:sz w:val="20"/>
      <w:szCs w:val="20"/>
    </w:rPr>
  </w:style>
  <w:style w:type="character" w:styleId="Hyperlink">
    <w:name w:val="Hyperlink"/>
    <w:basedOn w:val="DefaultParagraphFont"/>
    <w:uiPriority w:val="99"/>
    <w:unhideWhenUsed w:val="1"/>
    <w:rPr>
      <w:color w:val="f7b615" w:themeColor="hyperlink"/>
      <w:u w:val="single"/>
    </w:rPr>
  </w:style>
  <w:style w:type="character" w:styleId="IntenseEmphasis">
    <w:name w:val="Intense Emphasis"/>
    <w:basedOn w:val="DefaultParagraphFont"/>
    <w:uiPriority w:val="21"/>
    <w:qFormat w:val="1"/>
    <w:rsid w:val="00CF2717"/>
    <w:rPr>
      <w:b w:val="1"/>
      <w:bCs w:val="1"/>
      <w:i w:val="1"/>
      <w:iCs w:val="1"/>
    </w:rPr>
  </w:style>
  <w:style w:type="character" w:styleId="IntenseReference">
    <w:name w:val="Intense Reference"/>
    <w:basedOn w:val="DefaultParagraphFont"/>
    <w:uiPriority w:val="32"/>
    <w:qFormat w:val="1"/>
    <w:rsid w:val="00CF2717"/>
    <w:rPr>
      <w:b w:val="1"/>
      <w:bCs w:val="1"/>
      <w:caps w:val="0"/>
      <w:smallCaps w:val="1"/>
      <w:color w:val="auto"/>
      <w:spacing w:val="3"/>
      <w:u w:val="single"/>
    </w:rPr>
  </w:style>
  <w:style w:type="paragraph" w:styleId="List">
    <w:name w:val="List"/>
    <w:basedOn w:val="Normal"/>
    <w:uiPriority w:val="99"/>
    <w:semiHidden w:val="1"/>
    <w:unhideWhenUsed w:val="1"/>
    <w:pPr>
      <w:ind w:left="360" w:hanging="360"/>
    </w:pPr>
  </w:style>
  <w:style w:type="paragraph" w:styleId="List2">
    <w:name w:val="List 2"/>
    <w:basedOn w:val="Normal"/>
    <w:uiPriority w:val="99"/>
    <w:semiHidden w:val="1"/>
    <w:unhideWhenUsed w:val="1"/>
    <w:pPr>
      <w:ind w:left="720" w:hanging="360"/>
    </w:pPr>
  </w:style>
  <w:style w:type="paragraph" w:styleId="ListBullet">
    <w:name w:val="List Bullet"/>
    <w:basedOn w:val="Normal"/>
    <w:uiPriority w:val="36"/>
    <w:unhideWhenUsed w:val="1"/>
    <w:pPr>
      <w:numPr>
        <w:numId w:val="2"/>
      </w:numPr>
    </w:pPr>
    <w:rPr>
      <w:sz w:val="24"/>
    </w:rPr>
  </w:style>
  <w:style w:type="paragraph" w:styleId="ListBullet2">
    <w:name w:val="List Bullet 2"/>
    <w:basedOn w:val="Normal"/>
    <w:uiPriority w:val="36"/>
    <w:unhideWhenUsed w:val="1"/>
    <w:pPr>
      <w:tabs>
        <w:tab w:val="num" w:pos="720"/>
      </w:tabs>
      <w:ind w:left="720" w:hanging="720"/>
    </w:pPr>
    <w:rPr>
      <w:color w:val="94b6d2" w:themeColor="accent1"/>
    </w:rPr>
  </w:style>
  <w:style w:type="paragraph" w:styleId="ListBullet3">
    <w:name w:val="List Bullet 3"/>
    <w:basedOn w:val="Normal"/>
    <w:uiPriority w:val="36"/>
    <w:unhideWhenUsed w:val="1"/>
    <w:pPr>
      <w:tabs>
        <w:tab w:val="num" w:pos="720"/>
      </w:tabs>
      <w:ind w:left="720" w:hanging="720"/>
    </w:pPr>
    <w:rPr>
      <w:color w:val="dd8047" w:themeColor="accent2"/>
    </w:rPr>
  </w:style>
  <w:style w:type="paragraph" w:styleId="ListBullet4">
    <w:name w:val="List Bullet 4"/>
    <w:basedOn w:val="Normal"/>
    <w:uiPriority w:val="36"/>
    <w:unhideWhenUsed w:val="1"/>
    <w:pPr>
      <w:tabs>
        <w:tab w:val="num" w:pos="720"/>
      </w:tabs>
      <w:ind w:left="720" w:hanging="720"/>
    </w:pPr>
    <w:rPr>
      <w:caps w:val="1"/>
      <w:spacing w:val="4"/>
    </w:rPr>
  </w:style>
  <w:style w:type="paragraph" w:styleId="ListBullet5">
    <w:name w:val="List Bullet 5"/>
    <w:basedOn w:val="Normal"/>
    <w:uiPriority w:val="36"/>
    <w:unhideWhenUsed w:val="1"/>
    <w:pPr>
      <w:tabs>
        <w:tab w:val="num" w:pos="720"/>
      </w:tabs>
      <w:ind w:left="720" w:hanging="720"/>
    </w:pPr>
  </w:style>
  <w:style w:type="paragraph" w:styleId="ListParagraph">
    <w:name w:val="List Paragraph"/>
    <w:basedOn w:val="Normal"/>
    <w:uiPriority w:val="34"/>
    <w:qFormat w:val="1"/>
    <w:pPr>
      <w:ind w:left="720"/>
      <w:contextualSpacing w:val="1"/>
    </w:pPr>
  </w:style>
  <w:style w:type="numbering" w:styleId="MedianListStyle" w:customStyle="1">
    <w:name w:val="Median List Style"/>
    <w:uiPriority w:val="99"/>
  </w:style>
  <w:style w:type="paragraph" w:styleId="NoSpacing">
    <w:name w:val="No Spacing"/>
    <w:uiPriority w:val="1"/>
    <w:qFormat w:val="1"/>
    <w:rsid w:val="00CF2717"/>
    <w:pPr>
      <w:spacing w:after="0"/>
    </w:pPr>
  </w:style>
  <w:style w:type="character" w:styleId="PlaceholderText">
    <w:name w:val="Placeholder Text"/>
    <w:basedOn w:val="DefaultParagraphFont"/>
    <w:uiPriority w:val="99"/>
    <w:unhideWhenUsed w:val="1"/>
    <w:rPr>
      <w:color w:val="808080"/>
    </w:rPr>
  </w:style>
  <w:style w:type="paragraph" w:styleId="Quote">
    <w:name w:val="Quote"/>
    <w:basedOn w:val="Normal"/>
    <w:next w:val="Normal"/>
    <w:link w:val="QuoteChar"/>
    <w:uiPriority w:val="29"/>
    <w:qFormat w:val="1"/>
    <w:rsid w:val="00CF2717"/>
    <w:pPr>
      <w:spacing w:before="160"/>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CF2717"/>
    <w:rPr>
      <w:rFonts w:asciiTheme="majorHAnsi" w:cstheme="majorBidi" w:eastAsiaTheme="majorEastAsia" w:hAnsiTheme="majorHAnsi"/>
      <w:sz w:val="25"/>
      <w:szCs w:val="25"/>
    </w:rPr>
  </w:style>
  <w:style w:type="character" w:styleId="Strong">
    <w:name w:val="Strong"/>
    <w:basedOn w:val="DefaultParagraphFont"/>
    <w:uiPriority w:val="22"/>
    <w:qFormat w:val="1"/>
    <w:rsid w:val="00CF2717"/>
    <w:rPr>
      <w:b w:val="1"/>
      <w:bCs w:val="1"/>
    </w:rPr>
  </w:style>
  <w:style w:type="character" w:styleId="SubtleEmphasis">
    <w:name w:val="Subtle Emphasis"/>
    <w:basedOn w:val="DefaultParagraphFont"/>
    <w:uiPriority w:val="19"/>
    <w:qFormat w:val="1"/>
    <w:rsid w:val="00CF2717"/>
    <w:rPr>
      <w:i w:val="1"/>
      <w:iCs w:val="1"/>
      <w:color w:val="595959" w:themeColor="text1" w:themeTint="0000A6"/>
    </w:rPr>
  </w:style>
  <w:style w:type="character" w:styleId="SubtleReference">
    <w:name w:val="Subtle Reference"/>
    <w:basedOn w:val="DefaultParagraphFont"/>
    <w:uiPriority w:val="31"/>
    <w:qFormat w:val="1"/>
    <w:rsid w:val="00CF2717"/>
    <w:rPr>
      <w:smallCaps w:val="1"/>
      <w:color w:val="404040" w:themeColor="text1" w:themeTint="0000BF"/>
      <w:u w:color="7f7f7f" w:themeColor="text1" w:themeTint="000080" w:val="single"/>
    </w:rPr>
  </w:style>
  <w:style w:type="table" w:styleId="TableGrid">
    <w:name w:val="Table Grid"/>
    <w:basedOn w:val="TableNormal"/>
    <w:uiPriority w:val="1"/>
    <w:pPr>
      <w:spacing w:after="0"/>
    </w:pPr>
    <w:rPr>
      <w:rFonts w:cstheme="minorHAnsi"/>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pPr>
      <w:ind w:left="220" w:hanging="220"/>
    </w:pPr>
  </w:style>
  <w:style w:type="paragraph" w:styleId="TOC1">
    <w:name w:val="toc 1"/>
    <w:basedOn w:val="Normal"/>
    <w:next w:val="Normal"/>
    <w:autoRedefine w:val="1"/>
    <w:uiPriority w:val="39"/>
    <w:unhideWhenUsed w:val="1"/>
    <w:pPr>
      <w:tabs>
        <w:tab w:val="right" w:leader="dot" w:pos="8630"/>
      </w:tabs>
      <w:spacing w:after="40" w:before="180"/>
    </w:pPr>
    <w:rPr>
      <w:b w:val="1"/>
      <w:caps w:val="1"/>
      <w:noProof w:val="1"/>
      <w:color w:val="775f55" w:themeColor="text2"/>
    </w:rPr>
  </w:style>
  <w:style w:type="paragraph" w:styleId="TOC2">
    <w:name w:val="toc 2"/>
    <w:basedOn w:val="Normal"/>
    <w:next w:val="Normal"/>
    <w:autoRedefine w:val="1"/>
    <w:uiPriority w:val="39"/>
    <w:unhideWhenUsed w:val="1"/>
    <w:pPr>
      <w:tabs>
        <w:tab w:val="right" w:leader="dot" w:pos="8630"/>
      </w:tabs>
      <w:spacing w:after="40"/>
      <w:ind w:left="144"/>
    </w:pPr>
    <w:rPr>
      <w:noProof w:val="1"/>
    </w:rPr>
  </w:style>
  <w:style w:type="paragraph" w:styleId="TOC3">
    <w:name w:val="toc 3"/>
    <w:basedOn w:val="Normal"/>
    <w:next w:val="Normal"/>
    <w:autoRedefine w:val="1"/>
    <w:uiPriority w:val="39"/>
    <w:unhideWhenUsed w:val="1"/>
    <w:pPr>
      <w:tabs>
        <w:tab w:val="right" w:leader="dot" w:pos="8630"/>
      </w:tabs>
      <w:spacing w:after="40"/>
      <w:ind w:left="288"/>
    </w:pPr>
    <w:rPr>
      <w:noProof w:val="1"/>
    </w:rPr>
  </w:style>
  <w:style w:type="paragraph" w:styleId="TOC4">
    <w:name w:val="toc 4"/>
    <w:basedOn w:val="Normal"/>
    <w:next w:val="Normal"/>
    <w:autoRedefine w:val="1"/>
    <w:uiPriority w:val="99"/>
    <w:semiHidden w:val="1"/>
    <w:unhideWhenUsed w:val="1"/>
    <w:pPr>
      <w:tabs>
        <w:tab w:val="right" w:leader="dot" w:pos="8630"/>
      </w:tabs>
      <w:spacing w:after="40"/>
      <w:ind w:left="432"/>
    </w:pPr>
    <w:rPr>
      <w:noProof w:val="1"/>
    </w:rPr>
  </w:style>
  <w:style w:type="paragraph" w:styleId="TOC5">
    <w:name w:val="toc 5"/>
    <w:basedOn w:val="Normal"/>
    <w:next w:val="Normal"/>
    <w:autoRedefine w:val="1"/>
    <w:uiPriority w:val="99"/>
    <w:semiHidden w:val="1"/>
    <w:unhideWhenUsed w:val="1"/>
    <w:pPr>
      <w:tabs>
        <w:tab w:val="right" w:leader="dot" w:pos="8630"/>
      </w:tabs>
      <w:spacing w:after="40"/>
      <w:ind w:left="576"/>
    </w:pPr>
    <w:rPr>
      <w:noProof w:val="1"/>
    </w:rPr>
  </w:style>
  <w:style w:type="paragraph" w:styleId="TOC6">
    <w:name w:val="toc 6"/>
    <w:basedOn w:val="Normal"/>
    <w:next w:val="Normal"/>
    <w:autoRedefine w:val="1"/>
    <w:uiPriority w:val="99"/>
    <w:semiHidden w:val="1"/>
    <w:unhideWhenUsed w:val="1"/>
    <w:pPr>
      <w:tabs>
        <w:tab w:val="right" w:leader="dot" w:pos="8630"/>
      </w:tabs>
      <w:spacing w:after="40"/>
      <w:ind w:left="720"/>
    </w:pPr>
    <w:rPr>
      <w:noProof w:val="1"/>
    </w:rPr>
  </w:style>
  <w:style w:type="paragraph" w:styleId="TOC7">
    <w:name w:val="toc 7"/>
    <w:basedOn w:val="Normal"/>
    <w:next w:val="Normal"/>
    <w:autoRedefine w:val="1"/>
    <w:uiPriority w:val="99"/>
    <w:semiHidden w:val="1"/>
    <w:unhideWhenUsed w:val="1"/>
    <w:pPr>
      <w:tabs>
        <w:tab w:val="right" w:leader="dot" w:pos="8630"/>
      </w:tabs>
      <w:spacing w:after="40"/>
      <w:ind w:left="864"/>
    </w:pPr>
    <w:rPr>
      <w:noProof w:val="1"/>
    </w:rPr>
  </w:style>
  <w:style w:type="paragraph" w:styleId="TOC8">
    <w:name w:val="toc 8"/>
    <w:basedOn w:val="Normal"/>
    <w:next w:val="Normal"/>
    <w:autoRedefine w:val="1"/>
    <w:uiPriority w:val="99"/>
    <w:semiHidden w:val="1"/>
    <w:unhideWhenUsed w:val="1"/>
    <w:pPr>
      <w:tabs>
        <w:tab w:val="right" w:leader="dot" w:pos="8630"/>
      </w:tabs>
      <w:spacing w:after="40"/>
      <w:ind w:left="1008"/>
    </w:pPr>
    <w:rPr>
      <w:noProof w:val="1"/>
    </w:rPr>
  </w:style>
  <w:style w:type="paragraph" w:styleId="TOC9">
    <w:name w:val="toc 9"/>
    <w:basedOn w:val="Normal"/>
    <w:next w:val="Normal"/>
    <w:autoRedefine w:val="1"/>
    <w:uiPriority w:val="99"/>
    <w:semiHidden w:val="1"/>
    <w:unhideWhenUsed w:val="1"/>
    <w:pPr>
      <w:tabs>
        <w:tab w:val="right" w:leader="dot" w:pos="8630"/>
      </w:tabs>
      <w:spacing w:after="40"/>
      <w:ind w:left="1152"/>
    </w:pPr>
    <w:rPr>
      <w:noProof w:val="1"/>
    </w:rPr>
  </w:style>
  <w:style w:type="paragraph" w:styleId="Category" w:customStyle="1">
    <w:name w:val="Category"/>
    <w:basedOn w:val="Normal"/>
    <w:uiPriority w:val="49"/>
    <w:pPr>
      <w:spacing w:after="0"/>
    </w:pPr>
    <w:rPr>
      <w:b w:val="1"/>
      <w:sz w:val="24"/>
      <w:szCs w:val="24"/>
    </w:rPr>
  </w:style>
  <w:style w:type="paragraph" w:styleId="CompanyName" w:customStyle="1">
    <w:name w:val="Company Name"/>
    <w:basedOn w:val="Normal"/>
    <w:uiPriority w:val="49"/>
    <w:pPr>
      <w:spacing w:after="0"/>
    </w:pPr>
    <w:rPr>
      <w:rFonts w:cstheme="minorHAnsi"/>
      <w:sz w:val="36"/>
      <w:szCs w:val="36"/>
    </w:rPr>
  </w:style>
  <w:style w:type="paragraph" w:styleId="FooterEven" w:customStyle="1">
    <w:name w:val="Footer Even"/>
    <w:basedOn w:val="Normal"/>
    <w:unhideWhenUsed w:val="1"/>
    <w:pPr>
      <w:pBdr>
        <w:top w:color="94b6d2" w:space="1" w:sz="4" w:themeColor="accent1" w:val="single"/>
      </w:pBdr>
    </w:pPr>
    <w:rPr>
      <w:color w:val="775f55" w:themeColor="text2"/>
      <w:sz w:val="20"/>
    </w:rPr>
  </w:style>
  <w:style w:type="paragraph" w:styleId="FooterOdd" w:customStyle="1">
    <w:name w:val="Footer Odd"/>
    <w:basedOn w:val="Normal"/>
    <w:unhideWhenUsed w:val="1"/>
    <w:pPr>
      <w:pBdr>
        <w:top w:color="94b6d2" w:space="1" w:sz="4" w:themeColor="accent1" w:val="single"/>
      </w:pBdr>
      <w:jc w:val="right"/>
    </w:pPr>
    <w:rPr>
      <w:color w:val="775f55" w:themeColor="text2"/>
      <w:sz w:val="20"/>
    </w:rPr>
  </w:style>
  <w:style w:type="paragraph" w:styleId="HeaderEven" w:customStyle="1">
    <w:name w:val="Header Even"/>
    <w:basedOn w:val="Normal"/>
    <w:unhideWhenUsed w:val="1"/>
    <w:pPr>
      <w:pBdr>
        <w:bottom w:color="94b6d2" w:space="1" w:sz="4" w:themeColor="accent1" w:val="single"/>
      </w:pBdr>
      <w:spacing w:after="0"/>
    </w:pPr>
    <w:rPr>
      <w:rFonts w:eastAsia="Times New Roman"/>
      <w:b w:val="1"/>
      <w:color w:val="775f55" w:themeColor="text2"/>
      <w:sz w:val="20"/>
      <w:szCs w:val="24"/>
      <w:lang w:eastAsia="ko-KR"/>
    </w:rPr>
  </w:style>
  <w:style w:type="paragraph" w:styleId="HeaderOdd" w:customStyle="1">
    <w:name w:val="Header Odd"/>
    <w:basedOn w:val="Normal"/>
    <w:unhideWhenUsed w:val="1"/>
    <w:pPr>
      <w:pBdr>
        <w:bottom w:color="94b6d2" w:space="1" w:sz="4" w:themeColor="accent1" w:val="single"/>
      </w:pBdr>
      <w:spacing w:after="0"/>
      <w:jc w:val="right"/>
    </w:pPr>
    <w:rPr>
      <w:rFonts w:eastAsia="Times New Roman"/>
      <w:b w:val="1"/>
      <w:color w:val="775f55" w:themeColor="text2"/>
      <w:sz w:val="20"/>
      <w:szCs w:val="24"/>
      <w:lang w:eastAsia="ko-KR"/>
    </w:rPr>
  </w:style>
  <w:style w:type="paragraph" w:styleId="NoSpacing0" w:customStyle="1">
    <w:name w:val="NoSpacing"/>
    <w:basedOn w:val="Normal"/>
    <w:pPr>
      <w:framePr w:lines="0" w:wrap="auto" w:hAnchor="page" w:xAlign="center" w:yAlign="top"/>
      <w:spacing w:after="0"/>
      <w:suppressOverlap w:val="1"/>
    </w:pPr>
    <w:rPr>
      <w:szCs w:val="120"/>
    </w:rPr>
  </w:style>
  <w:style w:type="table" w:styleId="GridTable4-Accent1">
    <w:name w:val="Grid Table 4 Accent 1"/>
    <w:basedOn w:val="TableNormal"/>
    <w:uiPriority w:val="49"/>
    <w:rsid w:val="00FD6D0D"/>
    <w:pPr>
      <w:spacing w:after="0"/>
    </w:pPr>
    <w:tblPr>
      <w:tblStyleRowBandSize w:val="1"/>
      <w:tblStyleColBandSize w:val="1"/>
      <w:tblBorders>
        <w:top w:color="bed3e4" w:space="0" w:sz="4" w:themeColor="accent1" w:themeTint="000099" w:val="single"/>
        <w:left w:color="bed3e4" w:space="0" w:sz="4" w:themeColor="accent1" w:themeTint="000099" w:val="single"/>
        <w:bottom w:color="bed3e4" w:space="0" w:sz="4" w:themeColor="accent1" w:themeTint="000099" w:val="single"/>
        <w:right w:color="bed3e4" w:space="0" w:sz="4" w:themeColor="accent1" w:themeTint="000099" w:val="single"/>
        <w:insideH w:color="bed3e4" w:space="0" w:sz="4" w:themeColor="accent1" w:themeTint="000099" w:val="single"/>
        <w:insideV w:color="bed3e4" w:space="0" w:sz="4" w:themeColor="accent1" w:themeTint="000099" w:val="single"/>
      </w:tblBorders>
    </w:tblPr>
    <w:tblStylePr w:type="firstRow">
      <w:rPr>
        <w:b w:val="1"/>
        <w:bCs w:val="1"/>
        <w:color w:val="ffffff" w:themeColor="background1"/>
      </w:rPr>
      <w:tblPr/>
      <w:tcPr>
        <w:tcBorders>
          <w:top w:color="94b6d2" w:space="0" w:sz="4" w:themeColor="accent1" w:val="single"/>
          <w:left w:color="94b6d2" w:space="0" w:sz="4" w:themeColor="accent1" w:val="single"/>
          <w:bottom w:color="94b6d2" w:space="0" w:sz="4" w:themeColor="accent1" w:val="single"/>
          <w:right w:color="94b6d2" w:space="0" w:sz="4" w:themeColor="accent1" w:val="single"/>
          <w:insideH w:space="0" w:sz="0" w:val="nil"/>
          <w:insideV w:space="0" w:sz="0" w:val="nil"/>
        </w:tcBorders>
        <w:shd w:color="auto" w:fill="94b6d2" w:themeFill="accent1" w:val="clear"/>
      </w:tcPr>
    </w:tblStylePr>
    <w:tblStylePr w:type="lastRow">
      <w:rPr>
        <w:b w:val="1"/>
        <w:bCs w:val="1"/>
      </w:rPr>
      <w:tblPr/>
      <w:tcPr>
        <w:tcBorders>
          <w:top w:color="94b6d2" w:space="0" w:sz="4" w:themeColor="accent1" w:val="double"/>
        </w:tcBorders>
      </w:tcPr>
    </w:tblStylePr>
    <w:tblStylePr w:type="firstCol">
      <w:rPr>
        <w:b w:val="1"/>
        <w:bCs w:val="1"/>
      </w:rPr>
    </w:tblStylePr>
    <w:tblStylePr w:type="lastCol">
      <w:rPr>
        <w:b w:val="1"/>
        <w:bCs w:val="1"/>
      </w:rPr>
    </w:tblStylePr>
    <w:tblStylePr w:type="band1Vert">
      <w:tblPr/>
      <w:tcPr>
        <w:shd w:color="auto" w:fill="e9f0f6" w:themeFill="accent1" w:themeFillTint="000033" w:val="clear"/>
      </w:tcPr>
    </w:tblStylePr>
    <w:tblStylePr w:type="band1Horz">
      <w:tblPr/>
      <w:tcPr>
        <w:shd w:color="auto" w:fill="e9f0f6" w:themeFill="accent1" w:themeFillTint="000033" w:val="clear"/>
      </w:tcPr>
    </w:tblStylePr>
  </w:style>
  <w:style w:type="paragraph" w:styleId="TOCHeading">
    <w:name w:val="TOC Heading"/>
    <w:basedOn w:val="Heading1"/>
    <w:next w:val="Normal"/>
    <w:uiPriority w:val="39"/>
    <w:unhideWhenUsed w:val="1"/>
    <w:qFormat w:val="1"/>
    <w:rsid w:val="00CF2717"/>
    <w:pPr>
      <w:outlineLvl w:val="9"/>
    </w:pPr>
  </w:style>
  <w:style w:type="paragraph" w:styleId="Revision">
    <w:name w:val="Revision"/>
    <w:hidden w:val="1"/>
    <w:uiPriority w:val="99"/>
    <w:semiHidden w:val="1"/>
    <w:rsid w:val="00852520"/>
    <w:pPr>
      <w:spacing w:after="0"/>
    </w:pPr>
    <w:rPr>
      <w:lang w:eastAsia="ja-JP"/>
    </w:rPr>
  </w:style>
  <w:style w:type="character" w:styleId="CommentReference">
    <w:name w:val="annotation reference"/>
    <w:basedOn w:val="DefaultParagraphFont"/>
    <w:uiPriority w:val="99"/>
    <w:semiHidden w:val="1"/>
    <w:unhideWhenUsed w:val="1"/>
    <w:rsid w:val="00011F35"/>
    <w:rPr>
      <w:sz w:val="16"/>
      <w:szCs w:val="16"/>
    </w:rPr>
  </w:style>
  <w:style w:type="paragraph" w:styleId="CommentText">
    <w:name w:val="annotation text"/>
    <w:basedOn w:val="Normal"/>
    <w:link w:val="CommentTextChar"/>
    <w:uiPriority w:val="99"/>
    <w:unhideWhenUsed w:val="1"/>
    <w:rsid w:val="00011F35"/>
    <w:rPr>
      <w:sz w:val="20"/>
    </w:rPr>
  </w:style>
  <w:style w:type="character" w:styleId="CommentTextChar" w:customStyle="1">
    <w:name w:val="Comment Text Char"/>
    <w:basedOn w:val="DefaultParagraphFont"/>
    <w:link w:val="CommentText"/>
    <w:uiPriority w:val="99"/>
    <w:rsid w:val="00011F35"/>
    <w:rPr>
      <w:sz w:val="20"/>
      <w:lang w:eastAsia="ja-JP"/>
    </w:rPr>
  </w:style>
  <w:style w:type="paragraph" w:styleId="CommentSubject">
    <w:name w:val="annotation subject"/>
    <w:basedOn w:val="CommentText"/>
    <w:next w:val="CommentText"/>
    <w:link w:val="CommentSubjectChar"/>
    <w:uiPriority w:val="99"/>
    <w:semiHidden w:val="1"/>
    <w:unhideWhenUsed w:val="1"/>
    <w:rsid w:val="00011F35"/>
    <w:rPr>
      <w:b w:val="1"/>
      <w:bCs w:val="1"/>
    </w:rPr>
  </w:style>
  <w:style w:type="character" w:styleId="CommentSubjectChar" w:customStyle="1">
    <w:name w:val="Comment Subject Char"/>
    <w:basedOn w:val="CommentTextChar"/>
    <w:link w:val="CommentSubject"/>
    <w:uiPriority w:val="99"/>
    <w:semiHidden w:val="1"/>
    <w:rsid w:val="00011F35"/>
    <w:rPr>
      <w:b w:val="1"/>
      <w:bCs w:val="1"/>
      <w:sz w:val="20"/>
      <w:lang w:eastAsia="ja-JP"/>
    </w:rPr>
  </w:style>
  <w:style w:type="character" w:styleId="apple-converted-space" w:customStyle="1">
    <w:name w:val="apple-converted-space"/>
    <w:basedOn w:val="DefaultParagraphFont"/>
    <w:rsid w:val="002D4294"/>
  </w:style>
  <w:style w:type="table" w:styleId="LightGrid">
    <w:name w:val="Light Grid"/>
    <w:basedOn w:val="TableNormal"/>
    <w:uiPriority w:val="62"/>
    <w:rsid w:val="00E974B4"/>
    <w:pPr>
      <w:spacing w:after="0"/>
    </w:pPr>
    <w:rPr>
      <w:sz w:val="24"/>
      <w:szCs w:val="24"/>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pPr>
    <w:rPr>
      <w:sz w:val="24"/>
      <w:szCs w:val="24"/>
    </w:rPr>
    <w:tblPr>
      <w:tblStyleRowBandSize w:val="1"/>
      <w:tblStyleColBandSize w:val="1"/>
    </w:tblPr>
    <w:tblStylePr w:type="firstRow">
      <w:pPr>
        <w:spacing w:after="0" w:before="0" w:line="240" w:lineRule="auto"/>
      </w:pPr>
      <w:rPr>
        <w:rFonts w:ascii="Twentieth Century" w:cs="Twentieth Century" w:eastAsia="Twentieth Century" w:hAnsi="Twentieth Century"/>
        <w:b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Twentieth Century" w:cs="Twentieth Century" w:eastAsia="Twentieth Century" w:hAnsi="Twentieth Century"/>
        <w:b w:val="1"/>
      </w:rPr>
      <w:tblPr/>
      <w:tcPr>
        <w:tcBorders>
          <w:top w:color="000000" w:space="0" w:sz="6" w:val="sing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Twentieth Century" w:cs="Twentieth Century" w:eastAsia="Twentieth Century" w:hAnsi="Twentieth Century"/>
        <w:b w:val="1"/>
      </w:rPr>
    </w:tblStylePr>
    <w:tblStylePr w:type="lastCol">
      <w:rPr>
        <w:rFonts w:ascii="Twentieth Century" w:cs="Twentieth Century" w:eastAsia="Twentieth Century" w:hAnsi="Twentieth Century"/>
        <w:b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a1" w:customStyle="1">
    <w:basedOn w:val="TableNormal"/>
    <w:pPr>
      <w:spacing w:after="0"/>
    </w:pPr>
    <w:rPr>
      <w:sz w:val="24"/>
      <w:szCs w:val="24"/>
    </w:rPr>
    <w:tblPr>
      <w:tblStyleRowBandSize w:val="1"/>
      <w:tblStyleColBandSize w:val="1"/>
      <w:tblCellMar>
        <w:left w:w="115.0" w:type="dxa"/>
        <w:right w:w="115.0" w:type="dxa"/>
      </w:tblCellMar>
    </w:tblPr>
  </w:style>
  <w:style w:type="table" w:styleId="a2" w:customStyle="1">
    <w:basedOn w:val="TableNormal"/>
    <w:pPr>
      <w:spacing w:after="0"/>
    </w:pPr>
    <w:rPr>
      <w:sz w:val="24"/>
      <w:szCs w:val="24"/>
    </w:rPr>
    <w:tblPr>
      <w:tblStyleRowBandSize w:val="1"/>
      <w:tblStyleColBandSize w:val="1"/>
      <w:tblCellMar>
        <w:left w:w="115.0" w:type="dxa"/>
        <w:right w:w="115.0" w:type="dxa"/>
      </w:tblCellMar>
    </w:tblPr>
    <w:tblStylePr w:type="firstRow">
      <w:pPr>
        <w:spacing w:after="0" w:before="0" w:line="240" w:lineRule="auto"/>
      </w:pPr>
      <w:rPr>
        <w:rFonts w:ascii="Twentieth Century" w:cs="Twentieth Century" w:eastAsia="Twentieth Century" w:hAnsi="Twentieth Century"/>
        <w:b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Twentieth Century" w:cs="Twentieth Century" w:eastAsia="Twentieth Century" w:hAnsi="Twentieth Century"/>
        <w:b w:val="1"/>
      </w:rPr>
      <w:tblPr/>
      <w:tcPr>
        <w:tcBorders>
          <w:top w:color="000000" w:space="0" w:sz="6" w:val="sing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Twentieth Century" w:cs="Twentieth Century" w:eastAsia="Twentieth Century" w:hAnsi="Twentieth Century"/>
        <w:b w:val="1"/>
      </w:rPr>
    </w:tblStylePr>
    <w:tblStylePr w:type="lastCol">
      <w:rPr>
        <w:rFonts w:ascii="Twentieth Century" w:cs="Twentieth Century" w:eastAsia="Twentieth Century" w:hAnsi="Twentieth Century"/>
        <w:b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paragraph" w:styleId="Subtitle">
    <w:name w:val="Subtitle"/>
    <w:basedOn w:val="Normal"/>
    <w:next w:val="Normal"/>
    <w:pPr>
      <w:spacing w:after="0" w:lineRule="auto"/>
      <w:jc w:val="center"/>
    </w:pPr>
    <w:rPr>
      <w:smallCaps w:val="1"/>
      <w:sz w:val="40"/>
      <w:szCs w:val="40"/>
    </w:r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Medi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Median">
      <a:maj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w Cen MT"/>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dian">
      <a:fillStyleLst>
        <a:solidFill>
          <a:schemeClr val="phClr"/>
        </a:solidFill>
        <a:solidFill>
          <a:schemeClr val="phClr">
            <a:tint val="50000"/>
          </a:schemeClr>
        </a:solidFill>
        <a:solidFill>
          <a:schemeClr val="phClr"/>
        </a:solidFill>
      </a:fillStyleLst>
      <a:lnStyleLst>
        <a:ln w="10000" cap="flat" cmpd="sng" algn="ctr">
          <a:solidFill>
            <a:schemeClr val="phClr"/>
          </a:solidFill>
          <a:prstDash val="solid"/>
        </a:ln>
        <a:ln w="19050" cap="flat" cmpd="sng" algn="ctr">
          <a:solidFill>
            <a:schemeClr val="phClr"/>
          </a:solidFill>
          <a:prstDash val="solid"/>
        </a:ln>
        <a:ln w="47625" cap="flat" cmpd="dbl" algn="ctr">
          <a:solidFill>
            <a:schemeClr val="phClr"/>
          </a:solidFill>
          <a:prstDash val="solid"/>
        </a:ln>
      </a:lnStyleLst>
      <a:effectStyleLst>
        <a:effectStyle>
          <a:effectLst>
            <a:outerShdw blurRad="38100" dist="30000" dir="5400000" rotWithShape="0">
              <a:srgbClr val="000000">
                <a:alpha val="45000"/>
              </a:srgbClr>
            </a:outerShdw>
          </a:effectLst>
        </a:effectStyle>
        <a:effectStyle>
          <a:effectLst>
            <a:outerShdw blurRad="38100" dist="30000" dir="5400000" rotWithShape="0">
              <a:srgbClr val="000000">
                <a:alpha val="45000"/>
              </a:srgbClr>
            </a:outerShdw>
          </a:effectLst>
        </a:effectStyle>
        <a:effectStyle>
          <a:effectLst>
            <a:outerShdw blurRad="38100" dist="25400" dir="5400000" rotWithShape="0">
              <a:srgbClr val="000000">
                <a:alpha val="35000"/>
              </a:srgbClr>
            </a:outerShdw>
          </a:effectLst>
          <a:scene3d>
            <a:camera prst="isometricTopDown" fov="0">
              <a:rot lat="0" lon="0" rev="0"/>
            </a:camera>
            <a:lightRig rig="balanced" dir="t">
              <a:rot lat="0" lon="0" rev="13800000"/>
            </a:lightRig>
          </a:scene3d>
          <a:sp3d extrusionH="12700" prstMaterial="plastic">
            <a:bevelT w="38100" h="25400" prst="softRound"/>
            <a:contourClr>
              <a:schemeClr val="phClr"/>
            </a:contourClr>
          </a:sp3d>
        </a:effectStyle>
      </a:effectStyleLst>
      <a:bgFillStyleLst>
        <a:solidFill>
          <a:schemeClr val="phClr"/>
        </a:solidFill>
        <a:blipFill>
          <a:blip xmlns:r="http://schemas.openxmlformats.org/officeDocument/2006/relationships" r:embed="rId1">
            <a:duotone>
              <a:schemeClr val="phClr">
                <a:shade val="90000"/>
                <a:satMod val="140000"/>
              </a:schemeClr>
              <a:schemeClr val="phClr">
                <a:satMod val="120000"/>
              </a:schemeClr>
            </a:duotone>
          </a:blip>
          <a:tile tx="0" ty="0" sx="100000" sy="100000" flip="none" algn="tl"/>
        </a:blipFill>
        <a:blipFill>
          <a:blip xmlns:r="http://schemas.openxmlformats.org/officeDocument/2006/relationships" r:embed="rId2">
            <a:duotone>
              <a:schemeClr val="phClr">
                <a:shade val="90000"/>
                <a:satMod val="140000"/>
              </a:schemeClr>
              <a:schemeClr val="phClr">
                <a:satMod val="12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uo5CZYHdPo77gf+k324DFzZEhA==">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2023-08-24T20:38:00Z</dcterms:created>
  <dc:creator>Kelvin Espinal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TC017730709991</vt:lpwstr>
  </property>
</Properties>
</file>