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E40AF"/>
          <w:sz w:val="52"/>
          <w:szCs w:val="52"/>
        </w:rPr>
        <w:t xml:space="preserve">SEO Blog Posts</w:t>
      </w:r>
    </w:p>
    <w:p>
      <w:pPr>
        <w:spacing w:after="200"/>
        <w:jc w:val="center"/>
      </w:pPr>
      <w:r>
        <w:rPr>
          <w:color w:val="4B5563"/>
          <w:sz w:val="26"/>
          <w:szCs w:val="26"/>
        </w:rPr>
        <w:t xml:space="preserve">Developer-Focused Content for TaxFormatter API Launch</w:t>
      </w:r>
    </w:p>
    <w:p>
      <w:pPr>
        <w:jc w:val="center"/>
      </w:pPr>
      <w:r>
        <w:rPr>
          <w:color w:val="9CA3AF"/>
          <w:sz w:val="22"/>
          <w:szCs w:val="22"/>
        </w:rPr>
        <w:t xml:space="preserve">April 2026</w:t>
      </w:r>
    </w:p>
    <w:p>
      <w:r>
        <w:br w:type="page"/>
      </w:r>
    </w:p>
    <w:p>
      <w:pPr>
        <w:pStyle w:val="Heading1"/>
      </w:pPr>
      <w:r>
        <w:t xml:space="preserve">Blog Post 1: How to Parse Bank Statements Programmatically</w:t>
      </w:r>
    </w:p>
    <w:p>
      <w:pPr>
        <w:spacing w:after="80"/>
      </w:pPr>
      <w:r>
        <w:rPr>
          <w:b/>
          <w:bCs/>
          <w:i/>
          <w:iCs/>
          <w:color w:val="4B5563"/>
          <w:sz w:val="20"/>
          <w:szCs w:val="20"/>
        </w:rPr>
        <w:t xml:space="preserve">Target keyword: </w:t>
      </w:r>
      <w:r>
        <w:rPr>
          <w:i/>
          <w:iCs/>
          <w:color w:val="4B5563"/>
          <w:sz w:val="20"/>
          <w:szCs w:val="20"/>
        </w:rPr>
        <w:t xml:space="preserve">"parse bank statement programmatically", "bank statement parsing API"</w:t>
      </w:r>
    </w:p>
    <w:p>
      <w:pPr>
        <w:spacing w:after="80"/>
      </w:pPr>
      <w:r>
        <w:rPr>
          <w:i/>
          <w:iCs/>
          <w:color w:val="4B5563"/>
          <w:sz w:val="20"/>
          <w:szCs w:val="20"/>
        </w:rPr>
        <w:t xml:space="preserve">Word count: ~1,200 | Reading time: 5 min</w:t>
      </w:r>
    </w:p>
    <w:p>
      <w:pPr>
        <w:spacing w:after="160" w:before="200"/>
      </w:pPr>
      <w:r>
        <w:t xml:space="preserve">If you’re building a fintech app, accounting tool, or lending platform, you’ve probably hit this wall: your users need to upload bank statements, and you need structured data. The problem is that every bank exports PDFs differently. Chase uses table layouts. Mercury uses text with Unicode minus signs. Navy Federal puts trailing minus signs on debits. And that’s just three banks.</w:t>
      </w:r>
    </w:p>
    <w:p>
      <w:pPr>
        <w:spacing w:after="160"/>
      </w:pPr>
      <w:r>
        <w:t xml:space="preserve">There are a few approaches to extracting transactions from bank statement PDFs, each with different trade-offs.</w:t>
      </w:r>
    </w:p>
    <w:p>
      <w:pPr>
        <w:pStyle w:val="Heading2"/>
      </w:pPr>
      <w:r>
        <w:t xml:space="preserve">Approach 1: Build Your Own Parser</w:t>
      </w:r>
    </w:p>
    <w:p>
      <w:pPr>
        <w:spacing w:after="160"/>
      </w:pPr>
      <w:r>
        <w:t xml:space="preserve">You can use pdfplumber (Python) or pdf.js (Node) to extract text and tables from PDFs, then write regex patterns and heuristics for each bank. This gives you full control, but the maintenance burden grows fast. Each bank has its own date format, column layout, and quirks. When a bank updates their statement format, your parser breaks. If you support 10 banks, you’re maintaining 10 parsers.</w:t>
      </w:r>
    </w:p>
    <w:p>
      <w:pPr>
        <w:pStyle w:val="Heading2"/>
      </w:pPr>
      <w:r>
        <w:t xml:space="preserve">Approach 2: Generic OCR (Veryfi, Mindee, Azure)</w:t>
      </w:r>
    </w:p>
    <w:p>
      <w:pPr>
        <w:spacing w:after="160"/>
      </w:pPr>
      <w:r>
        <w:t xml:space="preserve">OCR APIs like Veryfi, Mindee, and Microsoft Document Intelligence can extract text from any PDF. But bank statements aren’t receipts — they have multi-page tables, running balances, statement summaries mixed with transaction data, and bank-specific formatting. Generic OCR often misaligns columns, merges rows, or misses negative amounts. You still end up writing post-processing logic per bank.</w:t>
      </w:r>
    </w:p>
    <w:p>
      <w:pPr>
        <w:pStyle w:val="Heading2"/>
      </w:pPr>
      <w:r>
        <w:t xml:space="preserve">Approach 3: Bank-Specific Parsing API</w:t>
      </w:r>
    </w:p>
    <w:p>
      <w:pPr>
        <w:spacing w:after="160"/>
      </w:pPr>
      <w:r>
        <w:t xml:space="preserve">This is the approach TaxFormatter takes. Instead of generic OCR, the engine has bank-specific parsers driven by YAML configs. Each config defines the bank’s fingerprint (logo patterns, header text, unique markers), date format, column mapping, and extraction strategy (table-first with text fallback). The API auto-detects which bank issued the statement and applies the right parser.</w:t>
      </w:r>
    </w:p>
    <w:p>
      <w:pPr>
        <w:pStyle w:val="Heading2"/>
      </w:pPr>
      <w:r>
        <w:t xml:space="preserve">How It Works</w:t>
      </w:r>
    </w:p>
    <w:p>
      <w:pPr>
        <w:spacing w:after="160"/>
      </w:pPr>
      <w:r>
        <w:t xml:space="preserve">A single API call handles the entire pipeline:</w:t>
      </w:r>
    </w:p>
    <w:p>
      <w:pPr>
        <w:spacing w:after="120"/>
      </w:pPr>
      <w:r>
        <w:rPr>
          <w:rFonts w:ascii="Courier New" w:cs="Courier New" w:eastAsia="Courier New" w:hAnsi="Courier New"/>
          <w:sz w:val="20"/>
          <w:szCs w:val="20"/>
        </w:rPr>
        <w:t xml:space="preserve">curl -X POST https://api.taxformatter.com/v1/parse \</w:t>
      </w:r>
    </w:p>
    <w:p>
      <w:pPr>
        <w:spacing w:after="120"/>
      </w:pPr>
      <w:r>
        <w:rPr>
          <w:rFonts w:ascii="Courier New" w:cs="Courier New" w:eastAsia="Courier New" w:hAnsi="Courier New"/>
          <w:sz w:val="20"/>
          <w:szCs w:val="20"/>
        </w:rPr>
        <w:t xml:space="preserve">  -H "X-API-Key: tf_live_your_key" \</w:t>
      </w:r>
    </w:p>
    <w:p>
      <w:pPr>
        <w:spacing w:after="120"/>
      </w:pPr>
      <w:r>
        <w:rPr>
          <w:rFonts w:ascii="Courier New" w:cs="Courier New" w:eastAsia="Courier New" w:hAnsi="Courier New"/>
          <w:sz w:val="20"/>
          <w:szCs w:val="20"/>
        </w:rPr>
        <w:t xml:space="preserve">  -H "Content-Type: application/json" \</w:t>
      </w:r>
    </w:p>
    <w:p>
      <w:pPr>
        <w:spacing w:after="160"/>
      </w:pPr>
      <w:r>
        <w:rPr>
          <w:rFonts w:ascii="Courier New" w:cs="Courier New" w:eastAsia="Courier New" w:hAnsi="Courier New"/>
          <w:sz w:val="20"/>
          <w:szCs w:val="20"/>
        </w:rPr>
        <w:t xml:space="preserve">  -d '{"file": "&lt;base64&gt;", "filename": "chase-jan.pdf"}'</w:t>
      </w:r>
    </w:p>
    <w:p>
      <w:pPr>
        <w:spacing w:after="160"/>
      </w:pPr>
      <w:r>
        <w:t xml:space="preserve">The response includes the detected bank, a transactions array with normalized dates and amounts, and metadata like account number (last 4 digits) and statement period. Processing takes under 2 seconds for most statements.</w:t>
      </w:r>
    </w:p>
    <w:p>
      <w:pPr>
        <w:pStyle w:val="Heading2"/>
      </w:pPr>
      <w:r>
        <w:t xml:space="preserve">When to Build vs. Buy</w:t>
      </w:r>
    </w:p>
    <w:p>
      <w:pPr>
        <w:spacing w:after="160"/>
      </w:pPr>
      <w:r>
        <w:t xml:space="preserve">If you only need to support one bank and have engineering time to maintain it, building your own parser is reasonable. If you need to support multiple banks, handle format changes gracefully, and ship faster, an API like TaxFormatter saves weeks of development and ongoing maintenance.</w:t>
      </w:r>
    </w:p>
    <w:p>
      <w:pPr>
        <w:spacing w:after="160"/>
      </w:pPr>
      <w:r>
        <w:rPr>
          <w:b/>
          <w:bCs/>
        </w:rPr>
        <w:t xml:space="preserve">Try it free: </w:t>
      </w:r>
      <w:r>
        <w:t xml:space="preserve">taxformatter.com/upload lets you test with any bank statement PDF, no signup required. The API starts at $29/month for 100 files.</w:t>
      </w:r>
    </w:p>
    <w:p>
      <w:r>
        <w:br w:type="page"/>
      </w:r>
    </w:p>
    <w:p>
      <w:pPr>
        <w:pStyle w:val="Heading1"/>
      </w:pPr>
      <w:r>
        <w:t xml:space="preserve">Blog Post 2: Bank Statement Parsing API Comparison (2026)</w:t>
      </w:r>
    </w:p>
    <w:p>
      <w:pPr>
        <w:spacing w:after="80"/>
      </w:pPr>
      <w:r>
        <w:rPr>
          <w:b/>
          <w:bCs/>
          <w:i/>
          <w:iCs/>
          <w:color w:val="4B5563"/>
          <w:sz w:val="20"/>
          <w:szCs w:val="20"/>
        </w:rPr>
        <w:t xml:space="preserve">Target keyword: </w:t>
      </w:r>
      <w:r>
        <w:rPr>
          <w:i/>
          <w:iCs/>
          <w:color w:val="4B5563"/>
          <w:sz w:val="20"/>
          <w:szCs w:val="20"/>
        </w:rPr>
        <w:t xml:space="preserve">"bank statement parsing API", "bank statement API comparison"</w:t>
      </w:r>
    </w:p>
    <w:p>
      <w:pPr>
        <w:spacing w:after="80"/>
      </w:pPr>
      <w:r>
        <w:rPr>
          <w:i/>
          <w:iCs/>
          <w:color w:val="4B5563"/>
          <w:sz w:val="20"/>
          <w:szCs w:val="20"/>
        </w:rPr>
        <w:t xml:space="preserve">Word count: ~1,000 | Reading time: 4 min</w:t>
      </w:r>
    </w:p>
    <w:p>
      <w:pPr>
        <w:spacing w:after="160" w:before="200"/>
      </w:pPr>
      <w:r>
        <w:t xml:space="preserve">If you’re evaluating bank statement parsing APIs for your app, here’s a practical comparison of the main options available in 2026. Each takes a different approach, and the right choice depends on your volume, bank coverage needs, and whether you also need crypto exchange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2000"/>
        <w:gridCol w:w="1960"/>
      </w:tblGrid>
      <w:tr>
        <w:tc>
          <w:tcPr>
            <w:tcW w:type="dxa" w:w="1800"/>
            <w:tcBorders>
              <w:top w:val="single" w:color="D1D5DB" w:sz="1"/>
              <w:left w:val="single" w:color="D1D5DB" w:sz="1"/>
              <w:bottom w:val="single" w:color="D1D5DB" w:sz="1"/>
              <w:right w:val="single" w:color="D1D5DB" w:sz="1"/>
            </w:tcBorders>
            <w:shd w:fill="E5E7EB" w:val="clear"/>
            <w:tcMar>
              <w:top w:type="dxa" w:w="60"/>
              <w:left w:type="dxa" w:w="100"/>
              <w:bottom w:type="dxa" w:w="60"/>
              <w:right w:type="dxa" w:w="100"/>
            </w:tcMar>
          </w:tcPr>
          <w:p>
            <w:r>
              <w:rPr>
                <w:b/>
                <w:bCs/>
                <w:sz w:val="20"/>
                <w:szCs w:val="20"/>
              </w:rPr>
              <w:t xml:space="preserve">Provider</w:t>
            </w:r>
          </w:p>
        </w:tc>
        <w:tc>
          <w:tcPr>
            <w:tcW w:type="dxa" w:w="1800"/>
            <w:tcBorders>
              <w:top w:val="single" w:color="D1D5DB" w:sz="1"/>
              <w:left w:val="single" w:color="D1D5DB" w:sz="1"/>
              <w:bottom w:val="single" w:color="D1D5DB" w:sz="1"/>
              <w:right w:val="single" w:color="D1D5DB" w:sz="1"/>
            </w:tcBorders>
            <w:shd w:fill="E5E7EB" w:val="clear"/>
            <w:tcMar>
              <w:top w:type="dxa" w:w="60"/>
              <w:left w:type="dxa" w:w="100"/>
              <w:bottom w:type="dxa" w:w="60"/>
              <w:right w:type="dxa" w:w="100"/>
            </w:tcMar>
          </w:tcPr>
          <w:p>
            <w:r>
              <w:rPr>
                <w:b/>
                <w:bCs/>
                <w:sz w:val="20"/>
                <w:szCs w:val="20"/>
              </w:rPr>
              <w:t xml:space="preserve">Approach</w:t>
            </w:r>
          </w:p>
        </w:tc>
        <w:tc>
          <w:tcPr>
            <w:tcW w:type="dxa" w:w="1800"/>
            <w:tcBorders>
              <w:top w:val="single" w:color="D1D5DB" w:sz="1"/>
              <w:left w:val="single" w:color="D1D5DB" w:sz="1"/>
              <w:bottom w:val="single" w:color="D1D5DB" w:sz="1"/>
              <w:right w:val="single" w:color="D1D5DB" w:sz="1"/>
            </w:tcBorders>
            <w:shd w:fill="E5E7EB" w:val="clear"/>
            <w:tcMar>
              <w:top w:type="dxa" w:w="60"/>
              <w:left w:type="dxa" w:w="100"/>
              <w:bottom w:type="dxa" w:w="60"/>
              <w:right w:type="dxa" w:w="100"/>
            </w:tcMar>
          </w:tcPr>
          <w:p>
            <w:r>
              <w:rPr>
                <w:b/>
                <w:bCs/>
                <w:sz w:val="20"/>
                <w:szCs w:val="20"/>
              </w:rPr>
              <w:t xml:space="preserve">Starting Price</w:t>
            </w:r>
          </w:p>
        </w:tc>
        <w:tc>
          <w:tcPr>
            <w:tcW w:type="dxa" w:w="2000"/>
            <w:tcBorders>
              <w:top w:val="single" w:color="D1D5DB" w:sz="1"/>
              <w:left w:val="single" w:color="D1D5DB" w:sz="1"/>
              <w:bottom w:val="single" w:color="D1D5DB" w:sz="1"/>
              <w:right w:val="single" w:color="D1D5DB" w:sz="1"/>
            </w:tcBorders>
            <w:shd w:fill="E5E7EB" w:val="clear"/>
            <w:tcMar>
              <w:top w:type="dxa" w:w="60"/>
              <w:left w:type="dxa" w:w="100"/>
              <w:bottom w:type="dxa" w:w="60"/>
              <w:right w:type="dxa" w:w="100"/>
            </w:tcMar>
          </w:tcPr>
          <w:p>
            <w:r>
              <w:rPr>
                <w:b/>
                <w:bCs/>
                <w:sz w:val="20"/>
                <w:szCs w:val="20"/>
              </w:rPr>
              <w:t xml:space="preserve">Bank Coverage</w:t>
            </w:r>
          </w:p>
        </w:tc>
        <w:tc>
          <w:tcPr>
            <w:tcW w:type="dxa" w:w="1960"/>
            <w:tcBorders>
              <w:top w:val="single" w:color="D1D5DB" w:sz="1"/>
              <w:left w:val="single" w:color="D1D5DB" w:sz="1"/>
              <w:bottom w:val="single" w:color="D1D5DB" w:sz="1"/>
              <w:right w:val="single" w:color="D1D5DB" w:sz="1"/>
            </w:tcBorders>
            <w:shd w:fill="E5E7EB" w:val="clear"/>
            <w:tcMar>
              <w:top w:type="dxa" w:w="60"/>
              <w:left w:type="dxa" w:w="100"/>
              <w:bottom w:type="dxa" w:w="60"/>
              <w:right w:type="dxa" w:w="100"/>
            </w:tcMar>
          </w:tcPr>
          <w:p>
            <w:r>
              <w:rPr>
                <w:b/>
                <w:bCs/>
                <w:sz w:val="20"/>
                <w:szCs w:val="20"/>
              </w:rPr>
              <w:t xml:space="preserve">Crypto Support</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TaxFormatter</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Bank-specific parsers</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$29/mo (100 files)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7+ US banks</w:t>
            </w:r>
          </w:p>
        </w:tc>
        <w:tc>
          <w:tcPr>
            <w:tcW w:type="dxa" w:w="1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14 exchanges</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DocuClipper</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PDF to Excel/CSV</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$29/mo (60 pages)</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Broad (generic)</w:t>
            </w:r>
          </w:p>
        </w:tc>
        <w:tc>
          <w:tcPr>
            <w:tcW w:type="dxa" w:w="1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No</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Veryfi</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OCR → JSON</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Per-page pricing</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Generic OCR</w:t>
            </w:r>
          </w:p>
        </w:tc>
        <w:tc>
          <w:tcPr>
            <w:tcW w:type="dxa" w:w="1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No</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Mindee</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OCR API</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$0.01–$0.10/page</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Multiple doc types</w:t>
            </w:r>
          </w:p>
        </w:tc>
        <w:tc>
          <w:tcPr>
            <w:tcW w:type="dxa" w:w="1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No</w:t>
            </w:r>
          </w:p>
        </w:tc>
      </w:tr>
      <w:tr>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Azure Doc Intel</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Microsoft OCR</w:t>
            </w:r>
          </w:p>
        </w:tc>
        <w:tc>
          <w:tcPr>
            <w:tcW w:type="dxa" w:w="18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Pay-per-page</w:t>
            </w:r>
          </w:p>
        </w:tc>
        <w:tc>
          <w:tcPr>
            <w:tcW w:type="dxa" w:w="200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US banks</w:t>
            </w:r>
          </w:p>
        </w:tc>
        <w:tc>
          <w:tcPr>
            <w:tcW w:type="dxa" w:w="1960"/>
            <w:tcBorders>
              <w:top w:val="single" w:color="D1D5DB" w:sz="1"/>
              <w:left w:val="single" w:color="D1D5DB" w:sz="1"/>
              <w:bottom w:val="single" w:color="D1D5DB" w:sz="1"/>
              <w:right w:val="single" w:color="D1D5DB" w:sz="1"/>
            </w:tcBorders>
            <w:tcMar>
              <w:top w:type="dxa" w:w="60"/>
              <w:left w:type="dxa" w:w="100"/>
              <w:bottom w:type="dxa" w:w="60"/>
              <w:right w:type="dxa" w:w="100"/>
            </w:tcMar>
          </w:tcPr>
          <w:p>
            <w:r>
              <w:rPr>
                <w:b w:val="false"/>
                <w:bCs w:val="false"/>
                <w:sz w:val="20"/>
                <w:szCs w:val="20"/>
              </w:rPr>
              <w:t xml:space="preserve">No</w:t>
            </w:r>
          </w:p>
        </w:tc>
      </w:tr>
    </w:tbl>
    <w:p>
      <w:pPr>
        <w:spacing w:after="160" w:before="200"/>
      </w:pPr>
    </w:p>
    <w:p>
      <w:pPr>
        <w:pStyle w:val="Heading2"/>
      </w:pPr>
      <w:r>
        <w:t xml:space="preserve">Key Differences</w:t>
      </w:r>
    </w:p>
    <w:p>
      <w:pPr>
        <w:spacing w:after="160"/>
      </w:pPr>
      <w:r>
        <w:rPr>
          <w:b/>
          <w:bCs/>
        </w:rPr>
        <w:t xml:space="preserve">Generic OCR vs. bank-specific parsing. </w:t>
      </w:r>
      <w:r>
        <w:t xml:space="preserve">Most competitors use generic OCR, which works for simple documents but struggles with multi-page bank statements. TaxFormatter uses bank-specific parsers that understand each bank’s exact format — table layouts, date formats, how negatives are represented. This means higher accuracy but coverage is limited to explicitly supported banks.</w:t>
      </w:r>
    </w:p>
    <w:p>
      <w:pPr>
        <w:spacing w:after="160"/>
      </w:pPr>
      <w:r>
        <w:rPr>
          <w:b/>
          <w:bCs/>
        </w:rPr>
        <w:t xml:space="preserve">Crypto + bank in one API. </w:t>
      </w:r>
      <w:r>
        <w:t xml:space="preserve">TaxFormatter is the only option on this list that handles both bank statement PDFs and crypto exchange CSVs. If your app needs to ingest both (common for accounting firms and personal finance apps), you use one API instead of two.</w:t>
      </w:r>
    </w:p>
    <w:p>
      <w:pPr>
        <w:spacing w:after="160"/>
      </w:pPr>
      <w:r>
        <w:rPr>
          <w:b/>
          <w:bCs/>
        </w:rPr>
        <w:t xml:space="preserve">AI agent support. </w:t>
      </w:r>
      <w:r>
        <w:t xml:space="preserve">TaxFormatter ships an MCP server (@taxformatter/mcp-server) for AI agents in Claude, Cursor, and Windsurf. None of the other providers currently offer native AI agent integration.</w:t>
      </w:r>
    </w:p>
    <w:p>
      <w:pPr>
        <w:spacing w:after="160"/>
      </w:pPr>
      <w:r>
        <w:rPr>
          <w:b/>
          <w:bCs/>
        </w:rPr>
        <w:t xml:space="preserve">Pricing. </w:t>
      </w:r>
      <w:r>
        <w:t xml:space="preserve">TaxFormatter offers 100 files for $29/month vs. DocuClipper’s 60 pages at the same price point. At higher volumes, TaxFormatter’s per-file cost drops to $0.12 (Business tier) while competitors remain flat or require enterprise contracts.</w:t>
      </w:r>
    </w:p>
    <w:p>
      <w:pPr>
        <w:pStyle w:val="Heading2"/>
      </w:pPr>
      <w:r>
        <w:t xml:space="preserve">Bottom Line</w:t>
      </w:r>
    </w:p>
    <w:p>
      <w:pPr>
        <w:spacing w:after="160"/>
      </w:pPr>
      <w:r>
        <w:t xml:space="preserve">Choose generic OCR (Veryfi, Mindee) if you need broad document type coverage beyond bank statements. Choose DocuClipper if you specifically need accounting software integrations. Choose TaxFormatter if you need high-accuracy bank-specific parsing, crypto exchange support, or AI agent integration.</w:t>
      </w:r>
    </w:p>
    <w:p>
      <w:r>
        <w:br w:type="page"/>
      </w:r>
    </w:p>
    <w:p>
      <w:pPr>
        <w:pStyle w:val="Heading1"/>
      </w:pPr>
      <w:r>
        <w:t xml:space="preserve">Blog Post 3: Building an AI Accounting Agent with MCP</w:t>
      </w:r>
    </w:p>
    <w:p>
      <w:pPr>
        <w:spacing w:after="80"/>
      </w:pPr>
      <w:r>
        <w:rPr>
          <w:b/>
          <w:bCs/>
          <w:i/>
          <w:iCs/>
          <w:color w:val="4B5563"/>
          <w:sz w:val="20"/>
          <w:szCs w:val="20"/>
        </w:rPr>
        <w:t xml:space="preserve">Target keyword: </w:t>
      </w:r>
      <w:r>
        <w:rPr>
          <w:i/>
          <w:iCs/>
          <w:color w:val="4B5563"/>
          <w:sz w:val="20"/>
          <w:szCs w:val="20"/>
        </w:rPr>
        <w:t xml:space="preserve">"MCP server financial data", "AI accounting agent"</w:t>
      </w:r>
    </w:p>
    <w:p>
      <w:pPr>
        <w:spacing w:after="80"/>
      </w:pPr>
      <w:r>
        <w:rPr>
          <w:i/>
          <w:iCs/>
          <w:color w:val="4B5563"/>
          <w:sz w:val="20"/>
          <w:szCs w:val="20"/>
        </w:rPr>
        <w:t xml:space="preserve">Word count: ~900 | Reading time: 4 min</w:t>
      </w:r>
    </w:p>
    <w:p>
      <w:pPr>
        <w:spacing w:after="160" w:before="200"/>
      </w:pPr>
      <w:r>
        <w:t xml:space="preserve">Model Context Protocol (MCP) lets AI assistants call external tools. If you’re building an AI-powered accounting workflow — something where a user says “parse my Coinbase transactions” and gets structured data back — MCP is how you connect the AI to your data pipeline.</w:t>
      </w:r>
    </w:p>
    <w:p>
      <w:pPr>
        <w:spacing w:after="160"/>
      </w:pPr>
      <w:r>
        <w:t xml:space="preserve">TaxFormatter ships an MCP server that exposes three tools to any MCP-compatible AI client (Claude Desktop, Claude Code, Cursor, Windsurf):</w:t>
      </w:r>
    </w:p>
    <w:p>
      <w:pPr>
        <w:pStyle w:val="ListParagraph"/>
        <w:numPr>
          <w:ilvl w:val="0"/>
          <w:numId w:val="2"/>
        </w:numPr>
        <w:spacing w:after="100"/>
      </w:pPr>
      <w:r>
        <w:rPr>
          <w:rFonts w:ascii="Courier New" w:cs="Courier New" w:eastAsia="Courier New" w:hAnsi="Courier New"/>
          <w:b/>
          <w:bCs/>
          <w:sz w:val="20"/>
          <w:szCs w:val="20"/>
        </w:rPr>
        <w:t xml:space="preserve">parse_crypto_csv</w:t>
      </w:r>
      <w:r>
        <w:rPr>
          <w:sz w:val="22"/>
          <w:szCs w:val="22"/>
        </w:rPr>
        <w:t xml:space="preserve"> — Parse any crypto exchange CSV into structured transactions</w:t>
      </w:r>
    </w:p>
    <w:p>
      <w:pPr>
        <w:pStyle w:val="ListParagraph"/>
        <w:numPr>
          <w:ilvl w:val="0"/>
          <w:numId w:val="2"/>
        </w:numPr>
        <w:spacing w:after="100"/>
      </w:pPr>
      <w:r>
        <w:rPr>
          <w:rFonts w:ascii="Courier New" w:cs="Courier New" w:eastAsia="Courier New" w:hAnsi="Courier New"/>
          <w:b/>
          <w:bCs/>
          <w:sz w:val="20"/>
          <w:szCs w:val="20"/>
        </w:rPr>
        <w:t xml:space="preserve">parse_bank_statement</w:t>
      </w:r>
      <w:r>
        <w:rPr>
          <w:sz w:val="22"/>
          <w:szCs w:val="22"/>
        </w:rPr>
        <w:t xml:space="preserve"> — Extract transactions from bank statement PDFs</w:t>
      </w:r>
    </w:p>
    <w:p>
      <w:pPr>
        <w:pStyle w:val="ListParagraph"/>
        <w:numPr>
          <w:ilvl w:val="0"/>
          <w:numId w:val="2"/>
        </w:numPr>
        <w:spacing w:after="100"/>
      </w:pPr>
      <w:r>
        <w:rPr>
          <w:rFonts w:ascii="Courier New" w:cs="Courier New" w:eastAsia="Courier New" w:hAnsi="Courier New"/>
          <w:b/>
          <w:bCs/>
          <w:sz w:val="20"/>
          <w:szCs w:val="20"/>
        </w:rPr>
        <w:t xml:space="preserve">list_supported_sources</w:t>
      </w:r>
      <w:r>
        <w:rPr>
          <w:sz w:val="22"/>
          <w:szCs w:val="22"/>
        </w:rPr>
        <w:t xml:space="preserve"> — Query supported exchanges, banks, and output formats</w:t>
      </w:r>
    </w:p>
    <w:p>
      <w:pPr>
        <w:pStyle w:val="Heading2"/>
      </w:pPr>
      <w:r>
        <w:t xml:space="preserve">Setup</w:t>
      </w:r>
    </w:p>
    <w:p>
      <w:pPr>
        <w:spacing w:after="160"/>
      </w:pPr>
      <w:r>
        <w:t xml:space="preserve">Add TaxFormatter to your Claude Desktop config (claude_desktop_config.json):</w:t>
      </w:r>
    </w:p>
    <w:p>
      <w:pPr>
        <w:spacing w:after="80"/>
      </w:pPr>
      <w:r>
        <w:rPr>
          <w:rFonts w:ascii="Courier New" w:cs="Courier New" w:eastAsia="Courier New" w:hAnsi="Courier New"/>
          <w:sz w:val="20"/>
          <w:szCs w:val="20"/>
        </w:rPr>
        <w:t xml:space="preserve">{</w:t>
      </w:r>
    </w:p>
    <w:p>
      <w:pPr>
        <w:spacing w:after="80"/>
      </w:pPr>
      <w:r>
        <w:rPr>
          <w:rFonts w:ascii="Courier New" w:cs="Courier New" w:eastAsia="Courier New" w:hAnsi="Courier New"/>
          <w:sz w:val="20"/>
          <w:szCs w:val="20"/>
        </w:rPr>
        <w:t xml:space="preserve">  "mcpServers": {</w:t>
      </w:r>
    </w:p>
    <w:p>
      <w:pPr>
        <w:spacing w:after="80"/>
      </w:pPr>
      <w:r>
        <w:rPr>
          <w:rFonts w:ascii="Courier New" w:cs="Courier New" w:eastAsia="Courier New" w:hAnsi="Courier New"/>
          <w:sz w:val="20"/>
          <w:szCs w:val="20"/>
        </w:rPr>
        <w:t xml:space="preserve">    "taxformatter": {</w:t>
      </w:r>
    </w:p>
    <w:p>
      <w:pPr>
        <w:spacing w:after="80"/>
      </w:pPr>
      <w:r>
        <w:rPr>
          <w:rFonts w:ascii="Courier New" w:cs="Courier New" w:eastAsia="Courier New" w:hAnsi="Courier New"/>
          <w:sz w:val="20"/>
          <w:szCs w:val="20"/>
        </w:rPr>
        <w:t xml:space="preserve">      "command": "npx",</w:t>
      </w:r>
    </w:p>
    <w:p>
      <w:pPr>
        <w:spacing w:after="80"/>
      </w:pPr>
      <w:r>
        <w:rPr>
          <w:rFonts w:ascii="Courier New" w:cs="Courier New" w:eastAsia="Courier New" w:hAnsi="Courier New"/>
          <w:sz w:val="20"/>
          <w:szCs w:val="20"/>
        </w:rPr>
        <w:t xml:space="preserve">      "args": ["@taxformatter/mcp-server"],</w:t>
      </w:r>
    </w:p>
    <w:p>
      <w:pPr>
        <w:spacing w:after="80"/>
      </w:pPr>
      <w:r>
        <w:rPr>
          <w:rFonts w:ascii="Courier New" w:cs="Courier New" w:eastAsia="Courier New" w:hAnsi="Courier New"/>
          <w:sz w:val="20"/>
          <w:szCs w:val="20"/>
        </w:rPr>
        <w:t xml:space="preserve">      "env": { "TAXFORMATTER_API_KEY": "tf_live_..." }</w:t>
      </w:r>
    </w:p>
    <w:p>
      <w:pPr>
        <w:spacing w:after="80"/>
      </w:pPr>
      <w:r>
        <w:rPr>
          <w:rFonts w:ascii="Courier New" w:cs="Courier New" w:eastAsia="Courier New" w:hAnsi="Courier New"/>
          <w:sz w:val="20"/>
          <w:szCs w:val="20"/>
        </w:rPr>
        <w:t xml:space="preserve">    }</w:t>
      </w:r>
    </w:p>
    <w:p>
      <w:pPr>
        <w:spacing w:after="80"/>
      </w:pPr>
      <w:r>
        <w:rPr>
          <w:rFonts w:ascii="Courier New" w:cs="Courier New" w:eastAsia="Courier New" w:hAnsi="Courier New"/>
          <w:sz w:val="20"/>
          <w:szCs w:val="20"/>
        </w:rPr>
        <w:t xml:space="preserve">  }</w:t>
      </w:r>
    </w:p>
    <w:p>
      <w:pPr>
        <w:spacing w:after="160"/>
      </w:pPr>
      <w:r>
        <w:rPr>
          <w:rFonts w:ascii="Courier New" w:cs="Courier New" w:eastAsia="Courier New" w:hAnsi="Courier New"/>
          <w:sz w:val="20"/>
          <w:szCs w:val="20"/>
        </w:rPr>
        <w:t xml:space="preserve">}</w:t>
      </w:r>
    </w:p>
    <w:p>
      <w:pPr>
        <w:spacing w:after="160"/>
      </w:pPr>
      <w:r>
        <w:t xml:space="preserve">Once configured, your AI assistant can parse financial documents with natural language prompts like “Parse this Coinbase CSV and show me all trades over $1,000” or “Extract transactions from my Chase statement and categorize them.”</w:t>
      </w:r>
    </w:p>
    <w:p>
      <w:pPr>
        <w:pStyle w:val="Heading2"/>
      </w:pPr>
      <w:r>
        <w:t xml:space="preserve">Why This Matters</w:t>
      </w:r>
    </w:p>
    <w:p>
      <w:pPr>
        <w:spacing w:after="160"/>
      </w:pPr>
      <w:r>
        <w:t xml:space="preserve">The traditional accounting workflow is: download statement, open in Excel, manually clean data, import into accounting software. With an MCP-enabled AI agent, the workflow becomes: tell the agent what you need, and it handles the parsing, structuring, and analysis. The agent calls TaxFormatter’s API under the hood, and the user never touches a CSV.</w:t>
      </w:r>
    </w:p>
    <w:p>
      <w:pPr>
        <w:spacing w:after="160"/>
      </w:pPr>
      <w:r>
        <w:t xml:space="preserve">For developers building AI accounting tools, this means you can offer document parsing as a native capability of your AI assistant without building the parsing infrastructure yourself.</w:t>
      </w:r>
    </w:p>
    <w:p>
      <w:pPr>
        <w:spacing w:after="160"/>
      </w:pPr>
      <w:r>
        <w:rPr>
          <w:b/>
          <w:bCs/>
        </w:rPr>
        <w:t xml:space="preserve">Get started: </w:t>
      </w:r>
      <w:r>
        <w:t xml:space="preserve">npm install @taxformatter/mcp-server — free tier includes 10 API calls/month.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taxformatter.com</w:t>
    </w:r>
    <w:r>
      <w:rPr>
        <w:color w:val="9CA3AF"/>
        <w:sz w:val="16"/>
        <w:szCs w:val="16"/>
      </w:rPr>
      <w:t xml:space="preserve">  |  Page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40AF" w:sz="4" w:space="4"/>
      </w:pBdr>
    </w:pPr>
    <w:r>
      <w:rPr>
        <w:rFonts w:ascii="Arial" w:cs="Arial" w:eastAsia="Arial" w:hAnsi="Arial"/>
        <w:b/>
        <w:bCs/>
        <w:color w:val="1E40AF"/>
        <w:sz w:val="18"/>
        <w:szCs w:val="18"/>
      </w:rPr>
      <w:t xml:space="preserve">TaxFormatter</w:t>
    </w:r>
    <w:r>
      <w:rPr>
        <w:rFonts w:ascii="Arial" w:cs="Arial" w:eastAsia="Arial" w:hAnsi="Arial"/>
        <w:color w:val="9CA3AF"/>
        <w:sz w:val="18"/>
        <w:szCs w:val="18"/>
      </w:rPr>
      <w:t xml:space="preserve">  |  SEO Content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40AF"/>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1182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B556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2026-04-04T20:57:31.670Z</dcterms:created>
  <dcterms:modified xsi:type="dcterms:W3CDTF">2026-04-04T20:57:31.670Z</dcterms:modified>
</cp:coreProperties>
</file>

<file path=docProps/custom.xml><?xml version="1.0" encoding="utf-8"?>
<Properties xmlns="http://schemas.openxmlformats.org/officeDocument/2006/custom-properties" xmlns:vt="http://schemas.openxmlformats.org/officeDocument/2006/docPropsVTypes"/>
</file>