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26" w:rsidRDefault="00EC4626" w:rsidP="00EC4626">
      <w:pPr>
        <w:spacing w:after="0" w:line="480" w:lineRule="auto"/>
        <w:contextualSpacing/>
        <w:rPr>
          <w:rFonts w:ascii="Times New Roman" w:eastAsia="Calibri" w:hAnsi="Times New Roman" w:cs="Times New Roman"/>
          <w:sz w:val="24"/>
          <w:szCs w:val="20"/>
          <w:lang w:val="en-US"/>
        </w:rPr>
      </w:pPr>
    </w:p>
    <w:p w:rsidR="00EC4626" w:rsidRPr="00613A8D" w:rsidRDefault="00EC4626" w:rsidP="00EC4626">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w:t>
      </w:r>
      <w:bookmarkStart w:id="0" w:name="_GoBack"/>
      <w:r>
        <w:rPr>
          <w:rFonts w:ascii="Times New Roman" w:eastAsia="Cambria" w:hAnsi="Times New Roman" w:cs="Times New Roman"/>
          <w:b/>
          <w:sz w:val="24"/>
          <w:szCs w:val="24"/>
          <w:lang w:val="en-US"/>
        </w:rPr>
        <w:t>Experiment</w:t>
      </w:r>
      <w:bookmarkEnd w:id="0"/>
      <w:r>
        <w:rPr>
          <w:rFonts w:ascii="Times New Roman" w:eastAsia="Cambria" w:hAnsi="Times New Roman" w:cs="Times New Roman"/>
          <w:b/>
          <w:sz w:val="24"/>
          <w:szCs w:val="24"/>
          <w:lang w:val="en-US"/>
        </w:rPr>
        <w:t>s 1-5</w:t>
      </w:r>
      <w:r w:rsidRPr="00613A8D">
        <w:rPr>
          <w:rFonts w:ascii="Times New Roman" w:eastAsia="Cambria" w:hAnsi="Times New Roman" w:cs="Times New Roman"/>
          <w:b/>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For each hypothesis below, we specified how each verbal hypothesis corresponded to a </w:t>
      </w:r>
      <w:proofErr w:type="gramStart"/>
      <w:r w:rsidRPr="00613A8D">
        <w:rPr>
          <w:rFonts w:ascii="Times New Roman" w:eastAsia="Calibri" w:hAnsi="Times New Roman" w:cs="Times New Roman"/>
          <w:sz w:val="24"/>
          <w:szCs w:val="24"/>
          <w:lang w:val="en-US"/>
        </w:rPr>
        <w:t>statistical</w:t>
      </w:r>
      <w:proofErr w:type="gramEnd"/>
      <w:r w:rsidRPr="00613A8D">
        <w:rPr>
          <w:rFonts w:ascii="Times New Roman" w:eastAsia="Calibri" w:hAnsi="Times New Roman" w:cs="Times New Roman"/>
          <w:sz w:val="24"/>
          <w:szCs w:val="24"/>
          <w:lang w:val="en-US"/>
        </w:rPr>
        <w:t xml:space="preserve"> inference rule that would be used to conclude support for that hypothesis. We also report results from the exploratory ana</w:t>
      </w:r>
      <w:r>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w:t>
      </w:r>
      <w:r w:rsidRPr="00613A8D">
        <w:rPr>
          <w:rFonts w:ascii="Times New Roman" w:eastAsia="Calibri" w:hAnsi="Times New Roman" w:cs="Times New Roman"/>
          <w:sz w:val="24"/>
          <w:szCs w:val="24"/>
          <w:lang w:val="en-US"/>
        </w:rPr>
        <w:lastRenderedPageBreak/>
        <w:t xml:space="preserve">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rsidR="00EC4626" w:rsidRPr="00613A8D" w:rsidRDefault="00EC4626" w:rsidP="00EC4626">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lastRenderedPageBreak/>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w:t>
      </w:r>
      <w:proofErr w:type="spellStart"/>
      <w:r w:rsidRPr="00613A8D">
        <w:rPr>
          <w:rFonts w:ascii="Times New Roman" w:eastAsia="Calibri" w:hAnsi="Times New Roman" w:cs="Times New Roman"/>
          <w:sz w:val="24"/>
          <w:szCs w:val="24"/>
          <w:lang w:val="en-US"/>
        </w:rPr>
        <w:t>valenced</w:t>
      </w:r>
      <w:proofErr w:type="spellEnd"/>
      <w:r w:rsidRPr="00613A8D">
        <w:rPr>
          <w:rFonts w:ascii="Times New Roman" w:eastAsia="Calibri" w:hAnsi="Times New Roman" w:cs="Times New Roman"/>
          <w:sz w:val="24"/>
          <w:szCs w:val="24"/>
          <w:lang w:val="en-US"/>
        </w:rPr>
        <w:t xml:space="preserve">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F213AE" w:rsidRDefault="00EC4626" w:rsidP="00EC4626">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rsidR="00EC4626" w:rsidRPr="00F213AE" w:rsidRDefault="00EC4626" w:rsidP="00EC4626">
      <w:pPr>
        <w:spacing w:after="0" w:line="480" w:lineRule="auto"/>
        <w:ind w:firstLine="706"/>
        <w:rPr>
          <w:rFonts w:ascii="Times New Roman" w:eastAsia="Calibri" w:hAnsi="Times New Roman" w:cs="Times New Roman"/>
          <w:sz w:val="24"/>
          <w:szCs w:val="24"/>
          <w:lang w:val="fr-BE"/>
        </w:rPr>
      </w:pP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A1595C">
        <w:rPr>
          <w:rFonts w:ascii="Times New Roman" w:eastAsia="Calibri" w:hAnsi="Times New Roman" w:cs="Times New Roman"/>
          <w:sz w:val="24"/>
          <w:szCs w:val="24"/>
          <w:lang w:val="en-US"/>
        </w:rPr>
        <w:t xml:space="preserve">the existing data (Experiments 3 and </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613A8D" w:rsidRDefault="00EC4626" w:rsidP="00EC4626">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p>
    <w:p w:rsidR="00EC4626" w:rsidRPr="00613A8D" w:rsidRDefault="00EC4626" w:rsidP="00EC4626">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 xml:space="preserve">Model Priors and their </w:t>
      </w:r>
      <w:proofErr w:type="spellStart"/>
      <w:r w:rsidRPr="00613A8D">
        <w:rPr>
          <w:rFonts w:ascii="Times New Roman" w:eastAsia="Calibri" w:hAnsi="Times New Roman" w:cs="Times New Roman"/>
          <w:b/>
          <w:sz w:val="24"/>
          <w:szCs w:val="24"/>
          <w:lang w:val="en-US"/>
        </w:rPr>
        <w:t>Informativeness</w:t>
      </w:r>
      <w:proofErr w:type="spellEnd"/>
      <w:r w:rsidRPr="00613A8D">
        <w:rPr>
          <w:rFonts w:ascii="Times New Roman" w:eastAsia="Calibri" w:hAnsi="Times New Roman" w:cs="Times New Roman"/>
          <w:b/>
          <w:sz w:val="24"/>
          <w:szCs w:val="24"/>
          <w:lang w:val="en-US"/>
        </w:rPr>
        <w:t>.</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xml:space="preserve">). We used </w:t>
      </w:r>
      <w:proofErr w:type="spellStart"/>
      <w:r w:rsidRPr="00613A8D">
        <w:rPr>
          <w:rFonts w:ascii="Times New Roman" w:eastAsia="Calibri" w:hAnsi="Times New Roman" w:cs="Times New Roman"/>
          <w:sz w:val="24"/>
          <w:szCs w:val="24"/>
          <w:lang w:val="en-US"/>
        </w:rPr>
        <w:t>Gelman’s</w:t>
      </w:r>
      <w:proofErr w:type="spellEnd"/>
      <w:r w:rsidRPr="00613A8D">
        <w:rPr>
          <w:rFonts w:ascii="Times New Roman" w:eastAsia="Calibri" w:hAnsi="Times New Roman" w:cs="Times New Roman"/>
          <w:sz w:val="24"/>
          <w:szCs w:val="24"/>
          <w:lang w:val="en-US"/>
        </w:rPr>
        <w:t xml:space="preserve"> (2019) method to </w:t>
      </w:r>
      <w:r w:rsidRPr="00613A8D">
        <w:rPr>
          <w:rFonts w:ascii="Times New Roman" w:eastAsia="Calibri" w:hAnsi="Times New Roman" w:cs="Times New Roman"/>
          <w:sz w:val="24"/>
          <w:szCs w:val="24"/>
          <w:lang w:val="en-US"/>
        </w:rPr>
        <w:lastRenderedPageBreak/>
        <w:t>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w:t>
      </w:r>
      <w:r w:rsidRPr="00613A8D">
        <w:rPr>
          <w:rFonts w:ascii="Times New Roman" w:eastAsia="Calibri" w:hAnsi="Times New Roman" w:cs="Times New Roman"/>
          <w:sz w:val="24"/>
          <w:szCs w:val="24"/>
          <w:lang w:val="en-US"/>
        </w:rPr>
        <w:lastRenderedPageBreak/>
        <w:t>models or IRR = 1 in the Poisson model). All three of these metrics were implemented using the bayestestR R package.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w:t>
      </w:r>
      <w:proofErr w:type="spellStart"/>
      <w:r w:rsidRPr="00613A8D">
        <w:rPr>
          <w:rFonts w:ascii="Times New Roman" w:eastAsia="Calibri" w:hAnsi="Times New Roman" w:cs="Times New Roman"/>
          <w:sz w:val="24"/>
          <w:szCs w:val="24"/>
          <w:lang w:val="en-US"/>
        </w:rPr>
        <w:t>Lakens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Scheel</w:t>
      </w:r>
      <w:proofErr w:type="spellEnd"/>
      <w:r w:rsidRPr="00613A8D">
        <w:rPr>
          <w:rFonts w:ascii="Times New Roman" w:eastAsia="Calibri" w:hAnsi="Times New Roman" w:cs="Times New Roman"/>
          <w:sz w:val="24"/>
          <w:szCs w:val="24"/>
          <w:lang w:val="en-US"/>
        </w:rPr>
        <w:t xml:space="preserve">, and </w:t>
      </w:r>
      <w:proofErr w:type="spellStart"/>
      <w:r w:rsidRPr="00613A8D">
        <w:rPr>
          <w:rFonts w:ascii="Times New Roman" w:eastAsia="Calibri" w:hAnsi="Times New Roman" w:cs="Times New Roman"/>
          <w:sz w:val="24"/>
          <w:szCs w:val="24"/>
          <w:lang w:val="en-US"/>
        </w:rPr>
        <w:t>Isager</w:t>
      </w:r>
      <w:proofErr w:type="spellEnd"/>
      <w:r w:rsidRPr="00613A8D">
        <w:rPr>
          <w:rFonts w:ascii="Times New Roman" w:eastAsia="Calibri" w:hAnsi="Times New Roman" w:cs="Times New Roman"/>
          <w:sz w:val="24"/>
          <w:szCs w:val="24"/>
          <w:lang w:val="en-US"/>
        </w:rPr>
        <w:t xml:space="preserve"> (2018), albeit (1) applied to intervals derived from Bayesian models and (2) applied </w:t>
      </w:r>
      <w:proofErr w:type="spellStart"/>
      <w:r w:rsidRPr="00613A8D">
        <w:rPr>
          <w:rFonts w:ascii="Times New Roman" w:eastAsia="Calibri" w:hAnsi="Times New Roman" w:cs="Times New Roman"/>
          <w:sz w:val="24"/>
          <w:szCs w:val="24"/>
          <w:lang w:val="en-US"/>
        </w:rPr>
        <w:t>unidirectionally</w:t>
      </w:r>
      <w:proofErr w:type="spellEnd"/>
      <w:r w:rsidRPr="00613A8D">
        <w:rPr>
          <w:rFonts w:ascii="Times New Roman" w:eastAsia="Calibri" w:hAnsi="Times New Roman" w:cs="Times New Roman"/>
          <w:sz w:val="24"/>
          <w:szCs w:val="24"/>
          <w:lang w:val="en-US"/>
        </w:rPr>
        <w:t xml:space="preserve">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EC4626" w:rsidRPr="00613A8D" w:rsidRDefault="00EC4626" w:rsidP="00EC4626">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lastRenderedPageBreak/>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rsidR="00EC4626" w:rsidRPr="00613A8D" w:rsidRDefault="00EC4626" w:rsidP="00EC4626">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2: Are Deepfakes as Effective as Genuine Content at Influencing Attitudes and Intentions?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EC4626" w:rsidRPr="00613A8D" w:rsidRDefault="00EC4626" w:rsidP="00EC4626">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Pr>
          <w:rFonts w:ascii="Times New Roman" w:eastAsia="Calibri" w:hAnsi="Times New Roman" w:cs="Times New Roman"/>
          <w:sz w:val="24"/>
          <w:szCs w:val="24"/>
          <w:lang w:val="en-US"/>
        </w:rPr>
        <w:t>3</w:t>
      </w:r>
      <w:r w:rsidR="00A1595C">
        <w:rPr>
          <w:rFonts w:ascii="Times New Roman" w:eastAsia="Calibri" w:hAnsi="Times New Roman" w:cs="Times New Roman"/>
          <w:sz w:val="24"/>
          <w:szCs w:val="24"/>
          <w:lang w:val="en-US"/>
        </w:rPr>
        <w:t xml:space="preserve"> and </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rsidR="00EC4626" w:rsidRPr="00613A8D" w:rsidRDefault="00A1595C" w:rsidP="00EC462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Experiments 3 and </w:t>
      </w:r>
      <w:r w:rsidR="00EC4626">
        <w:rPr>
          <w:rFonts w:ascii="Times New Roman" w:eastAsia="Calibri" w:hAnsi="Times New Roman" w:cs="Times New Roman"/>
          <w:sz w:val="24"/>
          <w:szCs w:val="24"/>
          <w:lang w:val="en-US"/>
        </w:rPr>
        <w:t>5</w:t>
      </w:r>
      <w:r w:rsidR="00EC4626"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w:t>
      </w:r>
      <w:r w:rsidR="00EC4626" w:rsidRPr="00613A8D">
        <w:rPr>
          <w:rFonts w:ascii="Times New Roman" w:eastAsia="Calibri" w:hAnsi="Times New Roman" w:cs="Times New Roman"/>
          <w:sz w:val="24"/>
          <w:szCs w:val="24"/>
          <w:lang w:val="en-US"/>
        </w:rPr>
        <w:lastRenderedPageBreak/>
        <w:t>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lastRenderedPageBreak/>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6: Does Detecting Deepfaked Content Protect One From Its Influence?</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rsidR="00EC4626" w:rsidRPr="008328A5"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F577A8" w:rsidRPr="00EC4626" w:rsidRDefault="00F577A8">
      <w:pPr>
        <w:rPr>
          <w:lang w:val="en-US"/>
        </w:rPr>
      </w:pPr>
    </w:p>
    <w:sectPr w:rsidR="00F577A8" w:rsidRPr="00EC4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activeWritingStyle w:appName="MSWord" w:lang="en-I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26"/>
    <w:rsid w:val="00A1595C"/>
    <w:rsid w:val="00EC4626"/>
    <w:rsid w:val="00EC49B9"/>
    <w:rsid w:val="00F5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4A8"/>
  <w15:chartTrackingRefBased/>
  <w15:docId w15:val="{94CC9E11-BCC0-4B5E-975A-36C0086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626"/>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an-dev/stan/wiki/Prior-Choice-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2672</Words>
  <Characters>15236</Characters>
  <Application>Microsoft Office Word</Application>
  <DocSecurity>0</DocSecurity>
  <Lines>126</Lines>
  <Paragraphs>35</Paragraphs>
  <ScaleCrop>false</ScaleCrop>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2021-07-22T08:37:00Z</dcterms:created>
  <dcterms:modified xsi:type="dcterms:W3CDTF">2021-07-26T13:42:00Z</dcterms:modified>
</cp:coreProperties>
</file>