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A8D" w:rsidRDefault="00613A8D" w:rsidP="00596201">
      <w:pPr>
        <w:pStyle w:val="Heading1"/>
        <w:spacing w:before="100" w:after="100"/>
        <w:jc w:val="center"/>
        <w:rPr>
          <w:rStyle w:val="Strong"/>
          <w:b/>
          <w:sz w:val="24"/>
          <w:lang w:val="en-US"/>
        </w:rPr>
      </w:pPr>
      <w:r>
        <w:rPr>
          <w:rStyle w:val="Strong"/>
          <w:b/>
          <w:sz w:val="24"/>
          <w:lang w:val="en-US"/>
        </w:rPr>
        <w:t>Supplementary Materials</w:t>
      </w:r>
    </w:p>
    <w:p w:rsidR="00017ABB" w:rsidRDefault="007C04E2" w:rsidP="00596201">
      <w:pPr>
        <w:pStyle w:val="Heading1"/>
        <w:spacing w:before="100" w:after="100"/>
        <w:jc w:val="center"/>
        <w:rPr>
          <w:rStyle w:val="Strong"/>
          <w:b/>
          <w:sz w:val="24"/>
          <w:lang w:val="en-US"/>
        </w:rPr>
      </w:pPr>
      <w:r>
        <w:rPr>
          <w:rStyle w:val="Strong"/>
          <w:b/>
          <w:sz w:val="24"/>
          <w:lang w:val="en-US"/>
        </w:rPr>
        <w:t>Experiments 1-2: Impression Formation via Authentic Videos</w:t>
      </w:r>
    </w:p>
    <w:p w:rsidR="00613A8D" w:rsidRPr="00613A8D" w:rsidRDefault="00613A8D" w:rsidP="00613A8D">
      <w:pPr>
        <w:spacing w:after="0" w:line="480" w:lineRule="auto"/>
        <w:ind w:firstLine="708"/>
        <w:rPr>
          <w:rFonts w:ascii="Times New Roman" w:eastAsia="Calibri" w:hAnsi="Times New Roman" w:cs="Times New Roman"/>
          <w:color w:val="000000"/>
          <w:sz w:val="24"/>
          <w:szCs w:val="24"/>
          <w:lang w:val="en-US"/>
        </w:rPr>
      </w:pPr>
      <w:r w:rsidRPr="00613A8D">
        <w:rPr>
          <w:rFonts w:ascii="Times New Roman" w:eastAsia="Calibri"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sidRPr="00613A8D">
        <w:rPr>
          <w:rFonts w:ascii="Times New Roman" w:eastAsia="Calibri" w:hAnsi="Times New Roman" w:cs="Times New Roman"/>
          <w:color w:val="000000"/>
          <w:sz w:val="24"/>
          <w:szCs w:val="24"/>
          <w:lang w:val="en-US"/>
        </w:rPr>
        <w:t xml:space="preserve">people exposed to the </w:t>
      </w:r>
      <w:r w:rsidRPr="00613A8D">
        <w:rPr>
          <w:rFonts w:ascii="Times New Roman" w:eastAsia="Calibri" w:hAnsi="Times New Roman" w:cs="Times New Roman"/>
          <w:i/>
          <w:color w:val="000000"/>
          <w:sz w:val="24"/>
          <w:szCs w:val="24"/>
          <w:lang w:val="en-US"/>
        </w:rPr>
        <w:t>positive variant</w:t>
      </w:r>
      <w:r w:rsidRPr="00613A8D">
        <w:rPr>
          <w:rFonts w:ascii="Times New Roman" w:eastAsia="Calibri" w:hAnsi="Times New Roman" w:cs="Times New Roman"/>
          <w:color w:val="000000"/>
          <w:sz w:val="24"/>
          <w:szCs w:val="24"/>
          <w:lang w:val="en-US"/>
        </w:rPr>
        <w:t xml:space="preserve"> video should display positive attitudes towards the target whereas those in the </w:t>
      </w:r>
      <w:r w:rsidRPr="00613A8D">
        <w:rPr>
          <w:rFonts w:ascii="Times New Roman" w:eastAsia="Calibri" w:hAnsi="Times New Roman" w:cs="Times New Roman"/>
          <w:i/>
          <w:color w:val="000000"/>
          <w:sz w:val="24"/>
          <w:szCs w:val="24"/>
          <w:lang w:val="en-US"/>
        </w:rPr>
        <w:t>negative variant</w:t>
      </w:r>
      <w:r w:rsidRPr="00613A8D">
        <w:rPr>
          <w:rFonts w:ascii="Times New Roman" w:eastAsia="Calibri" w:hAnsi="Times New Roman" w:cs="Times New Roman"/>
          <w:color w:val="000000"/>
          <w:sz w:val="24"/>
          <w:szCs w:val="24"/>
          <w:lang w:val="en-US"/>
        </w:rPr>
        <w:t xml:space="preserve"> video should display negative attitudes.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1] and 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2] completed the study on 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video types (those containing positive or negative self-statements) </w:t>
      </w:r>
      <w:r w:rsidRPr="00613A8D">
        <w:rPr>
          <w:rFonts w:ascii="Times New Roman" w:eastAsia="Calibri" w:hAnsi="Times New Roman" w:cs="Times New Roman"/>
          <w:color w:val="000000"/>
          <w:sz w:val="24"/>
          <w:szCs w:val="20"/>
          <w:lang w:val="en-US"/>
        </w:rPr>
        <w:t xml:space="preserve">was counterbalanced across participants in Experiments 1-2. Self-reported ratings and IAT scores were the dependent variables. Two additional method factors were also counterbalanced across participants: evaluative task order (whether participants encountered the self-report ratings or IAT first) and IAT block order. </w:t>
      </w:r>
      <w:r w:rsidRPr="00613A8D">
        <w:rPr>
          <w:rFonts w:ascii="Times New Roman" w:eastAsia="Calibri" w:hAnsi="Times New Roman" w:cs="Times New Roman"/>
          <w:color w:val="000000"/>
          <w:sz w:val="20"/>
          <w:szCs w:val="24"/>
          <w:vertAlign w:val="superscript"/>
          <w:lang w:val="en-US"/>
        </w:rPr>
        <w:footnoteReference w:id="1"/>
      </w:r>
    </w:p>
    <w:p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lastRenderedPageBreak/>
        <w:t>Stimuli</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rsidR="00613A8D" w:rsidRPr="00613A8D" w:rsidRDefault="00613A8D" w:rsidP="00613A8D">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We modified several statements in Experiment 2 with the aim of reducing the workload required to create the Deepfaked videos in Experiment 3 (i.e., we selected statements whose meaning could be more easily altered to create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Those items that were revised are outlined below:</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Introduction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lastRenderedPageBreak/>
        <w:t>Personalized IAT (pIAT)</w:t>
      </w:r>
      <w:r w:rsidRPr="00613A8D">
        <w:rPr>
          <w:rFonts w:ascii="Times New Roman" w:eastAsia="Calibri" w:hAnsi="Times New Roman" w:cs="Times New Roman"/>
          <w:color w:val="000000"/>
          <w:sz w:val="24"/>
          <w:szCs w:val="20"/>
          <w:lang w:val="en-US"/>
        </w:rPr>
        <w:t>. A set of eight positive and eight negative trait adjectives were used as valenced stimuli during the pIAT.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individuals served as the target stimuli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color w:val="000000"/>
          <w:sz w:val="20"/>
          <w:szCs w:val="20"/>
          <w:lang w:val="en-US"/>
        </w:rPr>
        <w:t xml:space="preserve"> </w:t>
      </w:r>
    </w:p>
    <w:p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6998D1C1" wp14:editId="26B3B979">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57DF210F" wp14:editId="26042EF1">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09899C03" wp14:editId="7F32C500">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59BC8DC1" wp14:editId="31970F96">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0B3DCB9B" wp14:editId="5CB8B22E">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4986362" wp14:editId="552963D1">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FE73220" wp14:editId="537AD05D">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2998585A" wp14:editId="548242FF">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 xml:space="preserve">Acquisition Phase (Independent Variable)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1-2 see osf.io/f6ajb/). </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Evaluative Measures (Dependent Variables)</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 personalized IAT (pIAT)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w:t>
      </w:r>
      <w:r w:rsidRPr="00613A8D">
        <w:rPr>
          <w:rFonts w:ascii="Times New Roman" w:eastAsia="Calibri" w:hAnsi="Times New Roman" w:cs="Times New Roman"/>
          <w:color w:val="000000"/>
          <w:sz w:val="24"/>
          <w:szCs w:val="20"/>
          <w:lang w:val="en-US"/>
        </w:rPr>
        <w:lastRenderedPageBreak/>
        <w:t>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Exploratory Questions</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Video Memory</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Diagnosticity of the Statements</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character)?” Four response options were provided (“The info completely/moderately/only slightly revealed/ revealed nothing about Chris’ true character).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Demand</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w:t>
      </w:r>
      <w:r w:rsidRPr="00613A8D">
        <w:rPr>
          <w:rFonts w:ascii="Times New Roman" w:eastAsia="Calibri" w:hAnsi="Times New Roman" w:cs="Times New Roman"/>
          <w:color w:val="000000"/>
          <w:sz w:val="24"/>
          <w:szCs w:val="20"/>
          <w:lang w:val="en-US"/>
        </w:rPr>
        <w:lastRenderedPageBreak/>
        <w:t>faked my response based on what I thought the researchers wanted to find; No - my responses were based on how I genuinely felt; I don't know).</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Reactance</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Reactance</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Hypothesis and Influence Awareness</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sidRPr="00613A8D">
        <w:rPr>
          <w:rFonts w:ascii="Times New Roman" w:eastAsia="Calibri" w:hAnsi="Times New Roman" w:cs="Times New Roman"/>
          <w:color w:val="000000"/>
          <w:sz w:val="20"/>
          <w:szCs w:val="20"/>
          <w:vertAlign w:val="superscript"/>
          <w:lang w:val="en-US"/>
        </w:rPr>
        <w:footnoteReference w:id="2"/>
      </w: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xml:space="preserve">= 17 [Experiment 1], </w:t>
      </w:r>
      <w:r w:rsidRPr="00613A8D">
        <w:rPr>
          <w:rFonts w:ascii="Times New Roman" w:eastAsia="Calibri" w:hAnsi="Times New Roman" w:cs="Times New Roman"/>
          <w:i/>
          <w:sz w:val="24"/>
          <w:szCs w:val="24"/>
          <w:lang w:val="en-US"/>
        </w:rPr>
        <w:t>n</w:t>
      </w:r>
      <w:r w:rsidRPr="00613A8D">
        <w:rPr>
          <w:rFonts w:ascii="Times New Roman" w:eastAsia="Calibri" w:hAnsi="Times New Roman" w:cs="Times New Roman"/>
          <w:sz w:val="24"/>
          <w:szCs w:val="24"/>
          <w:lang w:val="en-US"/>
        </w:rPr>
        <w:t xml:space="preserve"> = 32 [Experiment 2]). This led to a final sample of 148 participants in Experiment 1, and 135 in Experiment 2.</w:t>
      </w:r>
    </w:p>
    <w:p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p>
    <w:p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lastRenderedPageBreak/>
        <w:t>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attitudes in the predicted direction, negative values indicated the opposite, whereas neutral values indicated an absence of an attitude or ambivalence.</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(alternative hypothesis) or that there is no difference (null hypothesis).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b/>
          <w:bCs/>
          <w:i/>
          <w:iCs/>
          <w:sz w:val="32"/>
          <w:szCs w:val="32"/>
          <w:lang w:val="en-US"/>
        </w:rPr>
      </w:pPr>
      <w:r w:rsidRPr="00613A8D">
        <w:rPr>
          <w:rFonts w:ascii="Times New Roman" w:eastAsia="Calibri" w:hAnsi="Times New Roman" w:cs="Times New Roman"/>
          <w:b/>
          <w:bCs/>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both in Experiment 1,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145.74) = 14.98,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2.46, 95% CI [2.03; 2.89],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and Experiment 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(129.94) = 15.73,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2.71, 95% CI [2.24; 3.18],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Participants liked </w:t>
      </w:r>
      <w:r w:rsidRPr="00613A8D">
        <w:rPr>
          <w:rFonts w:ascii="Times New Roman" w:eastAsia="Calibri" w:hAnsi="Times New Roman" w:cs="Times New Roman"/>
          <w:sz w:val="24"/>
          <w:szCs w:val="24"/>
          <w:lang w:val="en-US"/>
        </w:rPr>
        <w:lastRenderedPageBreak/>
        <w:t xml:space="preserve">Chris when he emitted positive statements about himself (Experiment 1: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(72) = 11.08,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1.29, 95% CI [0.98; 1.61],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2: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10.03,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[0.87;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and disliked him when he emitted negative statements about himself (Experiment 1: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-10.14,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[-1.46; -0.87],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2: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1.17,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(60) = -12.17,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-1.56, 95% CI [-1.93; -1.18],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gramStart"/>
      <w:r w:rsidRPr="00613A8D">
        <w:rPr>
          <w:rFonts w:ascii="Times New Roman" w:eastAsia="Calibri" w:hAnsi="Times New Roman" w:cs="Times New Roman"/>
          <w:sz w:val="24"/>
          <w:szCs w:val="24"/>
          <w:lang w:val="en-US"/>
        </w:rPr>
        <w:t>pIAT</w:t>
      </w:r>
      <w:proofErr w:type="gramEnd"/>
      <w:r w:rsidRPr="00613A8D">
        <w:rPr>
          <w:rFonts w:ascii="Times New Roman" w:eastAsia="Calibri" w:hAnsi="Times New Roman" w:cs="Times New Roman"/>
          <w:sz w:val="24"/>
          <w:szCs w:val="24"/>
          <w:lang w:val="en-US"/>
        </w:rPr>
        <w:t xml:space="preserve"> scores differed as a function of Video Content, both in Experiment 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(138.23) = 8.23,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[0.99; 1.71],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and Experiment 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(126.9) = 7.78,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[0.97; 1.73],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Implicit attitudes towards Chris were relatively more positive when he emitted positive self-statements (Experiment 1: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.25, Experiment 2: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compared to when he emitted negative self-statements (Experiment 1: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Experiment 2: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.32).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Genuine online content can be used to establish self-reported and implicit attitudes. In Experiments 1-2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pIAT. Taken together, these studies illustrate that the genuine videos led to the formation of implicit and self-reported attitudes towards the target. </w:t>
      </w:r>
    </w:p>
    <w:p w:rsidR="00613A8D" w:rsidRPr="00613A8D" w:rsidRDefault="00613A8D" w:rsidP="00613A8D">
      <w:pPr>
        <w:keepNext/>
        <w:keepLines/>
        <w:spacing w:before="240" w:after="0" w:line="480" w:lineRule="auto"/>
        <w:jc w:val="center"/>
        <w:outlineLvl w:val="0"/>
        <w:rPr>
          <w:rFonts w:ascii="Times New Roman" w:eastAsia="Cambria" w:hAnsi="Times New Roman" w:cs="Times New Roman"/>
          <w:b/>
          <w:bCs/>
          <w:sz w:val="24"/>
          <w:szCs w:val="32"/>
          <w:lang w:val="en-US"/>
        </w:rPr>
      </w:pPr>
      <w:r w:rsidRPr="00613A8D">
        <w:rPr>
          <w:rFonts w:ascii="Times New Roman" w:eastAsia="Cambria" w:hAnsi="Times New Roman" w:cs="Times New Roman"/>
          <w:b/>
          <w:bCs/>
          <w:sz w:val="24"/>
          <w:szCs w:val="32"/>
          <w:lang w:val="en-US"/>
        </w:rPr>
        <w:t>Experiment 3: Impression Formation via Deepfaked Videos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3 set out to replicate our prior findings from Experiments 1-2. However, this time we not only manipulated the informational </w:t>
      </w:r>
      <w:r w:rsidRPr="00613A8D">
        <w:rPr>
          <w:rFonts w:ascii="Times New Roman" w:eastAsia="Calibri" w:hAnsi="Times New Roman" w:cs="Times New Roman"/>
          <w:i/>
          <w:sz w:val="24"/>
          <w:szCs w:val="24"/>
          <w:lang w:val="en-US"/>
        </w:rPr>
        <w:t>content</w:t>
      </w:r>
      <w:r w:rsidRPr="00613A8D">
        <w:rPr>
          <w:rFonts w:ascii="Times New Roman" w:eastAsia="Calibri" w:hAnsi="Times New Roman" w:cs="Times New Roman"/>
          <w:sz w:val="24"/>
          <w:szCs w:val="24"/>
          <w:lang w:val="en-US"/>
        </w:rPr>
        <w:t xml:space="preserve"> of the videos (positive vs. </w:t>
      </w:r>
      <w:r w:rsidRPr="00613A8D">
        <w:rPr>
          <w:rFonts w:ascii="Times New Roman" w:eastAsia="Calibri" w:hAnsi="Times New Roman" w:cs="Times New Roman"/>
          <w:sz w:val="24"/>
          <w:szCs w:val="24"/>
          <w:lang w:val="en-US"/>
        </w:rPr>
        <w:lastRenderedPageBreak/>
        <w:t xml:space="preserve">negative statements) but also the </w:t>
      </w:r>
      <w:r w:rsidRPr="00613A8D">
        <w:rPr>
          <w:rFonts w:ascii="Times New Roman" w:eastAsia="Calibri" w:hAnsi="Times New Roman" w:cs="Times New Roman"/>
          <w:i/>
          <w:sz w:val="24"/>
          <w:szCs w:val="24"/>
          <w:lang w:val="en-US"/>
        </w:rPr>
        <w:t>type</w:t>
      </w:r>
      <w:r w:rsidRPr="00613A8D">
        <w:rPr>
          <w:rFonts w:ascii="Times New Roman" w:eastAsia="Calibri"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1-2).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1-2. This should be true for those exposed to authentic or Deepfaked videos. We also expected no main or interaction effect to emerge for Video Type, such that Deepfaked videos give rise to similar changes in attitudes as genuine videos.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428 participants </w:t>
      </w:r>
      <w:r w:rsidRPr="00613A8D">
        <w:rPr>
          <w:rFonts w:ascii="Times New Roman" w:eastAsia="Calibri" w:hAnsi="Times New Roman" w:cs="Times New Roman"/>
          <w:sz w:val="24"/>
          <w:szCs w:val="24"/>
          <w:lang w:val="en-US"/>
        </w:rPr>
        <w:t xml:space="preserve">(232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9.0)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Video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Video Type</w:t>
      </w:r>
      <w:r w:rsidRPr="00613A8D">
        <w:rPr>
          <w:rFonts w:ascii="Times New Roman" w:eastAsia="Calibri" w:hAnsi="Times New Roman" w:cs="Times New Roman"/>
          <w:color w:val="000000"/>
          <w:sz w:val="24"/>
          <w:szCs w:val="24"/>
          <w:lang w:val="en-US"/>
        </w:rPr>
        <w:t xml:space="preserve"> (authentic vs. Deepfaked)</w:t>
      </w:r>
      <w:r w:rsidRPr="00613A8D">
        <w:rPr>
          <w:rFonts w:ascii="Times New Roman" w:eastAsia="Calibri" w:hAnsi="Times New Roman" w:cs="Times New Roman"/>
          <w:color w:val="000000"/>
          <w:sz w:val="24"/>
          <w:szCs w:val="20"/>
          <w:lang w:val="en-US"/>
        </w:rPr>
        <w:t>. Evaluative task order was also counterbalanced across participants.</w:t>
      </w:r>
    </w:p>
    <w:p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bCs/>
          <w:iCs/>
          <w:color w:val="000000"/>
          <w:sz w:val="24"/>
          <w:szCs w:val="20"/>
          <w:lang w:val="en-US"/>
        </w:rPr>
        <w:t>People)</w:t>
      </w:r>
      <w:r w:rsidRPr="00613A8D">
        <w:rPr>
          <w:rFonts w:ascii="Times New Roman" w:eastAsia="Calibri" w:hAnsi="Times New Roman" w:cs="Times New Roman"/>
          <w:color w:val="000000"/>
          <w:sz w:val="24"/>
          <w:szCs w:val="20"/>
          <w:lang w:val="en-US"/>
        </w:rPr>
        <w:t>. Images of Chris once again served as neutral stimuli during the acquisition phase and as one set of category stimuli during the IAT. These images were updated so they were in-line with the videos used in Experiment 3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A second </w:t>
      </w:r>
      <w:r w:rsidRPr="00613A8D">
        <w:rPr>
          <w:rFonts w:ascii="Times New Roman" w:eastAsia="Calibri" w:hAnsi="Times New Roman" w:cs="Times New Roman"/>
          <w:color w:val="000000"/>
          <w:sz w:val="24"/>
          <w:szCs w:val="20"/>
          <w:lang w:val="en-US"/>
        </w:rPr>
        <w:lastRenderedPageBreak/>
        <w:t xml:space="preserve">individual (named Bob) was selected from a large face database and served as the contrast category during the IAT. A different ‘Bob’ was used in Experiment 3 in order to generalize our findings across individuals (note: this face had also been previously used in our lab and shown to be evaluated neutrally).  </w:t>
      </w:r>
    </w:p>
    <w:p w:rsidR="00613A8D" w:rsidRPr="00613A8D" w:rsidRDefault="00613A8D" w:rsidP="00613A8D">
      <w:pPr>
        <w:spacing w:after="0" w:line="480" w:lineRule="auto"/>
        <w:jc w:val="center"/>
        <w:rPr>
          <w:rFonts w:ascii="Times New Roman" w:eastAsia="Calibri" w:hAnsi="Times New Roman" w:cs="Times New Roman"/>
          <w:color w:val="000000"/>
          <w:sz w:val="24"/>
          <w:szCs w:val="20"/>
          <w:lang w:val="nl-BE" w:eastAsia="nl-BE"/>
        </w:rPr>
      </w:pPr>
      <w:r w:rsidRPr="00613A8D">
        <w:rPr>
          <w:rFonts w:ascii="Times New Roman" w:eastAsia="Calibri" w:hAnsi="Times New Roman" w:cs="Times New Roman"/>
          <w:noProof/>
          <w:sz w:val="20"/>
          <w:szCs w:val="20"/>
          <w:lang w:val="en-US"/>
        </w:rPr>
        <w:drawing>
          <wp:inline distT="0" distB="8255" distL="0" distR="7620" wp14:anchorId="2451035C" wp14:editId="52FAA847">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75168D0C" wp14:editId="7D2DFCB7">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0" wp14:anchorId="68450651" wp14:editId="3B104BC9">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8255" wp14:anchorId="7B38293F" wp14:editId="34933DD0">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rsidR="00613A8D" w:rsidRPr="00613A8D" w:rsidRDefault="00613A8D" w:rsidP="00613A8D">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0FB72C02" wp14:editId="011FFB3B">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2F5CA3E" wp14:editId="6A5C951F">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7CD1C171" wp14:editId="15F6FD92">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3F6A84B5" wp14:editId="7471F635">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(Behavioral Statements)</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statements differed from those used in Experiments 1-2 for two reasons: (a) to generalize our findings across statements and (b) to facilitate the creation of the Deepfaked videos: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b/>
          <w:bCs/>
          <w:i/>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A similar pIAT was used as in Experiments 1-2.</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lastRenderedPageBreak/>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Experiments 1-2 with one exception: the type of video (authentic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was counterbalanced across participants.</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Acquisition Phase</w:t>
      </w:r>
    </w:p>
    <w:p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
          <w:color w:val="000000"/>
          <w:sz w:val="24"/>
          <w:szCs w:val="20"/>
          <w:lang w:val="en-US"/>
        </w:rPr>
        <w:t>Genuine Video</w:t>
      </w:r>
      <w:r w:rsidRPr="00613A8D">
        <w:rPr>
          <w:rFonts w:ascii="Times New Roman" w:eastAsia="Calibri" w:hAnsi="Times New Roman" w:cs="Times New Roman"/>
          <w:color w:val="000000"/>
          <w:sz w:val="24"/>
          <w:szCs w:val="20"/>
          <w:lang w:val="en-US"/>
        </w:rPr>
        <w:t>. The genuine videos were similar to those used in Experiments 1-2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lang w:val="en-US"/>
        </w:rPr>
        <w:t>see above</w:t>
      </w:r>
      <w:r w:rsidRPr="00613A8D">
        <w:rPr>
          <w:rFonts w:ascii="Times New Roman" w:eastAsia="Calibri" w:hAnsi="Times New Roman" w:cs="Times New Roman"/>
          <w:color w:val="000000"/>
          <w:sz w:val="24"/>
          <w:szCs w:val="20"/>
          <w:lang w:val="en-US"/>
        </w:rPr>
        <w:t xml:space="preserve">) (for the genuine videos used in Experiment 3 see osf.io/f6ajb/).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Deepfaked videos used in Experiment 3 see osf.io/f6ajb/). </w:t>
      </w: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were prepared as in Experiments 1-2. </w:t>
      </w:r>
      <w:r w:rsidRPr="00613A8D">
        <w:rPr>
          <w:rFonts w:ascii="Times New Roman" w:eastAsia="Calibri" w:hAnsi="Times New Roman" w:cs="Times New Roman"/>
          <w:sz w:val="24"/>
          <w:szCs w:val="24"/>
          <w:lang w:val="en-US"/>
        </w:rPr>
        <w:t>A similar set of exclusion criteria were applied as in previous studies. This led to the removal of 70 participants and a final sample of 358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A similar analytic plan was carried out as in Experiments 1-2. A series of independent and one-sample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-tests were also carried out on the self-reported ratings and pIAT data to determine if they differed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(genuine vs. Deepfaked). </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318.43) = 20.62,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2.22, 95% CI [1.96; 2.49],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196) = 14.86,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1.06, 95% CI [0.88; 1.23],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1.47,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(160) = -14.55,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[-1.35; -0.95],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(355.83) = -0.10,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.92,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0.01, 95% CI [-0.22; 0.20],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0.12, such that Deepfaked videos gave rise to similar self-reported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(176) = 14.58,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[0.91; 1.28],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(180) = 14.59,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[0.90; 1.27],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gramStart"/>
      <w:r w:rsidRPr="00613A8D">
        <w:rPr>
          <w:rFonts w:ascii="Times New Roman" w:eastAsia="Calibri" w:hAnsi="Times New Roman" w:cs="Times New Roman"/>
          <w:sz w:val="24"/>
          <w:szCs w:val="24"/>
          <w:lang w:val="en-US"/>
        </w:rPr>
        <w:t>pIAT</w:t>
      </w:r>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(317.27) = 9.92,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[0.85;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353) = 0.52,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.60,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0.06, 95% CI [-0.15; 0.26],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0.41)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Results indicated a similar pattern of findings as in Experiments 1-2: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w:t>
      </w:r>
    </w:p>
    <w:p w:rsidR="00613A8D" w:rsidRPr="00613A8D" w:rsidRDefault="00613A8D"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 xml:space="preserve">Experiment 4: Impression Formation via </w:t>
      </w:r>
      <w:r w:rsidRPr="00613A8D">
        <w:rPr>
          <w:rFonts w:ascii="Times New Roman" w:eastAsia="Cambria" w:hAnsi="Times New Roman" w:cs="Times New Roman"/>
          <w:b/>
          <w:sz w:val="24"/>
          <w:szCs w:val="24"/>
          <w:lang w:val="en-US"/>
        </w:rPr>
        <w:t>Deepfaked</w:t>
      </w:r>
      <w:r w:rsidRPr="00613A8D">
        <w:rPr>
          <w:rFonts w:ascii="Times New Roman" w:eastAsia="Cambria" w:hAnsi="Times New Roman" w:cs="Times New Roman"/>
          <w:b/>
          <w:bCs/>
          <w:sz w:val="24"/>
          <w:szCs w:val="24"/>
          <w:lang w:val="en-US"/>
        </w:rPr>
        <w:t xml:space="preserve"> Audio</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4 replicated and extended upon our findings in Experiments 1-3.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sidRPr="00613A8D">
        <w:rPr>
          <w:rFonts w:ascii="Times New Roman" w:eastAsia="Calibri" w:hAnsi="Times New Roman" w:cs="Times New Roman"/>
          <w:i/>
          <w:sz w:val="24"/>
          <w:szCs w:val="24"/>
          <w:lang w:val="en-US"/>
        </w:rPr>
        <w:t>audio</w:t>
      </w:r>
      <w:r w:rsidRPr="00613A8D">
        <w:rPr>
          <w:rFonts w:ascii="Times New Roman" w:eastAsia="Calibri" w:hAnsi="Times New Roman" w:cs="Times New Roman"/>
          <w:sz w:val="24"/>
          <w:szCs w:val="24"/>
          <w:lang w:val="en-US"/>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429 participants </w:t>
      </w:r>
      <w:r w:rsidRPr="00613A8D">
        <w:rPr>
          <w:rFonts w:ascii="Times New Roman" w:eastAsia="Calibri" w:hAnsi="Times New Roman" w:cs="Times New Roman"/>
          <w:sz w:val="24"/>
          <w:szCs w:val="24"/>
          <w:lang w:val="en-US"/>
        </w:rPr>
        <w:t xml:space="preserve">(258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8.6)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Audio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Audio Type</w:t>
      </w:r>
      <w:r w:rsidRPr="00613A8D">
        <w:rPr>
          <w:rFonts w:ascii="Times New Roman" w:eastAsia="Calibri" w:hAnsi="Times New Roman" w:cs="Times New Roman"/>
          <w:color w:val="000000"/>
          <w:sz w:val="24"/>
          <w:szCs w:val="24"/>
          <w:lang w:val="en-US"/>
        </w:rPr>
        <w:t xml:space="preserve"> (authentic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color w:val="000000"/>
          <w:sz w:val="24"/>
          <w:szCs w:val="20"/>
          <w:lang w:val="en-US"/>
        </w:rPr>
        <w:t>. Evaluative task order was also counterbalanced across participants.</w:t>
      </w:r>
    </w:p>
    <w:p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The same conditioned stimuli (i.e., of Chris and Bob) were used as in Experiment 3.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lastRenderedPageBreak/>
        <w:t>Unconditioned Stimuli</w:t>
      </w:r>
      <w:r w:rsidRPr="00613A8D">
        <w:rPr>
          <w:rFonts w:ascii="Times New Roman" w:eastAsia="Calibri" w:hAnsi="Times New Roman" w:cs="Times New Roman"/>
          <w:color w:val="000000"/>
          <w:sz w:val="24"/>
          <w:szCs w:val="20"/>
          <w:lang w:val="en-US"/>
        </w:rPr>
        <w:t xml:space="preserve">. Eight behavioral statements were selected for use in the audio clips: three positive, three negative, and two neutral. The statements used in the genuine audio clips were identical to those used in Experiment 3. The statements used in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r w:rsidRPr="00613A8D">
        <w:rPr>
          <w:rFonts w:ascii="Times New Roman" w:eastAsia="Calibri" w:hAnsi="Times New Roman" w:cs="Times New Roman"/>
          <w:color w:val="000000"/>
          <w:sz w:val="24"/>
          <w:szCs w:val="20"/>
          <w:lang w:val="en-US"/>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Yes – I still believe in it. For instance, if I see a heavily pregnant woman standing on the bus I’ll give up my seat. It just seems like the right thing to do.”</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“Ok – that’s it for now. Thanks for all your questions and stay tuned for next week’s video.”</w:t>
      </w:r>
    </w:p>
    <w:p w:rsidR="00613A8D" w:rsidRPr="00613A8D" w:rsidRDefault="00613A8D" w:rsidP="00613A8D">
      <w:pPr>
        <w:spacing w:after="0" w:line="480" w:lineRule="auto"/>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A similar pIAT was used as in Experiments 1-3.</w:t>
      </w:r>
    </w:p>
    <w:p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lang w:val="en-US"/>
        </w:rPr>
      </w:pPr>
      <w:r w:rsidRPr="00613A8D">
        <w:rPr>
          <w:rFonts w:ascii="Times New Roman" w:eastAsia="Cambria" w:hAnsi="Times New Roman" w:cs="Times New Roman"/>
          <w:b/>
          <w:sz w:val="24"/>
          <w:szCs w:val="26"/>
          <w:lang w:val="en-US"/>
        </w:rPr>
        <w:t>Procedure</w:t>
      </w:r>
    </w:p>
    <w:p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that outlined in Experiments 1-3 with two exceptions: the videos were replaced with audio clips that were either genuine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and an additional question was asked about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detection.</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Genuine Audio</w:t>
      </w:r>
      <w:r w:rsidRPr="00613A8D">
        <w:rPr>
          <w:rFonts w:ascii="Times New Roman" w:eastAsia="Calibri" w:hAnsi="Times New Roman" w:cs="Times New Roman"/>
          <w:color w:val="000000"/>
          <w:sz w:val="24"/>
          <w:szCs w:val="20"/>
          <w:lang w:val="en-US"/>
        </w:rPr>
        <w:t xml:space="preserve">. The genuine audio clips were created by extracting the audio from the videos used in Experiments 3.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 in Experiment 4 see osf.io/f6ajb/). </w:t>
      </w:r>
    </w:p>
    <w:p w:rsidR="00613A8D" w:rsidRPr="00613A8D" w:rsidRDefault="00613A8D" w:rsidP="00613A8D">
      <w:pPr>
        <w:spacing w:after="0" w:line="480" w:lineRule="auto"/>
        <w:ind w:firstLine="708"/>
        <w:contextualSpacing/>
        <w:rPr>
          <w:rFonts w:ascii="Times New Roman" w:eastAsia="Calibri" w:hAnsi="Times New Roman" w:cs="Times New Roman"/>
          <w:sz w:val="20"/>
          <w:szCs w:val="20"/>
          <w:lang w:val="en-US"/>
        </w:rPr>
      </w:pPr>
      <w:r w:rsidRPr="00613A8D">
        <w:rPr>
          <w:rFonts w:ascii="Times New Roman" w:eastAsia="Calibri" w:hAnsi="Times New Roman" w:cs="Times New Roman"/>
          <w:b/>
          <w:bCs/>
          <w:sz w:val="24"/>
          <w:szCs w:val="24"/>
          <w:lang w:val="en-US"/>
        </w:rPr>
        <w:lastRenderedPageBreak/>
        <w:t>Deepfaked</w:t>
      </w:r>
      <w:r w:rsidRPr="00613A8D">
        <w:rPr>
          <w:rFonts w:ascii="Times New Roman" w:eastAsia="Calibri" w:hAnsi="Times New Roman" w:cs="Times New Roman"/>
          <w:b/>
          <w:bCs/>
          <w:iCs/>
          <w:color w:val="000000"/>
          <w:sz w:val="24"/>
          <w:szCs w:val="20"/>
          <w:lang w:val="en-US"/>
        </w:rPr>
        <w:t xml:space="preserve"> Audio</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sz w:val="24"/>
          <w:szCs w:val="24"/>
          <w:lang w:val="en-US"/>
        </w:rPr>
        <w:t xml:space="preserve">Deepfaked </w:t>
      </w:r>
      <w:r w:rsidRPr="00613A8D">
        <w:rPr>
          <w:rFonts w:ascii="Times New Roman" w:eastAsia="Calibri" w:hAnsi="Times New Roman" w:cs="Times New Roman"/>
          <w:color w:val="000000"/>
          <w:sz w:val="24"/>
          <w:szCs w:val="20"/>
          <w:lang w:val="en-US"/>
        </w:rPr>
        <w:t>audio was created using the OverDub software available from Descript (www.</w:t>
      </w: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color w:val="000000"/>
          <w:sz w:val="24"/>
          <w:szCs w:val="20"/>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sidRPr="00613A8D">
          <w:rPr>
            <w:rFonts w:ascii="Times New Roman" w:eastAsia="Calibri" w:hAnsi="Times New Roman" w:cs="Times New Roman"/>
            <w:color w:val="0000FF"/>
            <w:sz w:val="24"/>
            <w:szCs w:val="24"/>
            <w:u w:val="single"/>
            <w:lang w:val="en-US"/>
          </w:rPr>
          <w:t>https://blog.descript.com/how-imputations-work-the-research-behind-overdub/</w:t>
        </w:r>
      </w:hyperlink>
      <w:r w:rsidRPr="00613A8D">
        <w:rPr>
          <w:rFonts w:ascii="Times New Roman" w:eastAsia="Calibri" w:hAnsi="Times New Roman" w:cs="Times New Roman"/>
          <w:color w:val="000000"/>
          <w:sz w:val="24"/>
          <w:szCs w:val="20"/>
          <w:lang w:val="en-US"/>
        </w:rPr>
        <w:t xml:space="preserve">). This yielded a synthetic clone of the actor’s voice that was then used to create the statements and ultimately positive and negative audio clips used in the study (for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used in Experiment 4 see osf.io/f6ajb/).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sz w:val="24"/>
          <w:szCs w:val="24"/>
          <w:lang w:val="en-US"/>
        </w:rPr>
        <w:t>Deepfake</w:t>
      </w:r>
      <w:r w:rsidRPr="00613A8D">
        <w:rPr>
          <w:rFonts w:ascii="Times New Roman" w:eastAsia="Calibri" w:hAnsi="Times New Roman" w:cs="Times New Roman"/>
          <w:b/>
          <w:color w:val="000000"/>
          <w:sz w:val="24"/>
          <w:szCs w:val="20"/>
          <w:lang w:val="en-US"/>
        </w:rPr>
        <w:t xml:space="preserve"> Detection</w:t>
      </w:r>
      <w:r w:rsidRPr="00613A8D">
        <w:rPr>
          <w:rFonts w:ascii="Times New Roman" w:eastAsia="Calibri" w:hAnsi="Times New Roman" w:cs="Times New Roman"/>
          <w:color w:val="000000"/>
          <w:sz w:val="24"/>
          <w:szCs w:val="20"/>
          <w:lang w:val="en-US"/>
        </w:rPr>
        <w:t xml:space="preserve">. Participants in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condition were asked an additional question at the end of the experiment to determine if they had recognized that the audio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nature of the audio (“yes”) or having failed to do so (“no”) (the first and fifth authors). </w:t>
      </w:r>
      <w:r w:rsidRPr="00613A8D">
        <w:rPr>
          <w:rFonts w:ascii="Times New Roman" w:eastAsia="Calibri" w:hAnsi="Times New Roman" w:cs="Times New Roman"/>
          <w:color w:val="000000"/>
          <w:sz w:val="20"/>
          <w:szCs w:val="20"/>
          <w:vertAlign w:val="superscript"/>
          <w:lang w:val="en-US"/>
        </w:rPr>
        <w:footnoteReference w:id="3"/>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A similar set of exclusion criteria were applied as in Experiments 1-3. This led to the removal of 88 participants and a final sample of 341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i/>
          <w:sz w:val="24"/>
          <w:szCs w:val="24"/>
          <w:lang w:val="en-US"/>
        </w:rPr>
      </w:pPr>
      <w:r w:rsidRPr="00613A8D">
        <w:rPr>
          <w:rFonts w:ascii="Times New Roman" w:eastAsia="Calibri" w:hAnsi="Times New Roman" w:cs="Times New Roman"/>
          <w:b/>
          <w:i/>
          <w:sz w:val="24"/>
          <w:szCs w:val="24"/>
          <w:lang w:val="en-US"/>
        </w:rPr>
        <w:t>Self-Reported Attitudes</w:t>
      </w:r>
      <w:r w:rsidRPr="00613A8D">
        <w:rPr>
          <w:rFonts w:ascii="Times New Roman" w:eastAsia="Calibri" w:hAnsi="Times New Roman" w:cs="Times New Roman"/>
          <w:i/>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Audio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330.86) = 25.92,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2.81, 95% CI [2.51; 3.11],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1.05,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170) = 16.74,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1.28, 95% CI [1.08; 1.48],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1.23,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(169) = -19.79,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-1.52, 95% CI [-1.74;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(335.41) = 1.09,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.28,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0.12, 95% CI [-0.10; 0.33],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0.21, such that Deepfaked audio clips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(172) = 16.26,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[1.04; 1.43],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(167) = 19.94,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1.54, 95% CI [1.31; 1.76],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 xml:space="preserve">Implicit Attitudes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gramStart"/>
      <w:r w:rsidRPr="00613A8D">
        <w:rPr>
          <w:rFonts w:ascii="Times New Roman" w:eastAsia="Calibri" w:hAnsi="Times New Roman" w:cs="Times New Roman"/>
          <w:sz w:val="24"/>
          <w:szCs w:val="24"/>
          <w:lang w:val="en-US"/>
        </w:rPr>
        <w:t>pIAT</w:t>
      </w:r>
      <w:proofErr w:type="gramEnd"/>
      <w:r w:rsidRPr="00613A8D">
        <w:rPr>
          <w:rFonts w:ascii="Times New Roman" w:eastAsia="Calibri" w:hAnsi="Times New Roman" w:cs="Times New Roman"/>
          <w:sz w:val="24"/>
          <w:szCs w:val="24"/>
          <w:lang w:val="en-US"/>
        </w:rPr>
        <w:t xml:space="preserve"> scores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(335.69) = 11.18,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1.21, 95% CI [0.98; 1.44],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0.28)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337.26) = -0.37,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.71,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-0.04, 95% CI [-0.25; 0.17],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rsidR="00613A8D" w:rsidRPr="00613A8D" w:rsidRDefault="00613A8D" w:rsidP="00613A8D">
      <w:pPr>
        <w:spacing w:after="0" w:line="480" w:lineRule="auto"/>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Experiment 4 replicated and generalized our findings from one media type (video) to another (audio). Self-reported and implicit attitudes differed as a function of information </w:t>
      </w:r>
      <w:r w:rsidRPr="00613A8D">
        <w:rPr>
          <w:rFonts w:ascii="Times New Roman" w:eastAsia="Calibri" w:hAnsi="Times New Roman" w:cs="Times New Roman"/>
          <w:sz w:val="24"/>
          <w:szCs w:val="24"/>
          <w:lang w:val="en-US"/>
        </w:rPr>
        <w:lastRenderedPageBreak/>
        <w:t xml:space="preserve">content (positive vs. negative), and once again, Deepfakes not only effectively manipulated attitudes but did so in a way that was similar to authentic content. </w:t>
      </w:r>
    </w:p>
    <w:p w:rsidR="00613A8D" w:rsidRPr="00613A8D" w:rsidRDefault="00613A8D"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 xml:space="preserve">Experiment 5: Impression Formation via </w:t>
      </w:r>
      <w:r w:rsidRPr="00613A8D">
        <w:rPr>
          <w:rFonts w:ascii="Times New Roman" w:eastAsia="Cambria" w:hAnsi="Times New Roman" w:cs="Times New Roman"/>
          <w:b/>
          <w:sz w:val="24"/>
          <w:szCs w:val="24"/>
          <w:lang w:val="en-US"/>
        </w:rPr>
        <w:t>Deepfaked</w:t>
      </w:r>
      <w:r w:rsidRPr="00613A8D">
        <w:rPr>
          <w:rFonts w:ascii="Times New Roman" w:eastAsia="Cambria" w:hAnsi="Times New Roman" w:cs="Times New Roman"/>
          <w:b/>
          <w:bCs/>
          <w:sz w:val="24"/>
          <w:szCs w:val="24"/>
          <w:lang w:val="en-US"/>
        </w:rPr>
        <w:t xml:space="preserve"> Videos using Alternative Creation Process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 3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Experiment 5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w:t>
      </w:r>
      <w:r w:rsidRPr="00613A8D">
        <w:rPr>
          <w:rFonts w:ascii="Times New Roman" w:eastAsia="Calibri" w:hAnsi="Times New Roman" w:cs="Times New Roman"/>
          <w:sz w:val="24"/>
          <w:szCs w:val="24"/>
          <w:lang w:val="en-US"/>
        </w:rPr>
        <w:lastRenderedPageBreak/>
        <w:t xml:space="preserve">detected the Deepfaked nature of the video they had watched, and (b) were aware of the concept of Deepfaking prior to taking part in the study. </w:t>
      </w:r>
      <w:r w:rsidRPr="00613A8D">
        <w:rPr>
          <w:rFonts w:ascii="Times New Roman" w:eastAsia="Calibri" w:hAnsi="Times New Roman" w:cs="Times New Roman"/>
          <w:sz w:val="20"/>
          <w:szCs w:val="24"/>
          <w:vertAlign w:val="superscript"/>
          <w:lang w:val="en-US"/>
        </w:rPr>
        <w:footnoteReference w:id="4"/>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276 participants </w:t>
      </w:r>
      <w:r w:rsidRPr="00613A8D">
        <w:rPr>
          <w:rFonts w:ascii="Times New Roman" w:eastAsia="Calibri" w:hAnsi="Times New Roman" w:cs="Times New Roman"/>
          <w:sz w:val="24"/>
          <w:szCs w:val="24"/>
          <w:lang w:val="en-US"/>
        </w:rPr>
        <w:t xml:space="preserve">(151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32.6,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12.3)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that outlined in Experiment 3 with two exceptions: the processed used to create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and the inclusion of additional demographic and individual difference measures. </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w:t>
      </w:r>
      <w:r w:rsidRPr="00613A8D">
        <w:rPr>
          <w:rFonts w:ascii="Times New Roman" w:eastAsia="Calibri" w:hAnsi="Times New Roman" w:cs="Times New Roman"/>
          <w:color w:val="000000"/>
          <w:sz w:val="24"/>
          <w:szCs w:val="20"/>
          <w:lang w:val="en-US"/>
        </w:rPr>
        <w:lastRenderedPageBreak/>
        <w:t xml:space="preserve">Deepfaked videos of the actor saying negative statements were generated similarly (i.e., using only the positive statements). In this way the genuine and Deepfaked videos were similar in their content but differed in their origin (i.e., genuine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hd w:val="clear" w:color="auto" w:fill="FFFFFE"/>
        <w:spacing w:after="0" w:line="480" w:lineRule="auto"/>
        <w:ind w:firstLine="708"/>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b/>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w:t>
      </w:r>
      <w:proofErr w:type="gramStart"/>
      <w:r w:rsidRPr="00613A8D">
        <w:rPr>
          <w:rFonts w:ascii="Times New Roman" w:eastAsia="Calibri" w:hAnsi="Times New Roman" w:cs="Times New Roman"/>
          <w:color w:val="000000"/>
          <w:sz w:val="24"/>
          <w:szCs w:val="24"/>
          <w:lang w:val="en-US"/>
        </w:rPr>
        <w:t>level</w:t>
      </w:r>
      <w:proofErr w:type="gramEnd"/>
      <w:r w:rsidRPr="00613A8D">
        <w:rPr>
          <w:rFonts w:ascii="Times New Roman" w:eastAsia="Calibri" w:hAnsi="Times New Roman" w:cs="Times New Roman"/>
          <w:color w:val="000000"/>
          <w:sz w:val="24"/>
          <w:szCs w:val="24"/>
          <w:lang w:val="en-US"/>
        </w:rPr>
        <w:t xml:space="preserve"> of education, employment status, and income. </w:t>
      </w:r>
    </w:p>
    <w:p w:rsidR="00613A8D" w:rsidRPr="00613A8D" w:rsidRDefault="00613A8D" w:rsidP="00613A8D">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Cheyne, Barr, Koehler &amp; Fugelsang, 2014). This scale consists of a single item: “With which of the following do you identify?” Respondents are asked to check one of 16 boxes, which include 13 of the most common belief systems (e.g. Muslim, Jewish, Catholic Christian, Humanist, </w:t>
      </w:r>
      <w:proofErr w:type="gramStart"/>
      <w:r w:rsidRPr="00613A8D">
        <w:rPr>
          <w:rFonts w:ascii="Times New Roman" w:eastAsia="Calibri" w:hAnsi="Times New Roman" w:cs="Times New Roman"/>
          <w:color w:val="000000"/>
          <w:sz w:val="24"/>
          <w:szCs w:val="24"/>
          <w:lang w:val="en-US"/>
        </w:rPr>
        <w:t>Atheist</w:t>
      </w:r>
      <w:proofErr w:type="gramEnd"/>
      <w:r w:rsidRPr="00613A8D">
        <w:rPr>
          <w:rFonts w:ascii="Times New Roman" w:eastAsia="Calibri" w:hAnsi="Times New Roman" w:cs="Times New Roman"/>
          <w:color w:val="000000"/>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rsidR="00613A8D" w:rsidRPr="00613A8D" w:rsidRDefault="00613A8D" w:rsidP="00613A8D">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lastRenderedPageBreak/>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Toplak,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rsidR="00613A8D" w:rsidRPr="00613A8D" w:rsidRDefault="00613A8D" w:rsidP="00613A8D">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Pacini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Björklund &amp; Bäckström, 2008). Participants are asked to rate 20 statements such as “I have a logical mind”, “I tend to use my heart as a guide for my actions” and “I enjoy solving 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5"/>
      </w:r>
      <w:r w:rsidRPr="00613A8D">
        <w:rPr>
          <w:rFonts w:ascii="Times New Roman" w:eastAsia="Calibri" w:hAnsi="Times New Roman" w:cs="Times New Roman"/>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Overclaiming</w:t>
      </w:r>
      <w:r w:rsidRPr="00613A8D">
        <w:rPr>
          <w:rFonts w:ascii="Times New Roman" w:eastAsia="Calibri" w:hAnsi="Times New Roman" w:cs="Times New Roman"/>
          <w:color w:val="000000"/>
          <w:sz w:val="24"/>
          <w:szCs w:val="24"/>
          <w:lang w:val="en-US"/>
        </w:rPr>
        <w:t xml:space="preserve">. The overclaiming questionnaire was adapted from Paulhus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r w:rsidRPr="00613A8D">
        <w:rPr>
          <w:rFonts w:ascii="Times New Roman" w:eastAsia="Calibri" w:hAnsi="Times New Roman" w:cs="Times New Roman"/>
          <w:color w:val="000000"/>
          <w:sz w:val="24"/>
          <w:szCs w:val="24"/>
          <w:lang w:val="en-US"/>
        </w:rPr>
        <w:lastRenderedPageBreak/>
        <w:t>Paulhus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for the overclaiming measure are similar if false alarms are used as the primary measure instead of computing the overall accuracy score.</w:t>
      </w:r>
    </w:p>
    <w:p w:rsidR="00613A8D" w:rsidRPr="00613A8D" w:rsidRDefault="00613A8D" w:rsidP="00613A8D">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sidRPr="00613A8D">
        <w:rPr>
          <w:rFonts w:ascii="Times New Roman" w:eastAsia="Calibri" w:hAnsi="Times New Roman" w:cs="Times New Roman"/>
          <w:color w:val="000000"/>
          <w:sz w:val="24"/>
          <w:szCs w:val="24"/>
          <w:lang w:val="en-US"/>
        </w:rPr>
        <w:t>Completely</w:t>
      </w:r>
      <w:proofErr w:type="gramEnd"/>
      <w:r w:rsidRPr="00613A8D">
        <w:rPr>
          <w:rFonts w:ascii="Times New Roman" w:eastAsia="Calibri" w:hAnsi="Times New Roman" w:cs="Times New Roman"/>
          <w:color w:val="000000"/>
          <w:sz w:val="24"/>
          <w:szCs w:val="24"/>
          <w:lang w:val="en-US"/>
        </w:rPr>
        <w:t xml:space="preserve"> false, 9= Completely true) and an overall score is computed as the mean of all items, with higher scores reflecting stronger belief in conspiracy theories. </w:t>
      </w:r>
    </w:p>
    <w:p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bCs/>
          <w:i/>
          <w:iCs/>
          <w:sz w:val="24"/>
          <w:szCs w:val="24"/>
          <w:lang w:val="en-US"/>
        </w:rPr>
        <w:t>Deepfake</w:t>
      </w:r>
      <w:r w:rsidRPr="00613A8D">
        <w:rPr>
          <w:rFonts w:ascii="Times New Roman" w:eastAsia="Calibri" w:hAnsi="Times New Roman" w:cs="Times New Roman"/>
          <w:b/>
          <w:i/>
          <w:iCs/>
          <w:color w:val="000000"/>
          <w:sz w:val="24"/>
          <w:szCs w:val="20"/>
          <w:lang w:val="en-US"/>
        </w:rPr>
        <w:t xml:space="preserve"> Awareness and Detection</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two questions related to Deepfakes. The first (detection) asked if they had recognized that the video they encountered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w:t>
      </w:r>
      <w:r w:rsidRPr="00613A8D">
        <w:rPr>
          <w:rFonts w:ascii="Times New Roman" w:eastAsia="Calibri" w:hAnsi="Times New Roman" w:cs="Times New Roman"/>
          <w:color w:val="000000"/>
          <w:sz w:val="24"/>
          <w:szCs w:val="24"/>
          <w:lang w:val="en-US"/>
        </w:rPr>
        <w:lastRenderedPageBreak/>
        <w:t xml:space="preserve">‘Deepfaked’?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6"/>
      </w:r>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previous studies. This led to the removal of 55 participants and a final sample of 221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212.9) = 17.12,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2.31, 95% CI [1.97;  2.66],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(103) = -12.61,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[-1.49; -0.98],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(218.79) = -1.01,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-0.14, 95% CI [-0.39; 0.13],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0.24, such that Deepfaked videos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(108) = 11.22,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1.08, 95% CI [0.84; 1.31],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1.30,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12.86,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1.22, 95% CI [0.97;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sz w:val="20"/>
          <w:szCs w:val="20"/>
          <w:lang w:val="en-US"/>
        </w:rPr>
      </w:pP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gramStart"/>
      <w:r w:rsidRPr="00613A8D">
        <w:rPr>
          <w:rFonts w:ascii="Times New Roman" w:eastAsia="Calibri" w:hAnsi="Times New Roman" w:cs="Times New Roman"/>
          <w:sz w:val="24"/>
          <w:szCs w:val="24"/>
          <w:lang w:val="en-US"/>
        </w:rPr>
        <w:lastRenderedPageBreak/>
        <w:t>pIAT</w:t>
      </w:r>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(212.04) = 9.34,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1.26, 95% CI [0.97; 1.55],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0.29)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216.69) = 0.95,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0.13, 95% CI [-0.14; 0.39],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0.22,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0.34)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0.39).</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rsidR="00613A8D" w:rsidRPr="00613A8D" w:rsidRDefault="00613A8D"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 xml:space="preserve">Experiment 6: Impression Formation via </w:t>
      </w:r>
      <w:r w:rsidRPr="00613A8D">
        <w:rPr>
          <w:rFonts w:ascii="Times New Roman" w:eastAsia="Cambria" w:hAnsi="Times New Roman" w:cs="Times New Roman"/>
          <w:b/>
          <w:sz w:val="24"/>
          <w:szCs w:val="24"/>
          <w:lang w:val="en-US"/>
        </w:rPr>
        <w:t>Deepfaked</w:t>
      </w:r>
      <w:r w:rsidRPr="00613A8D">
        <w:rPr>
          <w:rFonts w:ascii="Times New Roman" w:eastAsia="Cambria" w:hAnsi="Times New Roman" w:cs="Times New Roman"/>
          <w:b/>
          <w:bCs/>
          <w:sz w:val="24"/>
          <w:szCs w:val="24"/>
          <w:lang w:val="en-US"/>
        </w:rPr>
        <w:t xml:space="preserve"> Audio</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0"/>
          <w:lang w:val="en-US"/>
        </w:rPr>
        <w:t xml:space="preserve">Across five studies we have repeatedly demonstrated that self-reported and implicit attitudes (“first impressions”) can be established and manipulated via </w:t>
      </w:r>
      <w:r w:rsidRPr="00613A8D">
        <w:rPr>
          <w:rFonts w:ascii="Times New Roman" w:eastAsia="Calibri" w:hAnsi="Times New Roman" w:cs="Times New Roman"/>
          <w:sz w:val="24"/>
          <w:szCs w:val="24"/>
          <w:lang w:val="en-US"/>
        </w:rPr>
        <w:t>Deepfakes</w:t>
      </w:r>
      <w:r w:rsidRPr="00613A8D">
        <w:rPr>
          <w:rFonts w:ascii="Times New Roman" w:eastAsia="Calibri" w:hAnsi="Times New Roman" w:cs="Times New Roman"/>
          <w:sz w:val="24"/>
          <w:szCs w:val="20"/>
          <w:lang w:val="en-US"/>
        </w:rPr>
        <w:t xml:space="preserve">. This was true for different types of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(video and audio) and for different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sz w:val="24"/>
          <w:szCs w:val="20"/>
          <w:lang w:val="en-US"/>
        </w:rPr>
        <w:t xml:space="preserve"> creation methods. Not only did we find that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alters attitudes, but that it also does so to a similar extent as genuine online content. In Experiment 6 we set out to replicate our prior findings with audio Deepfakes from Experiment 4. Although we have repeatedly replicated our findings with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videos we have only demonstrated that pattern once with audio content. Replicating our findings in this domain would provide yet more evidence that our claims generalize across different media types. We also examined if Deepfaked </w:t>
      </w:r>
      <w:r w:rsidRPr="00613A8D">
        <w:rPr>
          <w:rFonts w:ascii="Times New Roman" w:eastAsia="Calibri" w:hAnsi="Times New Roman" w:cs="Times New Roman"/>
          <w:sz w:val="24"/>
          <w:szCs w:val="20"/>
          <w:lang w:val="en-US"/>
        </w:rPr>
        <w:lastRenderedPageBreak/>
        <w:t xml:space="preserve">content would not only change attitudes but also influence behavioral intentions towards the target as well. </w:t>
      </w:r>
      <w:r w:rsidRPr="00613A8D">
        <w:rPr>
          <w:rFonts w:ascii="Times New Roman" w:eastAsia="Calibri" w:hAnsi="Times New Roman" w:cs="Times New Roman"/>
          <w:sz w:val="20"/>
          <w:szCs w:val="20"/>
          <w:vertAlign w:val="superscript"/>
          <w:lang w:val="en-US"/>
        </w:rPr>
        <w:footnoteReference w:id="7"/>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265 participants </w:t>
      </w:r>
      <w:r w:rsidRPr="00613A8D">
        <w:rPr>
          <w:rFonts w:ascii="Times New Roman" w:eastAsia="Calibri" w:hAnsi="Times New Roman" w:cs="Times New Roman"/>
          <w:sz w:val="24"/>
          <w:szCs w:val="24"/>
          <w:lang w:val="en-US"/>
        </w:rPr>
        <w:t xml:space="preserve">(154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33.3,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12.6)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that outlined in Experiment 4 with three exceptions: participants were asked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awareness and detection questions from Experiment 5, a behavioral intentions measure was included after self-reported ratings, and a different set of individual difference measures were administered as in Experiment 5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w:t>
      </w:r>
    </w:p>
    <w:p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Behavioral Intentions</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p>
    <w:p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p>
    <w:p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lastRenderedPageBreak/>
        <w:t xml:space="preserve">Demographic questions were similar to those used in Experiment 5.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8"/>
      </w:r>
    </w:p>
    <w:p w:rsidR="00613A8D" w:rsidRPr="00613A8D" w:rsidRDefault="00613A8D" w:rsidP="00613A8D">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xml:space="preserve"> /no/unsure), another probing the perceived accuracy of the news story: “To the best of your knowledge, how accurate is the claim in the above headline?” (</w:t>
      </w:r>
      <w:proofErr w:type="gramStart"/>
      <w:r w:rsidRPr="00613A8D">
        <w:rPr>
          <w:rFonts w:ascii="Times New Roman" w:eastAsia="Calibri" w:hAnsi="Times New Roman" w:cs="Times New Roman"/>
          <w:color w:val="000000"/>
          <w:sz w:val="24"/>
          <w:szCs w:val="24"/>
          <w:lang w:val="en-US"/>
        </w:rPr>
        <w:t>not</w:t>
      </w:r>
      <w:proofErr w:type="gramEnd"/>
      <w:r w:rsidRPr="00613A8D">
        <w:rPr>
          <w:rFonts w:ascii="Times New Roman" w:eastAsia="Calibri" w:hAnsi="Times New Roman" w:cs="Times New Roman"/>
          <w:color w:val="000000"/>
          <w:sz w:val="24"/>
          <w:szCs w:val="24"/>
          <w:lang w:val="en-US"/>
        </w:rPr>
        <w:t xml:space="preserve"> at all accurate, not very accurate, somewhat accurate, very accurate), and a third probing their intentions to share the news story: “Would you consider sharing this story online (for example, through Facebook or Twitter)?”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no, maybe). Headlines were presented in random order.</w:t>
      </w:r>
    </w:p>
    <w:p w:rsidR="00613A8D" w:rsidRPr="00613A8D" w:rsidRDefault="00613A8D" w:rsidP="00613A8D">
      <w:pPr>
        <w:spacing w:after="0" w:line="480" w:lineRule="auto"/>
        <w:contextualSpacing/>
        <w:rPr>
          <w:rFonts w:ascii="Times New Roman" w:eastAsia="Calibri" w:hAnsi="Times New Roman" w:cs="Times New Roman"/>
          <w:sz w:val="20"/>
          <w:szCs w:val="20"/>
          <w:lang w:val="en-US"/>
        </w:rPr>
      </w:pPr>
      <w:r w:rsidRPr="00613A8D">
        <w:rPr>
          <w:rFonts w:ascii="Times New Roman" w:eastAsia="Calibri" w:hAnsi="Times New Roman" w:cs="Times New Roman"/>
          <w:color w:val="000000"/>
          <w:sz w:val="24"/>
          <w:szCs w:val="20"/>
          <w:lang w:val="en-US"/>
        </w:rPr>
        <w:lastRenderedPageBreak/>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A shortened form of the actively open-minded thinking about evidence scale was administered that was revised by Pennycook, Cheyne, Koehler, and Fugelsang (2019: Study 2).  Participants were asked to rate 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p w:rsidR="00613A8D" w:rsidRPr="00613A8D" w:rsidRDefault="00613A8D" w:rsidP="00613A8D">
      <w:pPr>
        <w:keepNext/>
        <w:keepLines/>
        <w:spacing w:before="40" w:after="0" w:line="480" w:lineRule="auto"/>
        <w:jc w:val="center"/>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Results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Experiments 1-5. This led to the removal of 47 participants and a final sample of 218 individuals.</w:t>
      </w:r>
    </w:p>
    <w:p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evaluations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186.84) = 20.91,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2.89, 95% CI [2.51; 3.28],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1.01,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16.10,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1.49, 95% CI [1.22; 1.75],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(100) = -14.17,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-1.41, 95% CI [-1.68; -1.13],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differed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(206.7) = 2.92,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0.39, 95% CI [0.13; 0.67],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7.95, such that Deepfaked audio clips gave rise to attitudes that were larger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1.06,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18.82,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1.78, 95% CI [1.48; 2.08],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than those established by genuine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(105) = 11.88,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[0.91; 1.39],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gramStart"/>
      <w:r w:rsidRPr="00613A8D">
        <w:rPr>
          <w:rFonts w:ascii="Times New Roman" w:eastAsia="Calibri" w:hAnsi="Times New Roman" w:cs="Times New Roman"/>
          <w:sz w:val="24"/>
          <w:szCs w:val="24"/>
          <w:lang w:val="en-US"/>
        </w:rPr>
        <w:lastRenderedPageBreak/>
        <w:t>pIAT</w:t>
      </w:r>
      <w:proofErr w:type="gramEnd"/>
      <w:r w:rsidRPr="00613A8D">
        <w:rPr>
          <w:rFonts w:ascii="Times New Roman" w:eastAsia="Calibri" w:hAnsi="Times New Roman" w:cs="Times New Roman"/>
          <w:sz w:val="24"/>
          <w:szCs w:val="24"/>
          <w:lang w:val="en-US"/>
        </w:rPr>
        <w:t xml:space="preserve"> scores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(200.89) = 9.93,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1.36, 95% CI [1.06; 1.66],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0.35).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 = -0.18,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.85,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-0.03, 95% CI [-0.29; 0.24],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0.15,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w:t>
      </w:r>
    </w:p>
    <w:p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 xml:space="preserve">Intentions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sz w:val="24"/>
          <w:szCs w:val="24"/>
          <w:lang w:val="en-US"/>
        </w:rPr>
        <w:t xml:space="preserve">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213.23) = 10.32,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1.38, 95% CI [1.08; 1.67],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were ambivalent about supporting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and strongly disagreed that they would support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Intentions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215.04) = 0.75,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.45,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 95% CI [-0.17; 0.37],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0.19, such that Deepfaked audio gave rise to similar intentions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0.59)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0.46).</w:t>
      </w:r>
      <w:r w:rsidRPr="00613A8D">
        <w:rPr>
          <w:rFonts w:ascii="Times New Roman" w:eastAsia="Calibri" w:hAnsi="Times New Roman" w:cs="Times New Roman"/>
          <w:b/>
          <w:sz w:val="24"/>
          <w:szCs w:val="24"/>
          <w:lang w:val="en-US"/>
        </w:rPr>
        <w:t xml:space="preserve">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Discussion</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type (video) to another (audio). </w:t>
      </w:r>
    </w:p>
    <w:p w:rsidR="00613A8D" w:rsidRPr="00613A8D" w:rsidRDefault="00613A8D" w:rsidP="00613A8D">
      <w:pPr>
        <w:keepNext/>
        <w:keepLines/>
        <w:spacing w:before="240" w:after="0" w:line="480" w:lineRule="auto"/>
        <w:jc w:val="center"/>
        <w:outlineLvl w:val="0"/>
        <w:rPr>
          <w:rFonts w:ascii="Times New Roman" w:eastAsia="Cambria" w:hAnsi="Times New Roman" w:cs="Times New Roman"/>
          <w:b/>
          <w:sz w:val="24"/>
          <w:szCs w:val="24"/>
          <w:lang w:val="en-US"/>
        </w:rPr>
      </w:pPr>
      <w:r w:rsidRPr="00613A8D">
        <w:rPr>
          <w:rFonts w:ascii="Times New Roman" w:eastAsia="Cambria" w:hAnsi="Times New Roman" w:cs="Times New Roman"/>
          <w:b/>
          <w:sz w:val="24"/>
          <w:szCs w:val="24"/>
          <w:lang w:val="en-US"/>
        </w:rPr>
        <w:t>Meta-Analysis (Experiments 1-6)</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of the data from Experiments 1-6 that were not contained in the original preregistration for individual studies. Separately, some methodological improvements were generated after Experiments 1-6 were run (e.g., improved exclusion criteria to ensure participants stayed on the page where they watched/listened to the intervention in its entirety). We therefore elected to use the data from Experiments 1-6 to create a (non-preregistered) alternative </w:t>
      </w:r>
      <w:r w:rsidRPr="00613A8D">
        <w:rPr>
          <w:rFonts w:ascii="Times New Roman" w:eastAsia="Calibri" w:hAnsi="Times New Roman" w:cs="Times New Roman"/>
          <w:sz w:val="24"/>
          <w:szCs w:val="24"/>
          <w:lang w:val="en-GB"/>
        </w:rPr>
        <w:t xml:space="preserve">analytic </w:t>
      </w:r>
      <w:r w:rsidRPr="00613A8D">
        <w:rPr>
          <w:rFonts w:ascii="Times New Roman" w:eastAsia="Calibri" w:hAnsi="Times New Roman" w:cs="Times New Roman"/>
          <w:sz w:val="24"/>
          <w:szCs w:val="24"/>
          <w:lang w:val="en-GB"/>
        </w:rPr>
        <w:lastRenderedPageBreak/>
        <w:t xml:space="preserve">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Experiment 7, which was designed to provide strong confirmatory tests of these hypotheses.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analyses applied to Experiments 1-6 – this analytic strategy was developed on the existing data and was then preregistered and applied to Experiment 7 (with some necessary modifications, i.e., removing the random effect for experiment). The development of this precision in the implementation and interpretation of the analyses served to strengthen the later confirmatory analyses in Experiment 7.</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rsidR="00613A8D" w:rsidRPr="00613A8D" w:rsidRDefault="00613A8D" w:rsidP="00613A8D">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lastRenderedPageBreak/>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Our previous studies employed different variants of the IAT D score to score the pIAT data (Greenwald et al., 2003). For meta-analysis, all data was scored using the D2 variant.</w:t>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rsidR="00613A8D" w:rsidRPr="00613A8D" w:rsidRDefault="00613A8D" w:rsidP="00613A8D">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brms (Buerkner, 2017), which leverages the STAN language to allow for Bayesian inference via MCMC sampling.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valenced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existing data from Experiments 1-6, a random intercept for Experiment was also added to the model (i.e., these were meta-analytic models).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1-6:</w:t>
      </w:r>
    </w:p>
    <w:p w:rsidR="00613A8D" w:rsidRPr="00613A8D" w:rsidRDefault="00613A8D" w:rsidP="00613A8D">
      <w:pPr>
        <w:spacing w:after="0" w:line="240" w:lineRule="auto"/>
        <w:rPr>
          <w:rFonts w:ascii="Times New Roman" w:eastAsia="Calibri" w:hAnsi="Times New Roman" w:cs="Times New Roman"/>
          <w:sz w:val="36"/>
          <w:szCs w:val="24"/>
          <w:lang w:val="en-US"/>
        </w:rPr>
      </w:pPr>
      <w:r w:rsidRPr="00613A8D">
        <w:rPr>
          <w:rFonts w:ascii="Times New Roman" w:eastAsia="Calibri" w:hAnsi="Times New Roman" w:cs="Times New Roman"/>
          <w:sz w:val="24"/>
          <w:szCs w:val="18"/>
          <w:lang w:val="en-US"/>
        </w:rPr>
        <w:t>dependent_variable ~ source_valence * content_type + (1 | experiment)</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i/>
          <w:iCs/>
          <w:sz w:val="24"/>
          <w:szCs w:val="24"/>
          <w:lang w:val="en-US"/>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w:t>
      </w:r>
      <w:r w:rsidRPr="00613A8D">
        <w:rPr>
          <w:rFonts w:ascii="Times New Roman" w:eastAsia="Calibri" w:hAnsi="Times New Roman" w:cs="Times New Roman"/>
          <w:sz w:val="24"/>
          <w:szCs w:val="24"/>
          <w:lang w:val="en-US"/>
        </w:rPr>
        <w:lastRenderedPageBreak/>
        <w:t xml:space="preserve">and Deepfake detection; and their interaction. When these were applied to the existing data (Experiments 5-6), a random intercept for Experiment was also added to the model (i.e., these were meta-analytic models).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1-6:</w:t>
      </w:r>
    </w:p>
    <w:p w:rsidR="00613A8D" w:rsidRPr="00613A8D" w:rsidRDefault="00613A8D" w:rsidP="00613A8D">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rsidR="00613A8D" w:rsidRPr="00613A8D" w:rsidRDefault="00613A8D" w:rsidP="00613A8D">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Model Priors and their Informativeness.</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2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xml:space="preserve">). We used Gelman’s (2019)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adapt_delta parameter and refitting the model).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w:t>
      </w:r>
      <w:r w:rsidRPr="00613A8D">
        <w:rPr>
          <w:rFonts w:ascii="Times New Roman" w:eastAsia="Calibri" w:hAnsi="Times New Roman" w:cs="Times New Roman"/>
          <w:sz w:val="24"/>
          <w:szCs w:val="24"/>
          <w:lang w:val="en-US"/>
        </w:rPr>
        <w:lastRenderedPageBreak/>
        <w:t>Intervals (HDIs). In the linear models, estimates for subgroups were calculated via manipulation of the posterior probabilities (e.g., genuine condition = intercept, Deepfaked condition = intercept + main effect for experiment condition, etc.; see R code implementation for details).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All three of these metrics were implemented using the bayestestR R package.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addition to this non-inferiority hypothesis test, which we note is a relatively strict test, an effect size was produced to characterize the magnitude of the effect size in the Deepfaked condition as a percentage of the genuine condition. This was implemented by </w:t>
      </w:r>
      <w:r w:rsidRPr="00613A8D">
        <w:rPr>
          <w:rFonts w:ascii="Times New Roman" w:eastAsia="Calibri" w:hAnsi="Times New Roman" w:cs="Times New Roman"/>
          <w:sz w:val="24"/>
          <w:szCs w:val="24"/>
          <w:lang w:val="en-US"/>
        </w:rPr>
        <w:lastRenderedPageBreak/>
        <w:t>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rsidR="00613A8D" w:rsidRPr="00613A8D" w:rsidRDefault="00613A8D" w:rsidP="00613A8D">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Informedness (Youden’s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rsidR="00613A8D" w:rsidRPr="00613A8D" w:rsidRDefault="00613A8D" w:rsidP="00613A8D">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r w:rsidRPr="00613A8D">
        <w:rPr>
          <w:rFonts w:ascii="Times New Roman" w:eastAsia="Calibri" w:hAnsi="Times New Roman" w:cs="Times New Roman"/>
          <w:sz w:val="24"/>
          <w:szCs w:val="24"/>
          <w:lang w:val="en-US"/>
        </w:rPr>
        <w:lastRenderedPageBreak/>
        <w:t>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2: Are Deepfakes as Effective as Genuine Content at Influencing Attitudes and Intentions?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 xml:space="preserve">(pIAT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3: How Effective are People at Detecting Deepfakes?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informedness/Youden’s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classified the content as Deepfake aware then it was scored as such, otherwise they were scored unaware. Inter-rater reliability was found to be good. Results </w:t>
      </w:r>
      <w:r w:rsidRPr="00613A8D">
        <w:rPr>
          <w:rFonts w:ascii="Times New Roman" w:eastAsia="Calibri" w:hAnsi="Times New Roman" w:cs="Times New Roman"/>
          <w:sz w:val="24"/>
          <w:szCs w:val="24"/>
          <w:lang w:val="en-US"/>
        </w:rPr>
        <w:lastRenderedPageBreak/>
        <w:t>indicated that roughly half (53.5%) of participants were scored as aware of the concept of Deepfakes prior to the study.</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6: Does Detecting Deepfaked Content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240" w:after="0" w:line="480" w:lineRule="auto"/>
        <w:jc w:val="center"/>
        <w:outlineLvl w:val="0"/>
        <w:rPr>
          <w:rFonts w:ascii="Times New Roman" w:eastAsia="Cambria" w:hAnsi="Times New Roman" w:cs="Times New Roman"/>
          <w:b/>
          <w:sz w:val="24"/>
          <w:szCs w:val="24"/>
          <w:lang w:val="en-US"/>
        </w:rPr>
      </w:pPr>
      <w:r w:rsidRPr="00613A8D">
        <w:rPr>
          <w:rFonts w:ascii="Times New Roman" w:eastAsia="Cambria" w:hAnsi="Times New Roman" w:cs="Times New Roman"/>
          <w:b/>
          <w:sz w:val="24"/>
          <w:szCs w:val="24"/>
          <w:lang w:val="en-US"/>
        </w:rPr>
        <w:t>Experiment 7: Impression Formation via Deepfaked Video (Confirmatory Study)</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people from its </w:t>
      </w:r>
      <w:r w:rsidRPr="00613A8D">
        <w:rPr>
          <w:rFonts w:ascii="Times New Roman" w:eastAsia="Calibri" w:hAnsi="Times New Roman" w:cs="Times New Roman"/>
          <w:sz w:val="24"/>
          <w:szCs w:val="24"/>
          <w:lang w:val="en-US"/>
        </w:rPr>
        <w:lastRenderedPageBreak/>
        <w:t xml:space="preserve">influence, and are those who are both aware </w:t>
      </w:r>
      <w:r w:rsidRPr="00613A8D">
        <w:rPr>
          <w:rFonts w:ascii="Times New Roman" w:eastAsia="Calibri" w:hAnsi="Times New Roman" w:cs="Times New Roman"/>
          <w:i/>
          <w:iCs/>
          <w:sz w:val="24"/>
          <w:szCs w:val="24"/>
          <w:lang w:val="en-US"/>
        </w:rPr>
        <w:t>and</w:t>
      </w:r>
      <w:r w:rsidRPr="00613A8D">
        <w:rPr>
          <w:rFonts w:ascii="Times New Roman" w:eastAsia="Calibri" w:hAnsi="Times New Roman" w:cs="Times New Roman"/>
          <w:sz w:val="24"/>
          <w:szCs w:val="24"/>
          <w:lang w:val="en-US"/>
        </w:rPr>
        <w:t xml:space="preserve"> who detect Deepfakes better immunized than those who are not (H7)?</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preregistered analyses in Experiments 1-6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sidRPr="00613A8D">
        <w:rPr>
          <w:rFonts w:ascii="Times New Roman" w:eastAsia="Calibri" w:hAnsi="Times New Roman" w:cs="Times New Roman"/>
          <w:sz w:val="20"/>
          <w:szCs w:val="24"/>
          <w:vertAlign w:val="superscript"/>
          <w:lang w:val="en-US"/>
        </w:rPr>
        <w:footnoteReference w:id="9"/>
      </w:r>
    </w:p>
    <w:p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Method</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Sample Size Selection</w:t>
      </w:r>
    </w:p>
    <w:p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Sample size was determined via Bayesian power analysis which was itself determined using a simulation study. The simulation involved the following steps. Bayesian linear models were first 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w:t>
      </w:r>
      <w:proofErr w:type="gramStart"/>
      <w:r w:rsidRPr="00613A8D">
        <w:rPr>
          <w:rFonts w:ascii="Times New Roman" w:eastAsia="Calibri" w:hAnsi="Times New Roman" w:cs="Times New Roman"/>
          <w:bCs/>
          <w:sz w:val="24"/>
          <w:szCs w:val="24"/>
          <w:lang w:val="en-US"/>
        </w:rPr>
        <w:t>simulation</w:t>
      </w:r>
      <w:proofErr w:type="gramEnd"/>
      <w:r w:rsidRPr="00613A8D">
        <w:rPr>
          <w:rFonts w:ascii="Times New Roman" w:eastAsia="Calibri" w:hAnsi="Times New Roman" w:cs="Times New Roman"/>
          <w:bCs/>
          <w:sz w:val="24"/>
          <w:szCs w:val="24"/>
          <w:lang w:val="en-US"/>
        </w:rPr>
        <w:t xml:space="preserve"> runs until a sample size was obtained that provided at least 80% power for </w:t>
      </w:r>
      <w:r w:rsidRPr="00613A8D">
        <w:rPr>
          <w:rFonts w:ascii="Times New Roman" w:eastAsia="Calibri" w:hAnsi="Times New Roman" w:cs="Times New Roman"/>
          <w:bCs/>
          <w:sz w:val="24"/>
          <w:szCs w:val="24"/>
          <w:lang w:val="en-US"/>
        </w:rPr>
        <w:lastRenderedPageBreak/>
        <w:t xml:space="preserve">all hypotheses. This sample size was then adjusted to take the data exclusion rates observed in Experiments 1-6 into account. Results indicated that 600 participants would be required after exclusions. </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Participants and Design</w:t>
      </w:r>
    </w:p>
    <w:p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770 participants </w:t>
      </w:r>
      <w:r w:rsidRPr="00613A8D">
        <w:rPr>
          <w:rFonts w:ascii="Times New Roman" w:eastAsia="Calibri" w:hAnsi="Times New Roman" w:cs="Times New Roman"/>
          <w:sz w:val="24"/>
          <w:szCs w:val="24"/>
          <w:lang w:val="en-US"/>
        </w:rPr>
        <w:t xml:space="preserve">completed the study on Prolific </w:t>
      </w:r>
      <w:r w:rsidRPr="00613A8D">
        <w:rPr>
          <w:rFonts w:ascii="Times New Roman" w:eastAsia="Calibri" w:hAnsi="Times New Roman" w:cs="Times New Roman"/>
          <w:color w:val="000000"/>
          <w:sz w:val="24"/>
          <w:szCs w:val="24"/>
          <w:lang w:val="en-US"/>
        </w:rPr>
        <w:t>in exchange for a monetary reward</w:t>
      </w:r>
      <w:r w:rsidRPr="00613A8D">
        <w:rPr>
          <w:rFonts w:ascii="Times New Roman" w:eastAsia="Calibri" w:hAnsi="Times New Roman" w:cs="Times New Roman"/>
          <w:bCs/>
          <w:sz w:val="24"/>
          <w:szCs w:val="24"/>
          <w:lang w:val="en-US"/>
        </w:rPr>
        <w:t xml:space="preserve">. Data processing was run on this sample to determine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The final (post-exclusion) sample consisted of </w:t>
      </w:r>
      <w:r w:rsidRPr="00613A8D">
        <w:rPr>
          <w:rFonts w:ascii="Times New Roman" w:eastAsia="Calibri" w:hAnsi="Times New Roman" w:cs="Times New Roman"/>
          <w:sz w:val="24"/>
          <w:szCs w:val="24"/>
          <w:lang w:val="en-US"/>
        </w:rPr>
        <w:t xml:space="preserve">635 participants (387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35.7,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13)</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bCs/>
          <w:sz w:val="24"/>
          <w:szCs w:val="24"/>
          <w:lang w:val="en-US"/>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Stimuli</w:t>
      </w:r>
    </w:p>
    <w:p w:rsidR="00613A8D" w:rsidRPr="00613A8D" w:rsidRDefault="00613A8D" w:rsidP="00613A8D">
      <w:pPr>
        <w:spacing w:after="0" w:line="24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stimuli were used as in Experiment 5.</w:t>
      </w:r>
    </w:p>
    <w:p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completed the following tasks in the stated order unless it was previously noted that a given phase was counterbalanced.</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Demographics</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indicated their age and gender (man, woman, non-binary, prefer not to disclose, prefer to self-describe). </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Acquisition Phase (Independent variable)</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Participants watched the same videos as in Experiment 5. No memory or diagnositicity questions were asked in this study.  </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Personalized IAT (Dependent variable)</w:t>
      </w:r>
      <w:r w:rsidRPr="00613A8D">
        <w:rPr>
          <w:rFonts w:ascii="Times New Roman" w:eastAsia="Calibri" w:hAnsi="Times New Roman" w:cs="Times New Roman"/>
          <w:sz w:val="24"/>
          <w:szCs w:val="24"/>
          <w:lang w:val="en-US"/>
        </w:rPr>
        <w:t xml:space="preserv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8"/>
          <w:lang w:val="en-US"/>
        </w:rPr>
        <w:t xml:space="preserve">A similar pIAT was used as before </w:t>
      </w:r>
      <w:r w:rsidRPr="00613A8D">
        <w:rPr>
          <w:rFonts w:ascii="Times New Roman" w:eastAsia="Calibri" w:hAnsi="Times New Roman" w:cs="Times New Roman"/>
          <w:sz w:val="24"/>
          <w:szCs w:val="24"/>
          <w:lang w:val="en-US"/>
        </w:rPr>
        <w:t>with one exception: pIAT trials were increased from 16 to 20 in the practice blocks and 32 to 40 in the test blocks.</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Self-Reported Ratings and Intentions (Dependent variable)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rating and intention questions were used as in previous studies.</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Detection (Dependent variable for H3, Independent variable for H4, exclusion criterion for H5)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w:t>
      </w:r>
      <w:r w:rsidRPr="00613A8D">
        <w:rPr>
          <w:rFonts w:ascii="Times New Roman" w:eastAsia="Calibri" w:hAnsi="Times New Roman" w:cs="Times New Roman"/>
          <w:sz w:val="24"/>
          <w:szCs w:val="24"/>
          <w:lang w:val="en-US"/>
        </w:rPr>
        <w:lastRenderedPageBreak/>
        <w:t>ended question was included for exploratory purposes and was not used in any of the preregistered analyses for Experiment 7.</w:t>
      </w:r>
    </w:p>
    <w:p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Awareness (Independent variable for H4, exclusion criterion for H5)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preregistered analyses for Experiment 7.</w:t>
      </w:r>
    </w:p>
    <w:p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were excluded as in Experiments 1-6 with one exception: </w:t>
      </w:r>
      <w:r w:rsidRPr="00613A8D">
        <w:rPr>
          <w:rFonts w:ascii="Times New Roman" w:eastAsia="Calibri" w:hAnsi="Times New Roman" w:cs="Times New Roman"/>
          <w:sz w:val="24"/>
          <w:szCs w:val="24"/>
          <w:lang w:val="en-US"/>
        </w:rPr>
        <w:t>in Experiment 7 we excluded participants if they did not spend a minimum of 2.25 minutes, or spent over 4.5 minutes on the acquisition phase (i.e., video).</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were prepared as in Experiment 5. Similar to meta-analyses, we standardized </w:t>
      </w:r>
      <w:r w:rsidRPr="00613A8D">
        <w:rPr>
          <w:rFonts w:ascii="Times New Roman" w:eastAsia="Calibri" w:hAnsi="Times New Roman" w:cs="Times New Roman"/>
          <w:sz w:val="24"/>
          <w:szCs w:val="24"/>
          <w:lang w:val="en-US"/>
        </w:rPr>
        <w:t xml:space="preserve">self-reported ratings, pIAT scores, and behavioral intentions by 1 SD after exclusions and prior to analyses. This was done within each level of both IVs (i.e., by Source Valence condition [positive vs. negative], and by Video Content [Genuine vs. Deepfaked]). </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1: Does Online Content Change Attitudes and Intentions Towards a Novel Individual?</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 xml:space="preserve">(pIAT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t>
      </w:r>
      <w:r w:rsidRPr="00613A8D">
        <w:rPr>
          <w:rFonts w:ascii="Times New Roman" w:eastAsia="Calibri" w:hAnsi="Times New Roman" w:cs="Times New Roman"/>
          <w:sz w:val="24"/>
          <w:szCs w:val="24"/>
          <w:lang w:val="en-US"/>
        </w:rPr>
        <w:lastRenderedPageBreak/>
        <w:t xml:space="preserve">well as poorly informed decisions about whether content was genuine or not (e.g., informedness/ 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0.27, 95% CI [0.20, 0.35]).</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 xml:space="preserve">Research Question 4: Are People Aware That Content Can Be Deepfaked Before They Take Part in The Study and Does This Make Them Better at Detecting Them? </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7: Does Awareness and Detection of Deepfakes Protect One from Its Influence?</w:t>
      </w:r>
    </w:p>
    <w:p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rsidR="00017ABB" w:rsidRPr="00613A8D" w:rsidRDefault="00017ABB">
      <w:pPr>
        <w:spacing w:line="480" w:lineRule="auto"/>
        <w:ind w:firstLine="708"/>
        <w:rPr>
          <w:lang w:val="en-US"/>
        </w:rPr>
      </w:pPr>
    </w:p>
    <w:sectPr w:rsidR="00017ABB" w:rsidRPr="00613A8D">
      <w:headerReference w:type="default" r:id="rId25"/>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0EB" w:rsidRDefault="009550EB">
      <w:pPr>
        <w:spacing w:after="0" w:line="240" w:lineRule="auto"/>
      </w:pPr>
      <w:r>
        <w:separator/>
      </w:r>
    </w:p>
  </w:endnote>
  <w:endnote w:type="continuationSeparator" w:id="0">
    <w:p w:rsidR="009550EB" w:rsidRDefault="0095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0EB" w:rsidRDefault="009550EB">
      <w:r>
        <w:separator/>
      </w:r>
    </w:p>
  </w:footnote>
  <w:footnote w:type="continuationSeparator" w:id="0">
    <w:p w:rsidR="009550EB" w:rsidRDefault="009550EB">
      <w:r>
        <w:continuationSeparator/>
      </w:r>
    </w:p>
  </w:footnote>
  <w:footnote w:id="1">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lang w:val="en-IE"/>
        </w:rPr>
        <w:t xml:space="preserve"> Note that t</w:t>
      </w:r>
      <w:r w:rsidRPr="00903872">
        <w:rPr>
          <w:rFonts w:ascii="Times New Roman" w:hAnsi="Times New Roman" w:cs="Times New Roman"/>
        </w:rPr>
        <w:t>he study designs and data-analysis plans for all experiments are available on the Open Science Framework website (</w:t>
      </w:r>
      <w:hyperlink r:id="rId1">
        <w:r w:rsidRPr="00903872">
          <w:rPr>
            <w:rStyle w:val="InternetLink"/>
            <w:rFonts w:ascii="Times New Roman" w:hAnsi="Times New Roman" w:cs="Times New Roman"/>
          </w:rPr>
          <w:t>osf.io/f6ajb/</w:t>
        </w:r>
      </w:hyperlink>
      <w:r w:rsidRPr="00903872">
        <w:rPr>
          <w:rFonts w:ascii="Times New Roman" w:hAnsi="Times New Roman" w:cs="Times New Roman"/>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rPr>
        <w:t xml:space="preserve"> </w:t>
      </w:r>
      <w:r w:rsidRPr="00903872">
        <w:rPr>
          <w:rFonts w:ascii="Times New Roman" w:hAnsi="Times New Roman" w:cs="Times New Roman"/>
        </w:rPr>
        <w:t>These questions were included for purely exploratory purposes, were not central to the research agenda, and are not discussed from this point onwards. We have made this data freely available at (</w:t>
      </w:r>
      <w:hyperlink r:id="rId2">
        <w:r w:rsidRPr="00903872">
          <w:rPr>
            <w:rStyle w:val="InternetLink"/>
            <w:rFonts w:ascii="Times New Roman" w:hAnsi="Times New Roman" w:cs="Times New Roman"/>
          </w:rPr>
          <w:t>osf.io/f6ajb/</w:t>
        </w:r>
      </w:hyperlink>
      <w:r w:rsidRPr="00903872">
        <w:rPr>
          <w:rFonts w:ascii="Times New Roman" w:hAnsi="Times New Roman" w:cs="Times New Roman"/>
        </w:rPr>
        <w:t>) for those interested in exploring it further.</w:t>
      </w:r>
    </w:p>
  </w:footnote>
  <w:footnote w:id="3">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4">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5">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6">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7">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Experiment 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We opted for these changes for several reasons. First, exploratory analyses in Experiment 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rsidR="00613A8D" w:rsidRPr="00903872" w:rsidRDefault="00613A8D" w:rsidP="00613A8D">
      <w:pPr>
        <w:pStyle w:val="FootnoteText"/>
        <w:rPr>
          <w:rFonts w:ascii="Times New Roman" w:hAnsi="Times New Roman" w:cs="Times New Roman"/>
        </w:rPr>
      </w:pPr>
      <w:bookmarkStart w:id="0" w:name="_GoBack"/>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All data processing, exclusion, standardization, and data analyses were written and preregistered prior to data collection (see osf.io/f6ajb/).</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C3E" w:rsidRDefault="004B3C3E" w:rsidP="004B3C3E">
    <w:pPr>
      <w:pStyle w:val="Header"/>
      <w:rPr>
        <w:lang w:val="en-US"/>
      </w:rPr>
    </w:pPr>
  </w:p>
  <w:p w:rsidR="004B3C3E" w:rsidRPr="004B3C3E" w:rsidRDefault="004B3C3E" w:rsidP="004B3C3E">
    <w:pPr>
      <w:pStyle w:val="Header"/>
      <w:rPr>
        <w:rFonts w:ascii="Times New Roman" w:hAnsi="Times New Roman" w:cs="Times New Roman"/>
        <w:sz w:val="24"/>
        <w:lang w:val="en-US"/>
      </w:rPr>
    </w:pPr>
    <w:r w:rsidRPr="004B3C3E">
      <w:rPr>
        <w:rFonts w:ascii="Times New Roman" w:hAnsi="Times New Roman" w:cs="Times New Roman"/>
        <w:sz w:val="24"/>
        <w:lang w:val="en-US"/>
      </w:rPr>
      <w:t xml:space="preserve">SUPPLEMENTARY MATERIALS </w:t>
    </w:r>
    <w:sdt>
      <w:sdtPr>
        <w:rPr>
          <w:rFonts w:ascii="Times New Roman" w:hAnsi="Times New Roman" w:cs="Times New Roman"/>
          <w:sz w:val="24"/>
        </w:rPr>
        <w:id w:val="1265963935"/>
        <w:docPartObj>
          <w:docPartGallery w:val="Page Numbers (Top of Page)"/>
          <w:docPartUnique/>
        </w:docPartObj>
      </w:sdtPr>
      <w:sdtEndPr>
        <w:rPr>
          <w:noProof/>
        </w:rPr>
      </w:sdtEndPr>
      <w:sdtContent>
        <w:r>
          <w:rPr>
            <w:rFonts w:ascii="Times New Roman" w:hAnsi="Times New Roman" w:cs="Times New Roman"/>
            <w:sz w:val="24"/>
          </w:rPr>
          <w:tab/>
        </w:r>
        <w:r>
          <w:rPr>
            <w:rFonts w:ascii="Times New Roman" w:hAnsi="Times New Roman" w:cs="Times New Roman"/>
            <w:sz w:val="24"/>
          </w:rPr>
          <w:tab/>
        </w:r>
        <w:r w:rsidRPr="004B3C3E">
          <w:rPr>
            <w:rFonts w:ascii="Times New Roman" w:hAnsi="Times New Roman" w:cs="Times New Roman"/>
            <w:sz w:val="24"/>
          </w:rPr>
          <w:fldChar w:fldCharType="begin"/>
        </w:r>
        <w:r w:rsidRPr="004B3C3E">
          <w:rPr>
            <w:rFonts w:ascii="Times New Roman" w:hAnsi="Times New Roman" w:cs="Times New Roman"/>
            <w:sz w:val="24"/>
          </w:rPr>
          <w:instrText xml:space="preserve"> PAGE   \* MERGEFORMAT </w:instrText>
        </w:r>
        <w:r w:rsidRPr="004B3C3E">
          <w:rPr>
            <w:rFonts w:ascii="Times New Roman" w:hAnsi="Times New Roman" w:cs="Times New Roman"/>
            <w:sz w:val="24"/>
          </w:rPr>
          <w:fldChar w:fldCharType="separate"/>
        </w:r>
        <w:r w:rsidR="00903872">
          <w:rPr>
            <w:rFonts w:ascii="Times New Roman" w:hAnsi="Times New Roman" w:cs="Times New Roman"/>
            <w:noProof/>
            <w:sz w:val="24"/>
          </w:rPr>
          <w:t>46</w:t>
        </w:r>
        <w:r w:rsidRPr="004B3C3E">
          <w:rPr>
            <w:rFonts w:ascii="Times New Roman" w:hAnsi="Times New Roman" w:cs="Times New Roman"/>
            <w:noProof/>
            <w:sz w:val="24"/>
          </w:rPr>
          <w:fldChar w:fldCharType="end"/>
        </w:r>
      </w:sdtContent>
    </w:sdt>
  </w:p>
  <w:p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F77D5"/>
    <w:rsid w:val="00131AC7"/>
    <w:rsid w:val="00280048"/>
    <w:rsid w:val="00284078"/>
    <w:rsid w:val="002C667A"/>
    <w:rsid w:val="004B3C3E"/>
    <w:rsid w:val="00513C96"/>
    <w:rsid w:val="00596201"/>
    <w:rsid w:val="00613A8D"/>
    <w:rsid w:val="006A2B5E"/>
    <w:rsid w:val="007C04E2"/>
    <w:rsid w:val="00825046"/>
    <w:rsid w:val="008F652D"/>
    <w:rsid w:val="00903872"/>
    <w:rsid w:val="009550EB"/>
    <w:rsid w:val="00A3094C"/>
    <w:rsid w:val="00BB36D7"/>
    <w:rsid w:val="00C35991"/>
    <w:rsid w:val="00C85A1F"/>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45D"/>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
    <w:name w:val="Unresolved Mention"/>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link w:val="Title"/>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link w:val="Heading4"/>
    <w:uiPriority w:val="9"/>
    <w:semiHidden/>
    <w:rsid w:val="00613A8D"/>
    <w:rPr>
      <w:rFonts w:asciiTheme="majorHAnsi" w:eastAsiaTheme="majorEastAsia" w:hAnsiTheme="majorHAnsi" w:cstheme="majorBidi"/>
      <w:i/>
      <w:iCs/>
      <w:color w:val="2E74B5"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A03D5-A320-424C-9D9B-3AB9D442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47</Pages>
  <Words>12750</Words>
  <Characters>72676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 hughes</cp:lastModifiedBy>
  <cp:revision>9</cp:revision>
  <dcterms:created xsi:type="dcterms:W3CDTF">2021-01-24T16:52:00Z</dcterms:created>
  <dcterms:modified xsi:type="dcterms:W3CDTF">2021-01-26T12:03:00Z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