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w:t>
      </w:r>
      <w:proofErr w:type="spellStart"/>
      <w:r>
        <w:t>Herzliya</w:t>
      </w:r>
      <w:proofErr w:type="spellEnd"/>
      <w:r>
        <w:t>,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w:t>
      </w:r>
      <w:proofErr w:type="spellStart"/>
      <w:r>
        <w:t>Fermilab</w:t>
      </w:r>
      <w:proofErr w:type="spellEnd"/>
      <w:r>
        <w:t>),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.64, 95% CI [.60, 0.67]) nor informed (</w:t>
      </w:r>
      <w:proofErr w:type="spellStart"/>
      <w:r>
        <w:t>Youden’s</w:t>
      </w:r>
      <w:proofErr w:type="spellEnd"/>
      <w:r>
        <w:t xml:space="preserve">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F3DFC79"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w:t>
      </w:r>
      <w:r>
        <w:t xml:space="preserve">) just as their unaware counterparts were.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(self-reported: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w:t>
      </w:r>
      <w:r w:rsidR="001951F9">
        <w:rPr>
          <w:rFonts w:eastAsia="Calibri"/>
        </w:rPr>
        <w:t>implicit</w:t>
      </w:r>
      <w:r>
        <w:rPr>
          <w:rFonts w:eastAsia="Calibri"/>
        </w:rPr>
        <w:t xml:space="preserve">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2.39</w:t>
      </w:r>
      <w:r>
        <w:rPr>
          <w:rFonts w:eastAsia="Calibri"/>
        </w:rPr>
        <w:t>, 95% CI [</w:t>
      </w:r>
      <w:r>
        <w:t>2.07</w:t>
      </w:r>
      <w:r>
        <w:rPr>
          <w:rFonts w:eastAsia="Calibri"/>
        </w:rPr>
        <w:t xml:space="preserve">, </w:t>
      </w:r>
      <w:r>
        <w:t>2.70</w:t>
      </w:r>
      <w:r>
        <w:rPr>
          <w:rFonts w:eastAsia="Calibri"/>
        </w:rPr>
        <w:t xml:space="preserve">], </w:t>
      </w:r>
      <w:r>
        <w:rPr>
          <w:rFonts w:eastAsia="Calibri"/>
          <w:i/>
        </w:rPr>
        <w:t>p</w:t>
      </w:r>
      <w:r>
        <w:rPr>
          <w:rFonts w:eastAsia="Calibri"/>
        </w:rPr>
        <w:t xml:space="preserve"> &lt; .0001</w:t>
      </w:r>
      <w:r>
        <w:t xml:space="preserve">), of those who were aware </w:t>
      </w:r>
      <w:r>
        <w:rPr>
          <w:i/>
          <w:iCs/>
        </w:rPr>
        <w:t>and</w:t>
      </w:r>
      <w:r>
        <w:t xml:space="preserve"> detected its presence.</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Deepfakes: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7">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8">
        <w:r w:rsidRPr="00B97AB5">
          <w:rPr>
            <w:rStyle w:val="InternetLink"/>
          </w:rPr>
          <w:t>https://www.scientificamerican.com/video/artificial-intelligence-is-now-shockingly-good-at-sounding-human/</w:t>
        </w:r>
      </w:hyperlink>
      <w:hyperlink r:id="rId9">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0">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1">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2">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3">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w:t>
      </w:r>
      <w:proofErr w:type="spellStart"/>
      <w:r w:rsidRPr="00B97AB5">
        <w:t>Cavalli</w:t>
      </w:r>
      <w:proofErr w:type="spellEnd"/>
      <w:r w:rsidRPr="00B97AB5">
        <w:t>, L. Cullen, The state of Deepfakes 2019: Landscape, threats, and impact (2019), (</w:t>
      </w:r>
      <w:hyperlink r:id="rId14">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 xml:space="preserve">9. J. </w:t>
      </w:r>
      <w:proofErr w:type="spellStart"/>
      <w:r w:rsidRPr="00B97AB5">
        <w:t>Koetsier</w:t>
      </w:r>
      <w:proofErr w:type="spellEnd"/>
      <w:r w:rsidRPr="00B97AB5">
        <w:t>, Fake video election? Deepfake videos ‘grew 20X’ since 2019 (2020), (</w:t>
      </w:r>
      <w:hyperlink r:id="rId15">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16">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17">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w:t>
      </w:r>
      <w:proofErr w:type="spellStart"/>
      <w:r w:rsidRPr="00B97AB5">
        <w:t>Eira</w:t>
      </w:r>
      <w:proofErr w:type="spellEnd"/>
      <w:r w:rsidRPr="00B97AB5">
        <w:t xml:space="preserve">, P. </w:t>
      </w:r>
      <w:proofErr w:type="spellStart"/>
      <w:r w:rsidRPr="00B97AB5">
        <w:t>Amann</w:t>
      </w:r>
      <w:proofErr w:type="spellEnd"/>
      <w:r w:rsidRPr="00B97AB5">
        <w:t xml:space="preserve">, A. </w:t>
      </w:r>
      <w:proofErr w:type="spellStart"/>
      <w:r w:rsidRPr="00B97AB5">
        <w:t>Klayn</w:t>
      </w:r>
      <w:proofErr w:type="spellEnd"/>
      <w:r w:rsidRPr="00B97AB5">
        <w:t xml:space="preserve">, R. </w:t>
      </w:r>
      <w:proofErr w:type="spellStart"/>
      <w:r w:rsidRPr="00B97AB5">
        <w:t>McArdle</w:t>
      </w:r>
      <w:proofErr w:type="spellEnd"/>
      <w:r w:rsidRPr="00B97AB5">
        <w:t xml:space="preserve">, I. </w:t>
      </w:r>
      <w:proofErr w:type="spellStart"/>
      <w:r w:rsidRPr="00B97AB5">
        <w:t>Beridze</w:t>
      </w:r>
      <w:proofErr w:type="spellEnd"/>
      <w:r w:rsidRPr="00B97AB5">
        <w:t xml:space="preserve">, P. </w:t>
      </w:r>
      <w:proofErr w:type="spellStart"/>
      <w:r w:rsidRPr="00B97AB5">
        <w:t>Amann</w:t>
      </w:r>
      <w:proofErr w:type="spellEnd"/>
      <w:r w:rsidRPr="00B97AB5">
        <w:t>, Malicious uses and abuses of artificial intelligence. Trend Micro Research (2020), (</w:t>
      </w:r>
      <w:hyperlink r:id="rId18">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19">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0">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Deepfakes: A new disinformation threat (2020), (</w:t>
      </w:r>
      <w:hyperlink r:id="rId21">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2">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3">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w:t>
      </w:r>
      <w:proofErr w:type="spellStart"/>
      <w:r w:rsidRPr="00B97AB5">
        <w:t>Tewari</w:t>
      </w:r>
      <w:proofErr w:type="spellEnd"/>
      <w:r w:rsidRPr="00B97AB5">
        <w:t xml:space="preserve">,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proofErr w:type="gramStart"/>
      <w:r w:rsidRPr="00B97AB5">
        <w:rPr>
          <w:i/>
          <w:iCs/>
          <w:color w:val="222222"/>
          <w:shd w:val="clear" w:color="auto" w:fill="FFFFFF"/>
        </w:rPr>
        <w:t>arXiv:</w:t>
      </w:r>
      <w:proofErr w:type="gramEnd"/>
      <w:r w:rsidRPr="00B97AB5">
        <w:rPr>
          <w:i/>
          <w:iCs/>
          <w:color w:val="222222"/>
          <w:shd w:val="clear" w:color="auto" w:fill="FFFFFF"/>
        </w:rPr>
        <w:t xml:space="preserve">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4">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w:t>
      </w:r>
      <w:proofErr w:type="spellStart"/>
      <w:r w:rsidRPr="00B97AB5">
        <w:t>debiasing</w:t>
      </w:r>
      <w:proofErr w:type="spellEnd"/>
      <w:r w:rsidRPr="00B97AB5">
        <w:t xml:space="preserve">.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proofErr w:type="gramStart"/>
      <w:r w:rsidRPr="00B97AB5">
        <w:rPr>
          <w:i/>
          <w:iCs/>
        </w:rPr>
        <w:t>The</w:t>
      </w:r>
      <w:proofErr w:type="gramEnd"/>
      <w:r w:rsidRPr="00B97AB5">
        <w:rPr>
          <w:i/>
          <w:iCs/>
        </w:rPr>
        <w:t xml:space="preserv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5">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w:t>
      </w:r>
      <w:proofErr w:type="spellStart"/>
      <w:r w:rsidRPr="00B97AB5">
        <w:t>Greenbaum</w:t>
      </w:r>
      <w:proofErr w:type="spellEnd"/>
      <w:r w:rsidRPr="00B97AB5">
        <w:t xml:space="preserve">, Deepfakes and memory malleability: False memories in the service of fake news. </w:t>
      </w:r>
      <w:r w:rsidRPr="00B97AB5">
        <w:rPr>
          <w:i/>
          <w:iCs/>
        </w:rPr>
        <w:t xml:space="preserve">AJOB </w:t>
      </w:r>
      <w:proofErr w:type="spellStart"/>
      <w:proofErr w:type="gramStart"/>
      <w:r w:rsidRPr="00B97AB5">
        <w:rPr>
          <w:i/>
          <w:iCs/>
        </w:rPr>
        <w:t>Neurosci</w:t>
      </w:r>
      <w:proofErr w:type="spellEnd"/>
      <w:r w:rsidRPr="00B97AB5">
        <w:t>.,</w:t>
      </w:r>
      <w:proofErr w:type="gram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Deepfake myths: Common misconceptions about synthetic media (2019), (</w:t>
      </w:r>
      <w:hyperlink r:id="rId26">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w:t>
      </w:r>
      <w:proofErr w:type="spellStart"/>
      <w:r w:rsidRPr="00B97AB5">
        <w:t>Mandelbaum</w:t>
      </w:r>
      <w:proofErr w:type="spellEnd"/>
      <w:r w:rsidRPr="00B97AB5">
        <w:t xml:space="preserve">,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1442A35B" w14:textId="0F2552A0" w:rsidR="009E3609" w:rsidRDefault="00FA6F8D">
      <w:pPr>
        <w:pStyle w:val="AbstractSummary"/>
      </w:pPr>
      <w:r>
        <w:t xml:space="preserve">This work </w:t>
      </w:r>
      <w:r w:rsidR="0058745B">
        <w:t xml:space="preserve">was supported by </w:t>
      </w:r>
      <w:r w:rsidR="006E7169" w:rsidRPr="00DE6679">
        <w:t>Ghent University grant BOF16/MET_V/002</w:t>
      </w:r>
      <w:r w:rsidR="0058745B">
        <w:t xml:space="preserve">. </w:t>
      </w:r>
      <w:r w:rsidR="006E7169">
        <w:t xml:space="preserve">O. Fried was </w:t>
      </w:r>
      <w:r w:rsidR="006E7169" w:rsidRPr="006E7169">
        <w:t>partially supported by the Brown Institute for Media Innovation</w:t>
      </w:r>
      <w:r>
        <w:t xml:space="preserve">. </w:t>
      </w:r>
      <w:r w:rsidR="00A80A93" w:rsidRPr="00A80A93">
        <w:t>C.H. acknowledges support from Fermi Research Alliance, LLC under Contract No. DE-AC02-07CH11359 with the U.S. Department of Energy, Office of Science, Office of High Energy Physics.</w:t>
      </w:r>
      <w:r w:rsidR="00A80A93">
        <w:t xml:space="preserve"> </w:t>
      </w:r>
      <w:bookmarkStart w:id="1" w:name="_GoBack"/>
      <w:bookmarkEnd w:id="1"/>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p w14:paraId="5B818E6F" w14:textId="77777777" w:rsidR="009E3609" w:rsidRDefault="009E3609">
      <w:pPr>
        <w:pStyle w:val="AbstractSummary"/>
      </w:pPr>
    </w:p>
    <w:sectPr w:rsidR="009E3609">
      <w:headerReference w:type="default" r:id="rId27"/>
      <w:footerReference w:type="default" r:id="rId28"/>
      <w:pgSz w:w="12240" w:h="15840"/>
      <w:pgMar w:top="1440" w:right="1440" w:bottom="1440" w:left="1440" w:header="432" w:footer="720" w:gutter="0"/>
      <w:lnNumType w:countBy="5" w:distance="720" w:restart="continuou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C5344" w14:textId="77777777" w:rsidR="008242E5" w:rsidRDefault="008242E5">
      <w:r>
        <w:separator/>
      </w:r>
    </w:p>
  </w:endnote>
  <w:endnote w:type="continuationSeparator" w:id="0">
    <w:p w14:paraId="772C83E8" w14:textId="77777777" w:rsidR="008242E5" w:rsidRDefault="0082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47E5F2F4" w:rsidR="009E3609" w:rsidRDefault="0058745B">
    <w:pPr>
      <w:pStyle w:val="Footer"/>
      <w:jc w:val="center"/>
    </w:pPr>
    <w:r>
      <w:rPr>
        <w:caps/>
        <w:color w:val="4F81BD" w:themeColor="accent1"/>
      </w:rPr>
      <w:fldChar w:fldCharType="begin"/>
    </w:r>
    <w:r>
      <w:rPr>
        <w:caps/>
      </w:rPr>
      <w:instrText>PAGE</w:instrText>
    </w:r>
    <w:r>
      <w:rPr>
        <w:caps/>
      </w:rPr>
      <w:fldChar w:fldCharType="separate"/>
    </w:r>
    <w:r w:rsidR="00A80A93">
      <w:rPr>
        <w:caps/>
        <w:noProof/>
      </w:rPr>
      <w:t>11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450F9" w14:textId="77777777" w:rsidR="008242E5" w:rsidRDefault="008242E5"/>
  </w:footnote>
  <w:footnote w:type="continuationSeparator" w:id="0">
    <w:p w14:paraId="66C04D6E" w14:textId="77777777" w:rsidR="008242E5" w:rsidRDefault="008242E5">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1951F9"/>
    <w:rsid w:val="001C2D86"/>
    <w:rsid w:val="0034724C"/>
    <w:rsid w:val="004B1C22"/>
    <w:rsid w:val="005139A5"/>
    <w:rsid w:val="0058745B"/>
    <w:rsid w:val="005F433B"/>
    <w:rsid w:val="006E715D"/>
    <w:rsid w:val="006E7169"/>
    <w:rsid w:val="008242E5"/>
    <w:rsid w:val="009167CE"/>
    <w:rsid w:val="009A67F9"/>
    <w:rsid w:val="009E3609"/>
    <w:rsid w:val="00A80A93"/>
    <w:rsid w:val="00AC0C63"/>
    <w:rsid w:val="00B10A5D"/>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entificamerican.com/video/artificial-intelligence-is-now-shockingly-good-at-sounding-human/" TargetMode="External"/><Relationship Id="rId13" Type="http://schemas.openxmlformats.org/officeDocument/2006/relationships/hyperlink" Target="https://www.wsj.com/articles/fraudsters-use-ai-to-mimic-ceos-voice-in-unusual-cybercrime-case-11567157402" TargetMode="External"/><Relationship Id="rId18" Type="http://schemas.openxmlformats.org/officeDocument/2006/relationships/hyperlink" Target="https://www.europol.europa.eu/publications-documents/malicious-uses-and-abuses-of-artificial-intelligence" TargetMode="External"/><Relationship Id="rId26" Type="http://schemas.openxmlformats.org/officeDocument/2006/relationships/hyperlink" Target="https://securingdemocracy.gmfus.org/deepfake-myths-common-misconceptions-about-synthetic-media/" TargetMode="External"/><Relationship Id="rId3" Type="http://schemas.openxmlformats.org/officeDocument/2006/relationships/settings" Target="settings.xml"/><Relationship Id="rId21" Type="http://schemas.openxmlformats.org/officeDocument/2006/relationships/hyperlink" Target="https://democracy-reporting.org/dri_publications/deepfakes-a-new-disinformation-threat/" TargetMode="External"/><Relationship Id="rId7" Type="http://schemas.openxmlformats.org/officeDocument/2006/relationships/hyperlink" Target="https://www.nytimes.com/interactive/2020/11/21/science/artificial-intelligence-fake-people-faces.html" TargetMode="External"/><Relationship Id="rId12" Type="http://schemas.openxmlformats.org/officeDocument/2006/relationships/hyperlink" Target="https://carnegieendowment.org/2020/07/08/deepfakes-and-synthetic-media-in-financial-system-assessing-threat-scenarios-pub-82237" TargetMode="External"/><Relationship Id="rId17" Type="http://schemas.openxmlformats.org/officeDocument/2006/relationships/hyperlink" Target="https://crsreports.congress.gov/product/pdf/IF/IF11333" TargetMode="External"/><Relationship Id="rId25" Type="http://schemas.openxmlformats.org/officeDocument/2006/relationships/hyperlink" Target="https://www.reuters.com/article/us-twitter-security-idUSKBN1ZY2OV" TargetMode="External"/><Relationship Id="rId2" Type="http://schemas.openxmlformats.org/officeDocument/2006/relationships/styles" Target="styles.xml"/><Relationship Id="rId16" Type="http://schemas.openxmlformats.org/officeDocument/2006/relationships/hyperlink" Target="https://www.brookings.edu/research/is-seeing-still-believing-the-deepfake-challenge-to-truth-in-politics/" TargetMode="External"/><Relationship Id="rId20" Type="http://schemas.openxmlformats.org/officeDocument/2006/relationships/hyperlink" Target="https://www.congress.gov/bill/116th-congress/senate-bill/29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uters.com/article/us-cyber-deepfake-activist-idUSKCN24G15E" TargetMode="External"/><Relationship Id="rId24" Type="http://schemas.openxmlformats.org/officeDocument/2006/relationships/hyperlink" Target="https://blog.descript.com/how-imputations-work-the-research-behind-overdub/" TargetMode="External"/><Relationship Id="rId5" Type="http://schemas.openxmlformats.org/officeDocument/2006/relationships/footnotes" Target="footnotes.xml"/><Relationship Id="rId15" Type="http://schemas.openxmlformats.org/officeDocument/2006/relationships/hyperlink" Target="https://www.forbes.com/sites/johnkoetsier/2020/09/09/fake-video-election-deepfake-videos-grew-20x-since-2019/" TargetMode="External"/><Relationship Id="rId23" Type="http://schemas.openxmlformats.org/officeDocument/2006/relationships/hyperlink" Target="https://ai.facebook.com/blog/deepfake-detection-challenge-results-an-open-initiative-to-advance-ai/" TargetMode="External"/><Relationship Id="rId28" Type="http://schemas.openxmlformats.org/officeDocument/2006/relationships/footer" Target="footer1.xml"/><Relationship Id="rId10" Type="http://schemas.openxmlformats.org/officeDocument/2006/relationships/hyperlink" Target="https://www.theguardian.com/commentisfree/2020/sep/08/robot-wrote-this-article-gpt-3" TargetMode="External"/><Relationship Id="rId19" Type="http://schemas.openxmlformats.org/officeDocument/2006/relationships/hyperlink" Target="https://eur-lex.europa.eu/legal-content/EN/TXT/?uri=CELEX:52018DC0236" TargetMode="External"/><Relationship Id="rId4" Type="http://schemas.openxmlformats.org/officeDocument/2006/relationships/webSettings" Target="webSettings.xml"/><Relationship Id="rId9" Type="http://schemas.openxmlformats.org/officeDocument/2006/relationships/hyperlink" Target="https://www.howtogeek.com/682865/audio-deepfakes-can-anyone-tell-if-they-are-fake/" TargetMode="External"/><Relationship Id="rId14" Type="http://schemas.openxmlformats.org/officeDocument/2006/relationships/hyperlink" Target="https://sensity.ai/reports/" TargetMode="External"/><Relationship Id="rId22" Type="http://schemas.openxmlformats.org/officeDocument/2006/relationships/hyperlink" Target="https://blogs.microsoft.com/on-the-issues/2020/09/01/disinformation-deepfakes-newsguard-video-authenticato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E32B-5B34-4285-8EC4-FBA95FD9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3</cp:revision>
  <cp:lastPrinted>2018-01-11T18:39:00Z</cp:lastPrinted>
  <dcterms:created xsi:type="dcterms:W3CDTF">2021-01-24T12:35:00Z</dcterms:created>
  <dcterms:modified xsi:type="dcterms:W3CDTF">2021-01-24T12:39:00Z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