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4C388">
      <w:pPr>
        <w:rPr>
          <w:rFonts w:ascii="Times New Roman" w:hAnsi="Times New Roman" w:eastAsia="宋体"/>
        </w:rPr>
      </w:pPr>
    </w:p>
    <w:p w14:paraId="67862760">
      <w:pPr>
        <w:rPr>
          <w:rFonts w:ascii="Times New Roman" w:hAnsi="Times New Roman" w:eastAsia="宋体"/>
        </w:rPr>
      </w:pPr>
    </w:p>
    <w:p w14:paraId="2A91FE17">
      <w:pPr>
        <w:rPr>
          <w:rFonts w:ascii="Times New Roman" w:hAnsi="Times New Roman" w:eastAsia="宋体"/>
        </w:rPr>
      </w:pPr>
    </w:p>
    <w:p w14:paraId="78C04F2B">
      <w:pPr>
        <w:rPr>
          <w:rFonts w:ascii="Times New Roman" w:hAnsi="Times New Roman" w:eastAsia="宋体"/>
        </w:rPr>
      </w:pPr>
    </w:p>
    <w:p w14:paraId="76EB53E1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003366"/>
          <w:sz w:val="44"/>
        </w:rPr>
        <w:t>蛋白质设计入门学习与实践</w:t>
      </w:r>
      <w:r>
        <w:rPr>
          <w:rFonts w:ascii="Times New Roman" w:hAnsi="Times New Roman" w:eastAsia="宋体"/>
          <w:b/>
          <w:color w:val="003366"/>
          <w:sz w:val="44"/>
        </w:rPr>
        <w:br w:type="textWrapping"/>
      </w:r>
      <w:r>
        <w:rPr>
          <w:rFonts w:ascii="Times New Roman" w:hAnsi="Times New Roman" w:eastAsia="宋体"/>
          <w:b/>
          <w:color w:val="003366"/>
          <w:sz w:val="44"/>
        </w:rPr>
        <w:t>——专题一：总体学习路径与路线图</w:t>
      </w:r>
    </w:p>
    <w:p w14:paraId="351FD431">
      <w:pPr>
        <w:rPr>
          <w:rFonts w:ascii="Times New Roman" w:hAnsi="Times New Roman" w:eastAsia="宋体"/>
        </w:rPr>
      </w:pPr>
    </w:p>
    <w:p w14:paraId="65B5F229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5082"/>
          <w:sz w:val="28"/>
        </w:rPr>
        <w:t>从零基础到合成生物学创新赛蛋白质设计赛道</w:t>
      </w:r>
    </w:p>
    <w:p w14:paraId="6435C83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CBD8E1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一、学习路线图总览</w:t>
      </w:r>
    </w:p>
    <w:p w14:paraId="6778CE8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以下路线图直观展示了从零基础到竞赛准备的完整学习路径。四个阶段递进式推进，建议按顺序学习。</w:t>
      </w:r>
    </w:p>
    <w:p w14:paraId="5F30D1F3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29200" cy="3101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95BA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46464"/>
          <w:sz w:val="18"/>
        </w:rPr>
        <w:t>图1: GFP蛋白质设计学习路线图——四阶段递进式知识构建</w:t>
      </w:r>
    </w:p>
    <w:p w14:paraId="2F63089D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029200" cy="1649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C42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646464"/>
          <w:sz w:val="18"/>
        </w:rPr>
        <w:t>图2: 两周学习时间线推荐——每日学习主题安排</w:t>
      </w:r>
    </w:p>
    <w:p w14:paraId="2B3A4D2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1.1 第一阶段：GFP基础理论（2-3天）</w:t>
      </w:r>
    </w:p>
    <w:p w14:paraId="4F270C1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GFP的结构：β-桶、中心α螺旋、发色团的三维位置关系</w:t>
      </w:r>
    </w:p>
    <w:p w14:paraId="254CF96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发色团自催化成熟三步骤：环化→脱水</w:t>
      </w:r>
      <w:bookmarkStart w:id="0" w:name="_GoBack"/>
      <w:bookmarkEnd w:id="0"/>
      <w:r>
        <w:rPr>
          <w:rFonts w:ascii="Times New Roman" w:hAnsi="Times New Roman" w:eastAsia="宋体"/>
        </w:rPr>
        <w:t>→氧化，关键催化残基</w:t>
      </w:r>
    </w:p>
    <w:p w14:paraId="197D281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荧光光物理：吸收、激发态质子转移（ESPT）、发射的完整过程</w:t>
      </w:r>
    </w:p>
    <w:p w14:paraId="6AD6818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发色团质子化状态：A态（中性, 395nm）vs B态（阴离子, 488nm），pKa的概念</w:t>
      </w:r>
    </w:p>
    <w:p w14:paraId="22C5A4B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关键残基功能：Tyr66, Gly67, Arg96, Glu222, Ser205, His148</w:t>
      </w:r>
    </w:p>
    <w:p w14:paraId="59FCBDC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用手在Mol*中查看关键PDB结构：1GFL, 1EMA, 2B3P, 8q79</w:t>
      </w:r>
    </w:p>
    <w:p w14:paraId="08A09B6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1.2 第二阶段：AI蛋白质设计工具入门（3-5天）</w:t>
      </w:r>
    </w:p>
    <w:p w14:paraId="3606DB4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ESM-2/ESM3：蛋白质语言模型——序列嵌入提取、零样本突变效应预测</w:t>
      </w:r>
    </w:p>
    <w:p w14:paraId="70B5E3E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ProteinMPNN：逆折叠模型——给定结构设计氨基酸序列</w:t>
      </w:r>
    </w:p>
    <w:p w14:paraId="2FFDB8B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AlphaFold2/ESMFold：结构预测——验证设计序列是否可折叠（pLDDT, PAE, RMSD）</w:t>
      </w:r>
    </w:p>
    <w:p w14:paraId="5F9E3A6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RFdiffusion（进阶）：扩散模型——从零生成蛋白质骨架结构</w:t>
      </w:r>
    </w:p>
    <w:p w14:paraId="15B1DD7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所有工具均可在Google Colab免费GPU上运行——无需本地硬件</w:t>
      </w:r>
    </w:p>
    <w:p w14:paraId="5C89B14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1.3 第三阶段：稳定性与功能预测（2-3天）</w:t>
      </w:r>
    </w:p>
    <w:p w14:paraId="1F431B3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理解GFP适应度景观：75%单突变降低荧光，30%多突变有负上位效应</w:t>
      </w:r>
    </w:p>
    <w:p w14:paraId="498B85C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Sigmoid截断函数模型：为什么多个中性突变组合会导致荧光灾难性丧失</w:t>
      </w:r>
    </w:p>
    <w:p w14:paraId="3452D03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热稳定性评估工具：TemBERTure（Tm预测）、SPURS（ΔΔG预测）、ProteinMPNN-ddG</w:t>
      </w:r>
    </w:p>
    <w:p w14:paraId="31D8EEE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Rosetta/FoldX ΔΔG计算：精确预测单突变对稳定性的影响</w:t>
      </w:r>
    </w:p>
    <w:p w14:paraId="39735BF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PROSS Web服务器：自动化蛋白质稳定性设计（零编程，在线使用）</w:t>
      </w:r>
    </w:p>
    <w:p w14:paraId="3EAA5C4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1.4 第四阶段：竞赛设计策略与实践（3-5天）</w:t>
      </w:r>
    </w:p>
    <w:p w14:paraId="4B415C0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深入理解评分规则：双能乘积制 = (F_initial/F_WT) × (F_final/F_initial)</w:t>
      </w:r>
    </w:p>
    <w:p w14:paraId="61E2F79A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基准蛋白sfGFP的6个关键突变及其协同稳定化机制</w:t>
      </w:r>
    </w:p>
    <w:p w14:paraId="5EEDA1B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设计策略组合：表面工程(TGP风格) + 核心堆积优化 + 静电网络增强 + 发色团环境加固</w:t>
      </w:r>
    </w:p>
    <w:p w14:paraId="06F7CA2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管线搭建：ESM嵌入 → ML模型训练 → 候选序列生成 → 稳定性筛选 → 结构验证</w:t>
      </w:r>
    </w:p>
    <w:p w14:paraId="38C37A5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文档撰写要点：完整算法管线描述、Agent逻辑树、关键执行日志、复现说明</w:t>
      </w:r>
    </w:p>
    <w:p w14:paraId="3D99F85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D7DB781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二、学习资源导航（所有链接可追溯）</w:t>
      </w:r>
    </w:p>
    <w:p w14:paraId="359AC76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2"/>
        </w:rPr>
        <w:t>以下资源已经过验证，可在浏览器中直接打开：</w:t>
      </w:r>
    </w:p>
    <w:p w14:paraId="4830897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在线课程与视频</w:t>
      </w:r>
    </w:p>
    <w:p w14:paraId="5436D62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国家智慧教育平台：AI驱动的蛋白质智能设计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"https://cetc.nwu.edu.cn/info/1151/2836.htm"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https://cetc.nwu.edu.cn/info/1151/2836.htm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浙江大学于浩然研究员, 涵盖MLDE、ProteinMPNN、GFP案例</w:t>
      </w:r>
    </w:p>
    <w:p w14:paraId="005557D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B站：AI驱动蛋白质设计全流程 (BindCraft/RFdiffusion/ProteinMPNN/AF2)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"https://www.bilibili.com/video/BV1RVopBwEsL/"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https://www.bilibili.com/video/BV1RVopBwEsL/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中文全流程实操</w:t>
      </w:r>
    </w:p>
    <w:p w14:paraId="60FC35D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B站：ProteinMPNN定向进化改造蛋白质实操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"https://www.bilibili.com/video/BV1hN6HYnEPR/"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https://www.bilibili.com/video/BV1hN6HYnEPR/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使用ProteinMPNN进行定向进化的完整操作</w:t>
      </w:r>
    </w:p>
    <w:p w14:paraId="6369D75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AAAI 2025 Tutorial: AI for Protein Design (英文)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"https://deepgraphlearning.github.io/ProteinTutorial_AAAI2025/"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https://deepgraphlearning.github.io/ProteinTutorial_AAAI2025/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学术级教程，涵盖全部主要工具</w:t>
      </w:r>
    </w:p>
    <w:p w14:paraId="298AB5D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Rosetta Commons YouTube: MPNN讲座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"https://www.youtube.com/watch?v=6z4XmUAwdNA"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https://www.youtube.com/watch?v=6z4XmUAwdNA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理论深度讲解</w:t>
      </w:r>
    </w:p>
    <w:p w14:paraId="791FC4C7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Rosetta Commons YouTube: RFdiffusion讲座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"https://www.youtube.com/watch?v=OEnY2yA3jy8"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https://www.youtube.com/watch?v=OEnY2yA3jy8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扩散模型原理与实操</w:t>
      </w:r>
    </w:p>
    <w:p w14:paraId="2FF78E7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Rosetta Commons YouTube: AlphaFold讲座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"https://www.youtube.com/watch?v=SVrn8_8aKO8"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https://www.youtube.com/watch?v=SVrn8_8aKO8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结构预测用于设计</w:t>
      </w:r>
    </w:p>
    <w:p w14:paraId="53949D4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Colab Notebook（零安装，浏览器运行）</w:t>
      </w:r>
    </w:p>
    <w:p w14:paraId="39749BC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ColabDesign (sokrypton)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"https://github.com/sokrypton/ColabDesign"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4"/>
          <w:rFonts w:ascii="Times New Roman" w:hAnsi="Times New Roman" w:eastAsia="宋体"/>
          <w:sz w:val="18"/>
        </w:rPr>
        <w:t>https://github.com/sokrypton/ColabDesign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ProteinMPNN + RFdiffusion + AfDesign一站式Colab，公认最佳入门工具</w:t>
      </w:r>
    </w:p>
    <w:p w14:paraId="5FD2122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ProteinMPNN官方QuickDemo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"https://github.com/dauparas/ProteinMPNN"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4"/>
          <w:rFonts w:ascii="Times New Roman" w:hAnsi="Times New Roman" w:eastAsia="宋体"/>
          <w:sz w:val="18"/>
        </w:rPr>
        <w:t>https://github.com/dauparas/ProteinMPNN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colab_notebooks/quickdemo.ipynb</w:t>
      </w:r>
    </w:p>
    <w:p w14:paraId="09119AF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DL4Proteins Notebooks (Gray Lab)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"https://github.com/Graylab/DL4Proteins-notebooks"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4"/>
          <w:rFonts w:ascii="Times New Roman" w:hAnsi="Times New Roman" w:eastAsia="宋体"/>
          <w:sz w:val="18"/>
        </w:rPr>
        <w:t>https://github.com/Graylab/DL4Proteins-notebooks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完整教学系列，第9章：RFdiffusion→ProteinMPNN→AlphaFold全管线</w:t>
      </w:r>
    </w:p>
    <w:p w14:paraId="245F8DE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ProteinMPNN-ddG Colab</w:t>
      </w:r>
      <w:r>
        <w:rPr>
          <w:rFonts w:ascii="Times New Roman" w:hAnsi="Times New Roman" w:eastAsia="宋体"/>
          <w:color w:val="0050A0"/>
          <w:sz w:val="18"/>
        </w:rPr>
        <w:br w:type="textWrapping"/>
      </w:r>
      <w:r>
        <w:rPr>
          <w:rFonts w:ascii="Times New Roman" w:hAnsi="Times New Roman" w:eastAsia="宋体"/>
          <w:color w:val="0050A0"/>
          <w:sz w:val="18"/>
        </w:rPr>
        <w:t xml:space="preserve">  </w:t>
      </w:r>
      <w:r>
        <w:rPr>
          <w:rFonts w:ascii="Times New Roman" w:hAnsi="Times New Roman" w:eastAsia="宋体"/>
          <w:color w:val="0050A0"/>
          <w:sz w:val="18"/>
        </w:rPr>
        <w:fldChar w:fldCharType="begin"/>
      </w:r>
      <w:r>
        <w:rPr>
          <w:rFonts w:ascii="Times New Roman" w:hAnsi="Times New Roman" w:eastAsia="宋体"/>
          <w:color w:val="0050A0"/>
          <w:sz w:val="18"/>
        </w:rPr>
        <w:instrText xml:space="preserve"> HYPERLINK "https://github.com/PeptoneLtd/proteinmpnn_ddg" </w:instrText>
      </w:r>
      <w:r>
        <w:rPr>
          <w:rFonts w:ascii="Times New Roman" w:hAnsi="Times New Roman" w:eastAsia="宋体"/>
          <w:color w:val="0050A0"/>
          <w:sz w:val="18"/>
        </w:rPr>
        <w:fldChar w:fldCharType="separate"/>
      </w:r>
      <w:r>
        <w:rPr>
          <w:rStyle w:val="136"/>
          <w:rFonts w:ascii="Times New Roman" w:hAnsi="Times New Roman" w:eastAsia="宋体"/>
          <w:sz w:val="18"/>
        </w:rPr>
        <w:t>https://github.com/PeptoneLtd/proteinmpnn_ddg</w:t>
      </w:r>
      <w:r>
        <w:rPr>
          <w:rFonts w:ascii="Times New Roman" w:hAnsi="Times New Roman" w:eastAsia="宋体"/>
          <w:color w:val="0050A0"/>
          <w:sz w:val="18"/>
        </w:rPr>
        <w:fldChar w:fldCharType="end"/>
      </w:r>
      <w:r>
        <w:rPr>
          <w:rFonts w:ascii="Times New Roman" w:hAnsi="Times New Roman" w:eastAsia="宋体"/>
          <w:sz w:val="18"/>
        </w:rPr>
        <w:br w:type="textWrapping"/>
      </w:r>
      <w:r>
        <w:rPr>
          <w:rFonts w:ascii="Times New Roman" w:hAnsi="Times New Roman" w:eastAsia="宋体"/>
          <w:sz w:val="18"/>
        </w:rPr>
        <w:t xml:space="preserve">  零样本ΔΔG预测，用于快速评估突变稳定性</w:t>
      </w:r>
    </w:p>
    <w:p w14:paraId="2667501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关键文献（必读10篇）</w:t>
      </w:r>
    </w:p>
    <w:p w14:paraId="7BD85DD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Tsien RY (1998) "The Green Fluorescent Protein" — Annu Rev Biochem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10.1146/annurev.biochem.67.1.509  [GFP领域奠基性综述]</w:t>
      </w:r>
    </w:p>
    <w:p w14:paraId="2B7BE33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Pedelacq JD et al. (2006) "Superfolder GFP" — Nat Biotechnol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10.1038/nbt1172  [sfGFP原始文献（竞赛基准蛋白）]</w:t>
      </w:r>
    </w:p>
    <w:p w14:paraId="2A3822E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Sarkisyan KS et al. (2016) "Local fitness landscape of GFP" — Nature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10.1038/nature17995  [GFP突变耐受和上位效应核心文献]</w:t>
      </w:r>
    </w:p>
    <w:p w14:paraId="6D38DA8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Hirano M et al. (2022) "StayGold" — Nat Biotechnol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10.1038/s41587-022-01278-2  [超高光稳定性GFP]</w:t>
      </w:r>
    </w:p>
    <w:p w14:paraId="4D0B315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Zhang H et al. (2024) "mBaoJin" — Nat Methods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10.1038/s41592-024-02203-y  [最新单体超亮GFP]</w:t>
      </w:r>
    </w:p>
    <w:p w14:paraId="0A56CA7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Rives A et al. (2025) "ESM3/esmGFP" — Science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10.1126/science.ads0018  [AI生成全新GFP]</w:t>
      </w:r>
    </w:p>
    <w:p w14:paraId="2EE9602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Close DW et al. (2015) "TGP" — Proteins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10.1002/prot.24699  [结构导向表面工程创造热稳定性]</w:t>
      </w:r>
    </w:p>
    <w:p w14:paraId="7347650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Gonzalez Somermeyer et al. (2022) — eLife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10.7554/eLife.75842  [多同源GFP适应度景观比较]</w:t>
      </w:r>
    </w:p>
    <w:p w14:paraId="023421B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Church GM et al. (2025) — Nat Rev Bioeng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10.1038/s44222-025-00349-8  [AI蛋白质设计路线图综述]</w:t>
      </w:r>
    </w:p>
    <w:p w14:paraId="56A5F59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0"/>
        </w:rPr>
        <w:t>■ Nikolaev G et al. (2024) — Protein Sci</w:t>
      </w:r>
      <w:r>
        <w:rPr>
          <w:rFonts w:ascii="Times New Roman" w:hAnsi="Times New Roman" w:eastAsia="宋体"/>
          <w:color w:val="808080"/>
          <w:sz w:val="18"/>
        </w:rPr>
        <w:br w:type="textWrapping"/>
      </w:r>
      <w:r>
        <w:rPr>
          <w:rFonts w:ascii="Times New Roman" w:hAnsi="Times New Roman" w:eastAsia="宋体"/>
          <w:color w:val="808080"/>
          <w:sz w:val="18"/>
        </w:rPr>
        <w:t xml:space="preserve">  DOI: 10.1002/pro.70002  [ProteinMPNN设计荧光蛋白验证]</w:t>
      </w:r>
    </w:p>
    <w:p w14:paraId="5744C36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8F64D7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三、软件环境配置指南</w:t>
      </w:r>
    </w:p>
    <w:p w14:paraId="3A2AF2EE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方案A（推荐初学者）：纯云端</w:t>
      </w:r>
    </w:p>
    <w:p w14:paraId="4B72DC5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Google Colab：运行所有蛋白质设计Notebook（免费GPU）</w:t>
      </w:r>
    </w:p>
    <w:p w14:paraId="57DA401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HuggingFace Spaces：在线运行模型Demo</w:t>
      </w:r>
    </w:p>
    <w:p w14:paraId="55F2AB2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PROSS Web Server (https://pross.weizmann.ac.il)：在线稳定性设计</w:t>
      </w:r>
    </w:p>
    <w:p w14:paraId="5DCB9F5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AlphaFold3 Server (https://alphafoldserver.com)：在线结构预测</w:t>
      </w:r>
    </w:p>
    <w:p w14:paraId="13A928B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RCSB PDB Mol* Viewer (https://www.rcsb.org/3d-view)：在线三维结构查看</w:t>
      </w:r>
    </w:p>
    <w:p w14:paraId="65EBE4A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方案B（有编程基础）：本地轻量环境</w:t>
      </w:r>
    </w:p>
    <w:p w14:paraId="1343BC7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Python 3.9+, pip install fair-esm transformers biopython dnachisel</w:t>
      </w:r>
    </w:p>
    <w:p w14:paraId="2DD6423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Jupyter Lab：本地运行Notebook</w:t>
      </w:r>
    </w:p>
    <w:p w14:paraId="4746616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VS Code + Copilot：AI辅助编程</w:t>
      </w:r>
    </w:p>
    <w:p w14:paraId="58490A5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方案C（竞赛级）：GPU加速环境</w:t>
      </w:r>
    </w:p>
    <w:p w14:paraId="1D674A9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CUDA 12.x + PyTorch 2.x + NVIDIA GPU (RTX 3090/A100)</w:t>
      </w:r>
    </w:p>
    <w:p w14:paraId="77A052E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ESM-2 3B嵌入提取（本地GPU加速）</w:t>
      </w:r>
    </w:p>
    <w:p w14:paraId="0013730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ColabFold本地化部署（大规模结构验证）</w:t>
      </w:r>
    </w:p>
    <w:p w14:paraId="132A7F4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FF6C33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003366"/>
        </w:rPr>
        <w:t>四、快速参考卡</w:t>
      </w:r>
    </w:p>
    <w:p w14:paraId="1AF073B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GFP核心参数速记：</w:t>
      </w:r>
    </w:p>
    <w:p w14:paraId="7AB770D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序列长度: 238 aa (avGFP/wtGFP), 分子量: ~27 kDa</w:t>
      </w:r>
    </w:p>
    <w:p w14:paraId="32B0A24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发色团三肽: Ser/Thr65-Tyr66-Gly67 (XZG基序)</w:t>
      </w:r>
    </w:p>
    <w:p w14:paraId="1B3CBD5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AvGFP: 激发395/475nm, 发射508nm; EGFP: 激发488nm, 发射508nm</w:t>
      </w:r>
    </w:p>
    <w:p w14:paraId="32A3E6F7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亮度 = ε × Φ (消光系数 × 量子产率)</w:t>
      </w:r>
    </w:p>
    <w:p w14:paraId="4A85A2C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sfGFP: ε≈58,500, Φ≈0.65, pKa≈5.4</w:t>
      </w:r>
    </w:p>
    <w:p w14:paraId="6FBCBF01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mBaoJin: ε≈90,000, Φ≈0.75, pKa≈4.37 (比EGFP光稳定15倍)</w:t>
      </w:r>
    </w:p>
    <w:p w14:paraId="20A04CF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关键PDB ID速记：</w:t>
      </w:r>
    </w:p>
    <w:p w14:paraId="093F3FF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1GFL — wtGFP (1.9Å) | 1EMA — EGFP | 2B3P — sfGFP | 8q79 — mBaoJin</w:t>
      </w:r>
    </w:p>
    <w:p w14:paraId="5465807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2"/>
        </w:rPr>
        <w:t>竞赛提交检查清单：</w:t>
      </w:r>
    </w:p>
    <w:p w14:paraId="56090DCC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6条序列, 220-250 aa, 以M开头, 仅20种标准氨基酸</w:t>
      </w:r>
    </w:p>
    <w:p w14:paraId="5FD28B0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与Exclusion_List.csv逐一比对, 无完全一致匹配</w:t>
      </w:r>
    </w:p>
    <w:p w14:paraId="673AC71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CSV文件: Team_Name, Seq_ID, Sequence 三列</w:t>
      </w:r>
    </w:p>
    <w:p w14:paraId="714DA72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PDF设计文档: 完整管线+Agent逻辑树+执行日志</w:t>
      </w:r>
    </w:p>
    <w:p w14:paraId="4A5641F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GitHub/开源仓库URL: 含README.md</w:t>
      </w:r>
    </w:p>
    <w:p w14:paraId="04D1754D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[ ] 每提交一条序列前再次确认格式正确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B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125</Words>
  <Characters>130</Characters>
  <Lines>0</Lines>
  <Paragraphs>0</Paragraphs>
  <TotalTime>0</TotalTime>
  <ScaleCrop>false</ScaleCrop>
  <LinksUpToDate>false</LinksUpToDate>
  <CharactersWithSpaces>131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2026-05-15T01:55:35Z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B16E5F66A3E04856B8074BB90E7BB5C3_12</vt:lpwstr>
  </property>
</Properties>
</file>