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D4E0F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3366"/>
          <w:sz w:val="44"/>
        </w:rPr>
        <w:t>专题四：蛋白质稳定性与热稳定性工程</w:t>
      </w:r>
      <w:r>
        <w:rPr>
          <w:rFonts w:ascii="Times New Roman" w:hAnsi="Times New Roman" w:eastAsia="宋体"/>
          <w:b/>
          <w:color w:val="003366"/>
          <w:sz w:val="44"/>
        </w:rPr>
        <w:br w:type="textWrapping"/>
      </w:r>
      <w:r>
        <w:rPr>
          <w:rFonts w:ascii="Times New Roman" w:hAnsi="Times New Roman" w:eastAsia="宋体"/>
          <w:b/>
          <w:color w:val="003366"/>
          <w:sz w:val="44"/>
        </w:rPr>
        <w:t>——ΔΔG预测、表面工程与稳定性设计策略</w:t>
      </w:r>
    </w:p>
    <w:p w14:paraId="6126F4AC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5082"/>
          <w:sz w:val="28"/>
        </w:rPr>
        <w:t>掌握提升GFP热稳定性的六大工程策略</w:t>
      </w:r>
    </w:p>
    <w:p w14:paraId="18BFFC43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一、GFP热稳定性提升——六大工程策略</w:t>
      </w:r>
    </w:p>
    <w:p w14:paraId="1459C58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-734060</wp:posOffset>
            </wp:positionH>
            <wp:positionV relativeFrom="paragraph">
              <wp:posOffset>426085</wp:posOffset>
            </wp:positionV>
            <wp:extent cx="7121525" cy="4462780"/>
            <wp:effectExtent l="0" t="0" r="317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/>
          <w:b w:val="0"/>
          <w:sz w:val="22"/>
        </w:rPr>
        <w:t>下图为GFP热稳定性提升的六大互补工程策略总览：</w:t>
      </w:r>
    </w:p>
    <w:p w14:paraId="3064BDD5">
      <w:pPr>
        <w:jc w:val="center"/>
        <w:rPr>
          <w:rFonts w:ascii="Times New Roman" w:hAnsi="Times New Roman" w:eastAsia="宋体"/>
        </w:rPr>
      </w:pPr>
    </w:p>
    <w:p w14:paraId="5FDCCC7B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646464"/>
          <w:sz w:val="18"/>
        </w:rPr>
        <w:t>图1: GFP热稳定性提升六大工程策略——从核心堆积到表面电荷的全方位设计方法</w:t>
      </w:r>
    </w:p>
    <w:p w14:paraId="2C2803C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二、理解GFP适应度景观——避免设计中的"陷阱"</w:t>
      </w:r>
    </w:p>
    <w:p w14:paraId="732E323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2"/>
        </w:rPr>
        <w:t>Sarkisyan等人(Nature 2016)系统揭示了GFP的突变耐受规律。这是所有参赛者必须理解的核心概念：</w:t>
      </w:r>
    </w:p>
    <w:p w14:paraId="694B6B5F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674360" cy="22002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0592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646464"/>
          <w:sz w:val="18"/>
        </w:rPr>
        <w:t>图2: GFP适应度景观——Sigmoid截断模型与多突变荧光丧失比例 (数据来源: Sarkisyan et al., Nature 2016)</w:t>
      </w:r>
    </w:p>
    <w:p w14:paraId="3F7D0F5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核心发现与直接启示：</w:t>
      </w:r>
    </w:p>
    <w:p w14:paraId="441D7B1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75%单突变降低荧光 → GFP对突变高度敏感 → 设计时需要全局稳定性评估</w:t>
      </w:r>
    </w:p>
    <w:p w14:paraId="2BF5FDE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30%多突变有负上位效应 → 不能简单叠加"好的"单点突变</w:t>
      </w:r>
    </w:p>
    <w:p w14:paraId="5C64EEEB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Sigmoid截断函数模型(R²=0.85) → 稳定性低于阈值则荧光急剧丧失</w:t>
      </w:r>
    </w:p>
    <w:p w14:paraId="2F260D3C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策略：使用超稳定骨架(sfGFP)作为"突变缓冲器" + 迭代验证而非一次性引入所有突变</w:t>
      </w:r>
    </w:p>
    <w:p w14:paraId="7BDCD695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三、发色团微环境关键残基互作网络</w:t>
      </w:r>
    </w:p>
    <w:p w14:paraId="531B250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2"/>
        </w:rPr>
        <w:t>了解发色团周围的关键残基网络是进行精细设计和突变筛选的前提：</w:t>
      </w:r>
    </w:p>
    <w:p w14:paraId="641FE848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006215" cy="3150235"/>
            <wp:effectExtent l="0" t="0" r="381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8478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646464"/>
          <w:sz w:val="18"/>
        </w:rPr>
        <w:t>图3: GFP发色团微环境关键残基网络——固定残基(红色标注) + 可优化残基(蓝色标注)</w:t>
      </w:r>
    </w:p>
    <w:p w14:paraId="19CA906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设计原则：</w:t>
      </w:r>
    </w:p>
    <w:p w14:paraId="6B762A0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红色标注残基 → 设计时必须固定，不可突变（T66-G67-G68, R96, E222）</w:t>
      </w:r>
    </w:p>
    <w:p w14:paraId="5CF3E7E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蓝色标注残基 → 可以优化，是提升稳定性和亮度的主要操作空间</w:t>
      </w:r>
    </w:p>
    <w:p w14:paraId="35777DBE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W1保守水分子 → 参与关键H-bond网络，保持其结合环境</w:t>
      </w:r>
    </w:p>
    <w:p w14:paraId="455F8F3E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Cl⁻ 结合口袋(mBaoJin) → 氯离子结合提升光稳定性和亮度</w:t>
      </w:r>
    </w:p>
    <w:p w14:paraId="1337F0D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四、已知的GFP稳定化突变汇总</w:t>
      </w:r>
    </w:p>
    <w:p w14:paraId="06C5F9D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2"/>
        </w:rPr>
        <w:t>以下突变已在实验中被验证可提升GFP的稳定性或亮度：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96F2B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4ED08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突变</w:t>
            </w:r>
          </w:p>
        </w:tc>
        <w:tc>
          <w:tcPr>
            <w:tcW w:w="1728" w:type="dxa"/>
          </w:tcPr>
          <w:p w14:paraId="250959A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来源</w:t>
            </w:r>
          </w:p>
        </w:tc>
        <w:tc>
          <w:tcPr>
            <w:tcW w:w="1728" w:type="dxa"/>
          </w:tcPr>
          <w:p w14:paraId="578725E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机制</w:t>
            </w:r>
          </w:p>
        </w:tc>
        <w:tc>
          <w:tcPr>
            <w:tcW w:w="1728" w:type="dxa"/>
          </w:tcPr>
          <w:p w14:paraId="1EC3B6A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效果</w:t>
            </w:r>
          </w:p>
        </w:tc>
        <w:tc>
          <w:tcPr>
            <w:tcW w:w="1728" w:type="dxa"/>
          </w:tcPr>
          <w:p w14:paraId="1ED80EA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可迁移性</w:t>
            </w:r>
          </w:p>
        </w:tc>
      </w:tr>
      <w:tr w14:paraId="6A2336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99C29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S30R</w:t>
            </w:r>
          </w:p>
        </w:tc>
        <w:tc>
          <w:tcPr>
            <w:tcW w:w="1728" w:type="dxa"/>
          </w:tcPr>
          <w:p w14:paraId="5F16BC2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sfGFP</w:t>
            </w:r>
          </w:p>
        </w:tc>
        <w:tc>
          <w:tcPr>
            <w:tcW w:w="1728" w:type="dxa"/>
          </w:tcPr>
          <w:p w14:paraId="4929BFE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五元静电网络 (E32-R30-E17-R122-E115)</w:t>
            </w:r>
          </w:p>
        </w:tc>
        <w:tc>
          <w:tcPr>
            <w:tcW w:w="1728" w:type="dxa"/>
          </w:tcPr>
          <w:p w14:paraId="5DECA76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折叠+稳定性显著提升</w:t>
            </w:r>
          </w:p>
        </w:tc>
        <w:tc>
          <w:tcPr>
            <w:tcW w:w="1728" w:type="dxa"/>
          </w:tcPr>
          <w:p w14:paraId="4A31414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不可逆改</w:t>
            </w:r>
          </w:p>
        </w:tc>
      </w:tr>
      <w:tr w14:paraId="29EAFB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6F9E5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Y145F</w:t>
            </w:r>
          </w:p>
        </w:tc>
        <w:tc>
          <w:tcPr>
            <w:tcW w:w="1728" w:type="dxa"/>
          </w:tcPr>
          <w:p w14:paraId="37F76E3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sfGFP</w:t>
            </w:r>
          </w:p>
        </w:tc>
        <w:tc>
          <w:tcPr>
            <w:tcW w:w="1728" w:type="dxa"/>
          </w:tcPr>
          <w:p w14:paraId="6BF3097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移除OH改善疏水核心堆积</w:t>
            </w:r>
          </w:p>
        </w:tc>
        <w:tc>
          <w:tcPr>
            <w:tcW w:w="1728" w:type="dxa"/>
          </w:tcPr>
          <w:p w14:paraId="5FF4B26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+3-4°C Tm</w:t>
            </w:r>
          </w:p>
        </w:tc>
        <w:tc>
          <w:tcPr>
            <w:tcW w:w="1728" w:type="dxa"/>
          </w:tcPr>
          <w:p w14:paraId="6EEA3C6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可独立迁移</w:t>
            </w:r>
          </w:p>
        </w:tc>
      </w:tr>
      <w:tr w14:paraId="1A60E2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2B123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H193Y</w:t>
            </w:r>
          </w:p>
        </w:tc>
        <w:tc>
          <w:tcPr>
            <w:tcW w:w="1728" w:type="dxa"/>
          </w:tcPr>
          <w:p w14:paraId="5B3193B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TGP</w:t>
            </w:r>
          </w:p>
        </w:tc>
        <w:tc>
          <w:tcPr>
            <w:tcW w:w="1728" w:type="dxa"/>
          </w:tcPr>
          <w:p w14:paraId="229ED4D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π-堆积稳定发色团</w:t>
            </w:r>
          </w:p>
        </w:tc>
        <w:tc>
          <w:tcPr>
            <w:tcW w:w="1728" w:type="dxa"/>
          </w:tcPr>
          <w:p w14:paraId="17EA9C2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99°C仍维持荧光</w:t>
            </w:r>
          </w:p>
        </w:tc>
        <w:tc>
          <w:tcPr>
            <w:tcW w:w="1728" w:type="dxa"/>
          </w:tcPr>
          <w:p w14:paraId="0AC89E8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强烈推荐</w:t>
            </w:r>
          </w:p>
        </w:tc>
      </w:tr>
      <w:tr w14:paraId="3EDD34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D7194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H148S</w:t>
            </w:r>
          </w:p>
        </w:tc>
        <w:tc>
          <w:tcPr>
            <w:tcW w:w="1728" w:type="dxa"/>
          </w:tcPr>
          <w:p w14:paraId="6703613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YuzuFP</w:t>
            </w:r>
          </w:p>
        </w:tc>
        <w:tc>
          <w:tcPr>
            <w:tcW w:w="1728" w:type="dxa"/>
          </w:tcPr>
          <w:p w14:paraId="543F8C0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改善与发色团和W1的H-bond</w:t>
            </w:r>
          </w:p>
        </w:tc>
        <w:tc>
          <w:tcPr>
            <w:tcW w:w="1728" w:type="dxa"/>
          </w:tcPr>
          <w:p w14:paraId="287075B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亮度↑1.5倍+光稳定性↑3倍</w:t>
            </w:r>
          </w:p>
        </w:tc>
        <w:tc>
          <w:tcPr>
            <w:tcW w:w="1728" w:type="dxa"/>
          </w:tcPr>
          <w:p w14:paraId="2F35A0F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MD引导设计</w:t>
            </w:r>
          </w:p>
        </w:tc>
      </w:tr>
      <w:tr w14:paraId="20F577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9AC9A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Q66E</w:t>
            </w:r>
          </w:p>
        </w:tc>
        <w:tc>
          <w:tcPr>
            <w:tcW w:w="1728" w:type="dxa"/>
          </w:tcPr>
          <w:p w14:paraId="566D295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TGP</w:t>
            </w:r>
          </w:p>
        </w:tc>
        <w:tc>
          <w:tcPr>
            <w:tcW w:w="1728" w:type="dxa"/>
          </w:tcPr>
          <w:p w14:paraId="4712825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改善发色团环境</w:t>
            </w:r>
          </w:p>
        </w:tc>
        <w:tc>
          <w:tcPr>
            <w:tcW w:w="1728" w:type="dxa"/>
          </w:tcPr>
          <w:p w14:paraId="1D5CA70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化学稳定性和pH稳定性</w:t>
            </w:r>
          </w:p>
        </w:tc>
        <w:tc>
          <w:tcPr>
            <w:tcW w:w="1728" w:type="dxa"/>
          </w:tcPr>
          <w:p w14:paraId="2183CF7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改善耐酸性</w:t>
            </w:r>
          </w:p>
        </w:tc>
      </w:tr>
      <w:tr w14:paraId="3D7EDA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F6BA5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C165Y</w:t>
            </w:r>
          </w:p>
        </w:tc>
        <w:tc>
          <w:tcPr>
            <w:tcW w:w="1728" w:type="dxa"/>
          </w:tcPr>
          <w:p w14:paraId="1091F66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mBaoJin</w:t>
            </w:r>
          </w:p>
        </w:tc>
        <w:tc>
          <w:tcPr>
            <w:tcW w:w="1728" w:type="dxa"/>
          </w:tcPr>
          <w:p w14:paraId="0397DC4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单体化+局部结构稳定</w:t>
            </w:r>
          </w:p>
        </w:tc>
        <w:tc>
          <w:tcPr>
            <w:tcW w:w="1728" w:type="dxa"/>
          </w:tcPr>
          <w:p w14:paraId="338C974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光稳定性+单体性</w:t>
            </w:r>
          </w:p>
        </w:tc>
        <w:tc>
          <w:tcPr>
            <w:tcW w:w="1728" w:type="dxa"/>
          </w:tcPr>
          <w:p w14:paraId="676D03E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减少二聚化</w:t>
            </w:r>
          </w:p>
        </w:tc>
      </w:tr>
      <w:tr w14:paraId="29F161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51EE2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K/R→E</w:t>
            </w:r>
          </w:p>
        </w:tc>
        <w:tc>
          <w:tcPr>
            <w:tcW w:w="1728" w:type="dxa"/>
          </w:tcPr>
          <w:p w14:paraId="2410247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TGP</w:t>
            </w:r>
          </w:p>
        </w:tc>
        <w:tc>
          <w:tcPr>
            <w:tcW w:w="1728" w:type="dxa"/>
          </w:tcPr>
          <w:p w14:paraId="6EED991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表面正电荷→谷氨酸</w:t>
            </w:r>
          </w:p>
        </w:tc>
        <w:tc>
          <w:tcPr>
            <w:tcW w:w="1728" w:type="dxa"/>
          </w:tcPr>
          <w:p w14:paraId="77C75AC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90°C半衰期2.2倍(175→380min)</w:t>
            </w:r>
          </w:p>
        </w:tc>
        <w:tc>
          <w:tcPr>
            <w:tcW w:w="1728" w:type="dxa"/>
          </w:tcPr>
          <w:p w14:paraId="7A0621E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通用表面策略</w:t>
            </w:r>
          </w:p>
        </w:tc>
      </w:tr>
    </w:tbl>
    <w:p w14:paraId="498120C2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五、ΔΔG预测的计算方法速查</w:t>
      </w:r>
    </w:p>
    <w:p w14:paraId="5B22F6A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2"/>
        </w:rPr>
        <w:t>四种主要方法及其适用场景：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9F744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728" w:type="dxa"/>
          </w:tcPr>
          <w:p w14:paraId="45B1013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w="1728" w:type="dxa"/>
          </w:tcPr>
          <w:p w14:paraId="4071D86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原理</w:t>
            </w:r>
          </w:p>
        </w:tc>
        <w:tc>
          <w:tcPr>
            <w:tcW w:w="1728" w:type="dxa"/>
          </w:tcPr>
          <w:p w14:paraId="1486767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精度</w:t>
            </w:r>
          </w:p>
        </w:tc>
        <w:tc>
          <w:tcPr>
            <w:tcW w:w="1728" w:type="dxa"/>
          </w:tcPr>
          <w:p w14:paraId="3AF5DD8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速度</w:t>
            </w:r>
          </w:p>
        </w:tc>
        <w:tc>
          <w:tcPr>
            <w:tcW w:w="1728" w:type="dxa"/>
          </w:tcPr>
          <w:p w14:paraId="218467B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</w:tr>
      <w:tr w14:paraId="3AE00E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A0B22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Rosetta cartesian_ddg</w:t>
            </w:r>
          </w:p>
        </w:tc>
        <w:tc>
          <w:tcPr>
            <w:tcW w:w="1728" w:type="dxa"/>
          </w:tcPr>
          <w:p w14:paraId="1D5D9C6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力场+骨架柔性</w:t>
            </w:r>
          </w:p>
        </w:tc>
        <w:tc>
          <w:tcPr>
            <w:tcW w:w="1728" w:type="dxa"/>
          </w:tcPr>
          <w:p w14:paraId="6D1B9DA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精确(ρ~0.69)</w:t>
            </w:r>
          </w:p>
        </w:tc>
        <w:tc>
          <w:tcPr>
            <w:tcW w:w="1728" w:type="dxa"/>
          </w:tcPr>
          <w:p w14:paraId="52754C0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中(30-60min/变体)</w:t>
            </w:r>
          </w:p>
        </w:tc>
        <w:tc>
          <w:tcPr>
            <w:tcW w:w="1728" w:type="dxa"/>
          </w:tcPr>
          <w:p w14:paraId="7EB53E0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结构导向精确设计</w:t>
            </w:r>
          </w:p>
        </w:tc>
      </w:tr>
      <w:tr w14:paraId="6F468D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3399F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FoldX</w:t>
            </w:r>
          </w:p>
        </w:tc>
        <w:tc>
          <w:tcPr>
            <w:tcW w:w="1728" w:type="dxa"/>
          </w:tcPr>
          <w:p w14:paraId="51CDEB1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经验力场</w:t>
            </w:r>
          </w:p>
        </w:tc>
        <w:tc>
          <w:tcPr>
            <w:tcW w:w="1728" w:type="dxa"/>
          </w:tcPr>
          <w:p w14:paraId="6E1BCF8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中等(ρ~0.5-0.7)</w:t>
            </w:r>
          </w:p>
        </w:tc>
        <w:tc>
          <w:tcPr>
            <w:tcW w:w="1728" w:type="dxa"/>
          </w:tcPr>
          <w:p w14:paraId="4ED1C50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快(1-5min/变体)</w:t>
            </w:r>
          </w:p>
        </w:tc>
        <w:tc>
          <w:tcPr>
            <w:tcW w:w="1728" w:type="dxa"/>
          </w:tcPr>
          <w:p w14:paraId="4DA7617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快速扫描大量突变</w:t>
            </w:r>
          </w:p>
        </w:tc>
      </w:tr>
      <w:tr w14:paraId="518155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A7D1A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SPURS</w:t>
            </w:r>
          </w:p>
        </w:tc>
        <w:tc>
          <w:tcPr>
            <w:tcW w:w="1728" w:type="dxa"/>
          </w:tcPr>
          <w:p w14:paraId="5058268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ProteinMPNN+ESM</w:t>
            </w:r>
          </w:p>
        </w:tc>
        <w:tc>
          <w:tcPr>
            <w:tcW w:w="1728" w:type="dxa"/>
          </w:tcPr>
          <w:p w14:paraId="0BA3BC3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最高(ρ~0.83)</w:t>
            </w:r>
          </w:p>
        </w:tc>
        <w:tc>
          <w:tcPr>
            <w:tcW w:w="1728" w:type="dxa"/>
          </w:tcPr>
          <w:p w14:paraId="38535F2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快(GPU)</w:t>
            </w:r>
          </w:p>
        </w:tc>
        <w:tc>
          <w:tcPr>
            <w:tcW w:w="1728" w:type="dxa"/>
          </w:tcPr>
          <w:p w14:paraId="0223955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对全部L×20单突变同时预测</w:t>
            </w:r>
          </w:p>
        </w:tc>
      </w:tr>
      <w:tr w14:paraId="2ED1F8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EB610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ProteinMPNN-ddG</w:t>
            </w:r>
          </w:p>
        </w:tc>
        <w:tc>
          <w:tcPr>
            <w:tcW w:w="1728" w:type="dxa"/>
          </w:tcPr>
          <w:p w14:paraId="26219A0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零样本ML</w:t>
            </w:r>
          </w:p>
        </w:tc>
        <w:tc>
          <w:tcPr>
            <w:tcW w:w="1728" w:type="dxa"/>
          </w:tcPr>
          <w:p w14:paraId="17037E6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高(ρ~0.77)</w:t>
            </w:r>
          </w:p>
        </w:tc>
        <w:tc>
          <w:tcPr>
            <w:tcW w:w="1728" w:type="dxa"/>
          </w:tcPr>
          <w:p w14:paraId="12E2099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快(GPU)</w:t>
            </w:r>
          </w:p>
        </w:tc>
        <w:tc>
          <w:tcPr>
            <w:tcW w:w="1728" w:type="dxa"/>
          </w:tcPr>
          <w:p w14:paraId="605A019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高通量ΔΔG预筛选</w:t>
            </w:r>
          </w:p>
        </w:tc>
      </w:tr>
    </w:tbl>
    <w:p w14:paraId="7D94D007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六、竞赛设计策略速查</w:t>
      </w:r>
    </w:p>
    <w:p w14:paraId="45EA792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保守路径（推荐初学者）：</w:t>
      </w:r>
    </w:p>
    <w:p w14:paraId="2700458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以sfGFP为模板，保留6个关键突变+引入8-12个优化突变</w:t>
      </w:r>
    </w:p>
    <w:p w14:paraId="0D5BAC81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使用PROSS在线服务器生成初始设计 → FoldX验证ΔΔG → ColabFold验证结构</w:t>
      </w:r>
    </w:p>
    <w:p w14:paraId="7DD77C4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最终突变控制在8-12个，降低上位效应风险</w:t>
      </w:r>
    </w:p>
    <w:p w14:paraId="1956257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数据驱动路径（中等难度）：</w:t>
      </w:r>
    </w:p>
    <w:p w14:paraId="3A918E5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利用竞赛GFP_data.xlsx训练ML模型 → 多目标优化 → 交叉熵蒙特卡洛搜索</w:t>
      </w:r>
    </w:p>
    <w:p w14:paraId="7AE3AA6C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使用TemBERTure+SPURS联合筛选 → 选出高亮度+高稳定性候选</w:t>
      </w:r>
    </w:p>
    <w:p w14:paraId="0773AAB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管线和Agent逻辑树必</w:t>
      </w:r>
      <w:bookmarkStart w:id="0" w:name="_GoBack"/>
      <w:bookmarkEnd w:id="0"/>
      <w:r>
        <w:rPr>
          <w:rFonts w:ascii="Times New Roman" w:hAnsi="Times New Roman" w:eastAsia="宋体"/>
        </w:rPr>
        <w:t>须详细记录——评审重点考察</w:t>
      </w:r>
    </w:p>
    <w:p w14:paraId="4EBE3C7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生成式路径（高难度·高回报）：</w:t>
      </w:r>
    </w:p>
    <w:p w14:paraId="4AF48D8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ESM3/GeoEvoBuilder → 零样本生成大量候选 → 三轮迭代筛选</w:t>
      </w:r>
    </w:p>
    <w:p w14:paraId="04F5B59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ProteinMPNN+固定发色团约束 → 探索超越现有GFP家族的序列空间</w:t>
      </w:r>
    </w:p>
    <w:p w14:paraId="48105A9F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提交6条具有互补性的序列——最大化至少一条高分的概率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C3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212</Words>
  <Characters>282</Characters>
  <Lines>0</Lines>
  <Paragraphs>0</Paragraphs>
  <TotalTime>2</TotalTime>
  <ScaleCrop>false</ScaleCrop>
  <LinksUpToDate>false</LinksUpToDate>
  <CharactersWithSpaces>291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仰望天空</cp:lastModifiedBy>
  <dcterms:modified xsi:type="dcterms:W3CDTF">2026-05-15T01:55:24Z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08D25D61CE7E43288AA660DEB63D3C22_12</vt:lpwstr>
  </property>
</Properties>
</file>