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74E6B">
      <w:pPr>
        <w:rPr>
          <w:rFonts w:hint="eastAsia" w:ascii="Times New Roman" w:hAnsi="Times New Roman" w:eastAsia="微软雅黑" w:cs="微软雅黑"/>
        </w:rPr>
      </w:pPr>
    </w:p>
    <w:p w14:paraId="6161E8A1">
      <w:pPr>
        <w:rPr>
          <w:rFonts w:hint="eastAsia" w:ascii="Times New Roman" w:hAnsi="Times New Roman" w:eastAsia="微软雅黑" w:cs="微软雅黑"/>
        </w:rPr>
      </w:pPr>
    </w:p>
    <w:p w14:paraId="03C04150">
      <w:pPr>
        <w:rPr>
          <w:rFonts w:hint="eastAsia" w:ascii="Times New Roman" w:hAnsi="Times New Roman" w:eastAsia="微软雅黑" w:cs="微软雅黑"/>
        </w:rPr>
      </w:pPr>
    </w:p>
    <w:p w14:paraId="5FD7CC2A">
      <w:pPr>
        <w:rPr>
          <w:rFonts w:hint="eastAsia" w:ascii="Times New Roman" w:hAnsi="Times New Roman" w:eastAsia="微软雅黑" w:cs="微软雅黑"/>
        </w:rPr>
      </w:pPr>
    </w:p>
    <w:p w14:paraId="6801BC65">
      <w:pPr>
        <w:jc w:val="center"/>
        <w:rPr>
          <w:rFonts w:hint="eastAsia" w:ascii="Times New Roman" w:hAnsi="Times New Roman" w:eastAsia="微软雅黑" w:cs="微软雅黑"/>
        </w:rPr>
      </w:pPr>
      <w:r>
        <w:rPr>
          <w:rFonts w:hint="eastAsia" w:ascii="Times New Roman" w:hAnsi="Times New Roman" w:eastAsia="微软雅黑" w:cs="微软雅黑"/>
          <w:b/>
          <w:color w:val="003366"/>
          <w:sz w:val="44"/>
        </w:rPr>
        <w:t>专题二：GFP基础理论与实践</w:t>
      </w:r>
      <w:r>
        <w:rPr>
          <w:rFonts w:hint="eastAsia" w:ascii="Times New Roman" w:hAnsi="Times New Roman" w:eastAsia="微软雅黑" w:cs="微软雅黑"/>
          <w:b/>
          <w:color w:val="003366"/>
          <w:sz w:val="44"/>
        </w:rPr>
        <w:br w:type="textWrapping"/>
      </w:r>
      <w:r>
        <w:rPr>
          <w:rFonts w:hint="eastAsia" w:ascii="Times New Roman" w:hAnsi="Times New Roman" w:eastAsia="微软雅黑" w:cs="微软雅黑"/>
          <w:b/>
          <w:color w:val="003366"/>
          <w:sz w:val="44"/>
        </w:rPr>
        <w:t>——从分子结构到发色团自催化成熟</w:t>
      </w:r>
    </w:p>
    <w:p w14:paraId="4C36BF08">
      <w:pPr>
        <w:rPr>
          <w:rFonts w:hint="eastAsia" w:ascii="Times New Roman" w:hAnsi="Times New Roman" w:eastAsia="微软雅黑" w:cs="微软雅黑"/>
        </w:rPr>
      </w:pPr>
    </w:p>
    <w:p w14:paraId="09B98457">
      <w:pPr>
        <w:jc w:val="center"/>
        <w:rPr>
          <w:rFonts w:hint="eastAsia" w:ascii="Times New Roman" w:hAnsi="Times New Roman" w:eastAsia="微软雅黑" w:cs="微软雅黑"/>
        </w:rPr>
      </w:pPr>
      <w:r>
        <w:rPr>
          <w:rFonts w:hint="eastAsia" w:ascii="Times New Roman" w:hAnsi="Times New Roman" w:eastAsia="微软雅黑" w:cs="微软雅黑"/>
          <w:color w:val="005082"/>
          <w:sz w:val="28"/>
        </w:rPr>
        <w:t>零基础理解绿色荧光蛋白的核心工作原理</w:t>
      </w:r>
    </w:p>
    <w:p w14:paraId="0F1BEB4A">
      <w:pPr>
        <w:rPr>
          <w:rFonts w:hint="eastAsia" w:ascii="Times New Roman" w:hAnsi="Times New Roman" w:eastAsia="微软雅黑" w:cs="微软雅黑"/>
        </w:rPr>
      </w:pPr>
    </w:p>
    <w:p w14:paraId="324A5E9C">
      <w:pPr>
        <w:jc w:val="center"/>
        <w:rPr>
          <w:rFonts w:hint="eastAsia" w:ascii="Times New Roman" w:hAnsi="Times New Roman" w:eastAsia="微软雅黑" w:cs="微软雅黑"/>
        </w:rPr>
      </w:pPr>
      <w:r>
        <w:rPr>
          <w:rFonts w:hint="eastAsia" w:ascii="Times New Roman" w:hAnsi="Times New Roman" w:eastAsia="微软雅黑" w:cs="微软雅黑"/>
          <w:sz w:val="24"/>
        </w:rPr>
        <w:t>生成日期: 2026年05月14日</w:t>
      </w:r>
    </w:p>
    <w:p w14:paraId="29E402A3">
      <w:pPr>
        <w:rPr>
          <w:rFonts w:hint="eastAsia" w:ascii="Times New Roman" w:hAnsi="Times New Roman" w:eastAsia="微软雅黑" w:cs="微软雅黑"/>
        </w:rPr>
      </w:pPr>
      <w:r>
        <w:rPr>
          <w:rFonts w:hint="eastAsia" w:ascii="Times New Roman" w:hAnsi="Times New Roman" w:eastAsia="微软雅黑" w:cs="微软雅黑"/>
        </w:rPr>
        <w:br w:type="page"/>
      </w:r>
    </w:p>
    <w:p w14:paraId="1308BA54">
      <w:pPr>
        <w:pStyle w:val="3"/>
        <w:rPr>
          <w:rFonts w:hint="eastAsia" w:ascii="Times New Roman" w:hAnsi="Times New Roman" w:eastAsia="微软雅黑" w:cs="微软雅黑"/>
        </w:rPr>
      </w:pPr>
      <w:r>
        <w:rPr>
          <w:rFonts w:hint="eastAsia" w:ascii="Times New Roman" w:hAnsi="Times New Roman" w:eastAsia="微软雅黑" w:cs="微软雅黑"/>
          <w:color w:val="003366"/>
        </w:rPr>
        <w:t>一、GFP的历史与诺贝尔奖</w:t>
      </w:r>
    </w:p>
    <w:p w14:paraId="674B5AD9">
      <w:pPr>
        <w:rPr>
          <w:rFonts w:hint="eastAsia" w:ascii="Times New Roman" w:hAnsi="Times New Roman" w:eastAsia="微软雅黑" w:cs="微软雅黑"/>
        </w:rPr>
      </w:pPr>
      <w:r>
        <w:rPr>
          <w:rFonts w:hint="eastAsia" w:ascii="Times New Roman" w:hAnsi="Times New Roman" w:eastAsia="微软雅黑" w:cs="微软雅黑"/>
          <w:b w:val="0"/>
          <w:sz w:val="22"/>
        </w:rPr>
        <w:t>绿色荧光蛋白（Green Fluorescent Protein, GFP）的故事是基础科学发现如何改变生物医学研究的经典案例。</w:t>
      </w:r>
    </w:p>
    <w:p w14:paraId="2485016F">
      <w:pPr>
        <w:rPr>
          <w:rFonts w:hint="eastAsia" w:ascii="Times New Roman" w:hAnsi="Times New Roman" w:eastAsia="微软雅黑" w:cs="微软雅黑"/>
        </w:rPr>
      </w:pPr>
      <w:r>
        <w:rPr>
          <w:rFonts w:hint="eastAsia" w:ascii="Times New Roman" w:hAnsi="Times New Roman" w:eastAsia="微软雅黑" w:cs="微软雅黑"/>
          <w:b/>
          <w:sz w:val="22"/>
        </w:rPr>
        <w:t>关键里程碑：</w:t>
      </w:r>
    </w:p>
    <w:p w14:paraId="74B52E7C">
      <w:pPr>
        <w:pStyle w:val="16"/>
        <w:rPr>
          <w:rFonts w:hint="eastAsia" w:ascii="Times New Roman" w:hAnsi="Times New Roman" w:eastAsia="微软雅黑" w:cs="微软雅黑"/>
        </w:rPr>
      </w:pPr>
      <w:r>
        <w:rPr>
          <w:rFonts w:hint="eastAsia" w:ascii="Times New Roman" w:hAnsi="Times New Roman" w:eastAsia="微软雅黑" w:cs="微软雅黑"/>
        </w:rPr>
        <w:t>1962年：下村脩（Osamu Shimomura）从Aequorea victoria水母中分离出GFP和发光蛋白aequorin</w:t>
      </w:r>
    </w:p>
    <w:p w14:paraId="46663941">
      <w:pPr>
        <w:pStyle w:val="16"/>
        <w:rPr>
          <w:rFonts w:hint="eastAsia" w:ascii="Times New Roman" w:hAnsi="Times New Roman" w:eastAsia="微软雅黑" w:cs="微软雅黑"/>
        </w:rPr>
      </w:pPr>
      <w:r>
        <w:rPr>
          <w:rFonts w:hint="eastAsia" w:ascii="Times New Roman" w:hAnsi="Times New Roman" w:eastAsia="微软雅黑" w:cs="微软雅黑"/>
        </w:rPr>
        <w:t>1992年：Prasher等人克隆了GFP的cDNA序列（Gene, 111:229-233）</w:t>
      </w:r>
    </w:p>
    <w:p w14:paraId="4609988B">
      <w:pPr>
        <w:pStyle w:val="16"/>
        <w:rPr>
          <w:rFonts w:hint="eastAsia" w:ascii="Times New Roman" w:hAnsi="Times New Roman" w:eastAsia="微软雅黑" w:cs="微软雅黑"/>
        </w:rPr>
      </w:pPr>
      <w:r>
        <w:rPr>
          <w:rFonts w:hint="eastAsia" w:ascii="Times New Roman" w:hAnsi="Times New Roman" w:eastAsia="微软雅黑" w:cs="微软雅黑"/>
        </w:rPr>
        <w:t>1994年：Chalfie等人在大肠杆菌和秀丽隐杆线虫中表达GFP，证明其可在异源生物中发光（Science, 263:802-805）</w:t>
      </w:r>
    </w:p>
    <w:p w14:paraId="28A890F8">
      <w:pPr>
        <w:pStyle w:val="16"/>
        <w:rPr>
          <w:rFonts w:hint="eastAsia" w:ascii="Times New Roman" w:hAnsi="Times New Roman" w:eastAsia="微软雅黑" w:cs="微软雅黑"/>
        </w:rPr>
      </w:pPr>
      <w:r>
        <w:rPr>
          <w:rFonts w:hint="eastAsia" w:ascii="Times New Roman" w:hAnsi="Times New Roman" w:eastAsia="微软雅黑" w:cs="微软雅黑"/>
        </w:rPr>
        <w:t>1996年：Yang等人和Ormö等人分别解析了GFP的晶体结构（PDB: 1GFL, 1EMA）</w:t>
      </w:r>
    </w:p>
    <w:p w14:paraId="245F7D1C">
      <w:pPr>
        <w:pStyle w:val="16"/>
        <w:rPr>
          <w:rFonts w:hint="eastAsia" w:ascii="Times New Roman" w:hAnsi="Times New Roman" w:eastAsia="微软雅黑" w:cs="微软雅黑"/>
        </w:rPr>
      </w:pPr>
      <w:r>
        <w:rPr>
          <w:rFonts w:hint="eastAsia" w:ascii="Times New Roman" w:hAnsi="Times New Roman" w:eastAsia="微软雅黑" w:cs="微软雅黑"/>
        </w:rPr>
        <w:t>2008年：下村脩、Martin Chalfie、钱永健（Roger Y. Tsien）因GFP的发现和发展获诺贝尔化学奖</w:t>
      </w:r>
    </w:p>
    <w:p w14:paraId="43D5B891">
      <w:pPr>
        <w:pStyle w:val="16"/>
        <w:rPr>
          <w:rFonts w:hint="eastAsia" w:ascii="Times New Roman" w:hAnsi="Times New Roman" w:eastAsia="微软雅黑" w:cs="微软雅黑"/>
        </w:rPr>
      </w:pPr>
      <w:r>
        <w:rPr>
          <w:rFonts w:hint="eastAsia" w:ascii="Times New Roman" w:hAnsi="Times New Roman" w:eastAsia="微软雅黑" w:cs="微软雅黑"/>
        </w:rPr>
        <w:t>2022年：Hirano等人报道StayGold——超高光稳定性GFP（Nat Biotechnol）</w:t>
      </w:r>
    </w:p>
    <w:p w14:paraId="742BFE8F">
      <w:pPr>
        <w:pStyle w:val="16"/>
        <w:rPr>
          <w:rFonts w:hint="eastAsia" w:ascii="Times New Roman" w:hAnsi="Times New Roman" w:eastAsia="微软雅黑" w:cs="微软雅黑"/>
        </w:rPr>
      </w:pPr>
      <w:r>
        <w:rPr>
          <w:rFonts w:hint="eastAsia" w:ascii="Times New Roman" w:hAnsi="Times New Roman" w:eastAsia="微软雅黑" w:cs="微软雅黑"/>
        </w:rPr>
        <w:t>2024年：mBaoJin——基于StayGold的单体超高亮GFP（Nat Methods）</w:t>
      </w:r>
    </w:p>
    <w:p w14:paraId="29A5DE7C">
      <w:pPr>
        <w:pStyle w:val="16"/>
        <w:rPr>
          <w:rFonts w:hint="eastAsia" w:ascii="Times New Roman" w:hAnsi="Times New Roman" w:eastAsia="微软雅黑" w:cs="微软雅黑"/>
        </w:rPr>
      </w:pPr>
      <w:r>
        <w:rPr>
          <w:rFonts w:hint="eastAsia" w:ascii="Times New Roman" w:hAnsi="Times New Roman" w:eastAsia="微软雅黑" w:cs="微软雅黑"/>
        </w:rPr>
        <w:t>2025年：ESM3模型生成全新esmGFP，相当于模拟5亿年自然进化（Science）</w:t>
      </w:r>
    </w:p>
    <w:p w14:paraId="026B9861">
      <w:pPr>
        <w:rPr>
          <w:rFonts w:hint="eastAsia" w:ascii="Times New Roman" w:hAnsi="Times New Roman" w:eastAsia="微软雅黑" w:cs="微软雅黑"/>
        </w:rPr>
      </w:pPr>
      <w:r>
        <w:rPr>
          <w:rFonts w:hint="eastAsia" w:ascii="Times New Roman" w:hAnsi="Times New Roman" w:eastAsia="微软雅黑" w:cs="微软雅黑"/>
          <w:b/>
          <w:sz w:val="20"/>
        </w:rPr>
        <w:t>■ 诺贝尔奖官方页面：2008年诺贝尔化学奖</w:t>
      </w:r>
      <w:r>
        <w:rPr>
          <w:rFonts w:hint="eastAsia" w:ascii="Times New Roman" w:hAnsi="Times New Roman" w:eastAsia="微软雅黑" w:cs="微软雅黑"/>
          <w:color w:val="0050A0"/>
          <w:sz w:val="18"/>
        </w:rPr>
        <w:br w:type="textWrapping"/>
      </w:r>
      <w:r>
        <w:rPr>
          <w:rFonts w:hint="eastAsia" w:ascii="Times New Roman" w:hAnsi="Times New Roman" w:eastAsia="微软雅黑" w:cs="微软雅黑"/>
          <w:color w:val="0050A0"/>
          <w:sz w:val="18"/>
        </w:rPr>
        <w:t xml:space="preserve">  </w:t>
      </w:r>
      <w:r>
        <w:rPr>
          <w:rFonts w:hint="eastAsia" w:ascii="Times New Roman" w:hAnsi="Times New Roman" w:eastAsia="微软雅黑" w:cs="微软雅黑"/>
          <w:color w:val="0050A0"/>
          <w:sz w:val="18"/>
        </w:rPr>
        <w:fldChar w:fldCharType="begin"/>
      </w:r>
      <w:r>
        <w:rPr>
          <w:rFonts w:hint="eastAsia" w:ascii="Times New Roman" w:hAnsi="Times New Roman" w:eastAsia="微软雅黑" w:cs="微软雅黑"/>
          <w:color w:val="0050A0"/>
          <w:sz w:val="18"/>
        </w:rPr>
        <w:instrText xml:space="preserve"> HYPERLINK "https://www.nobelprize.org/prizes/chemistry/2008/summary/" </w:instrText>
      </w:r>
      <w:r>
        <w:rPr>
          <w:rFonts w:hint="eastAsia" w:ascii="Times New Roman" w:hAnsi="Times New Roman" w:eastAsia="微软雅黑" w:cs="微软雅黑"/>
          <w:color w:val="0050A0"/>
          <w:sz w:val="18"/>
        </w:rPr>
        <w:fldChar w:fldCharType="separate"/>
      </w:r>
      <w:r>
        <w:rPr>
          <w:rStyle w:val="134"/>
          <w:rFonts w:hint="eastAsia" w:ascii="Times New Roman" w:hAnsi="Times New Roman" w:eastAsia="微软雅黑" w:cs="微软雅黑"/>
          <w:sz w:val="18"/>
        </w:rPr>
        <w:t>https://www.nobelprize.org/prizes/chemistry/2008/summary/</w:t>
      </w:r>
      <w:r>
        <w:rPr>
          <w:rFonts w:hint="eastAsia" w:ascii="Times New Roman" w:hAnsi="Times New Roman" w:eastAsia="微软雅黑" w:cs="微软雅黑"/>
          <w:color w:val="0050A0"/>
          <w:sz w:val="18"/>
        </w:rPr>
        <w:fldChar w:fldCharType="end"/>
      </w:r>
      <w:r>
        <w:rPr>
          <w:rFonts w:hint="eastAsia" w:ascii="Times New Roman" w:hAnsi="Times New Roman" w:eastAsia="微软雅黑" w:cs="微软雅黑"/>
          <w:sz w:val="20"/>
        </w:rPr>
        <w:br w:type="textWrapping"/>
      </w:r>
      <w:r>
        <w:rPr>
          <w:rFonts w:hint="eastAsia" w:ascii="Times New Roman" w:hAnsi="Times New Roman" w:eastAsia="微软雅黑" w:cs="微软雅黑"/>
          <w:sz w:val="20"/>
        </w:rPr>
        <w:t xml:space="preserve">  了解GFP相关诺贝尔奖的详细信息</w:t>
      </w:r>
    </w:p>
    <w:p w14:paraId="2A95DF1D">
      <w:pPr>
        <w:rPr>
          <w:rFonts w:hint="eastAsia" w:ascii="Times New Roman" w:hAnsi="Times New Roman" w:eastAsia="微软雅黑" w:cs="微软雅黑"/>
        </w:rPr>
      </w:pPr>
      <w:r>
        <w:rPr>
          <w:rFonts w:hint="eastAsia" w:ascii="Times New Roman" w:hAnsi="Times New Roman" w:eastAsia="微软雅黑" w:cs="微软雅黑"/>
          <w:b/>
          <w:sz w:val="20"/>
        </w:rPr>
        <w:t>■ PDB-101: Green Fluorescent Protein (双语)</w:t>
      </w:r>
      <w:r>
        <w:rPr>
          <w:rFonts w:hint="eastAsia" w:ascii="Times New Roman" w:hAnsi="Times New Roman" w:eastAsia="微软雅黑" w:cs="微软雅黑"/>
          <w:color w:val="0050A0"/>
          <w:sz w:val="18"/>
        </w:rPr>
        <w:br w:type="textWrapping"/>
      </w:r>
      <w:r>
        <w:rPr>
          <w:rFonts w:hint="eastAsia" w:ascii="Times New Roman" w:hAnsi="Times New Roman" w:eastAsia="微软雅黑" w:cs="微软雅黑"/>
          <w:color w:val="0050A0"/>
          <w:sz w:val="18"/>
        </w:rPr>
        <w:t xml:space="preserve">  </w:t>
      </w:r>
      <w:r>
        <w:rPr>
          <w:rFonts w:hint="eastAsia" w:ascii="Times New Roman" w:hAnsi="Times New Roman" w:eastAsia="微软雅黑" w:cs="微软雅黑"/>
          <w:color w:val="0050A0"/>
          <w:sz w:val="18"/>
        </w:rPr>
        <w:fldChar w:fldCharType="begin"/>
      </w:r>
      <w:r>
        <w:rPr>
          <w:rFonts w:hint="eastAsia" w:ascii="Times New Roman" w:hAnsi="Times New Roman" w:eastAsia="微软雅黑" w:cs="微软雅黑"/>
          <w:color w:val="0050A0"/>
          <w:sz w:val="18"/>
        </w:rPr>
        <w:instrText xml:space="preserve"> HYPERLINK "https://pdb101.rcsb.org/motm/42" </w:instrText>
      </w:r>
      <w:r>
        <w:rPr>
          <w:rFonts w:hint="eastAsia" w:ascii="Times New Roman" w:hAnsi="Times New Roman" w:eastAsia="微软雅黑" w:cs="微软雅黑"/>
          <w:color w:val="0050A0"/>
          <w:sz w:val="18"/>
        </w:rPr>
        <w:fldChar w:fldCharType="separate"/>
      </w:r>
      <w:r>
        <w:rPr>
          <w:rStyle w:val="134"/>
          <w:rFonts w:hint="eastAsia" w:ascii="Times New Roman" w:hAnsi="Times New Roman" w:eastAsia="微软雅黑" w:cs="微软雅黑"/>
          <w:sz w:val="18"/>
        </w:rPr>
        <w:t>https://pdb101.rcsb.org/motm/42</w:t>
      </w:r>
      <w:r>
        <w:rPr>
          <w:rFonts w:hint="eastAsia" w:ascii="Times New Roman" w:hAnsi="Times New Roman" w:eastAsia="微软雅黑" w:cs="微软雅黑"/>
          <w:color w:val="0050A0"/>
          <w:sz w:val="18"/>
        </w:rPr>
        <w:fldChar w:fldCharType="end"/>
      </w:r>
      <w:r>
        <w:rPr>
          <w:rFonts w:hint="eastAsia" w:ascii="Times New Roman" w:hAnsi="Times New Roman" w:eastAsia="微软雅黑" w:cs="微软雅黑"/>
          <w:sz w:val="20"/>
        </w:rPr>
        <w:br w:type="textWrapping"/>
      </w:r>
      <w:r>
        <w:rPr>
          <w:rFonts w:hint="eastAsia" w:ascii="Times New Roman" w:hAnsi="Times New Roman" w:eastAsia="微软雅黑" w:cs="微软雅黑"/>
          <w:sz w:val="20"/>
        </w:rPr>
        <w:t xml:space="preserve">  David Goodsell撰写的经典GFP科普，配有精美结构图</w:t>
      </w:r>
    </w:p>
    <w:p w14:paraId="15B47DA7">
      <w:pPr>
        <w:pStyle w:val="3"/>
        <w:rPr>
          <w:rFonts w:hint="eastAsia" w:ascii="Times New Roman" w:hAnsi="Times New Roman" w:eastAsia="微软雅黑" w:cs="微软雅黑"/>
        </w:rPr>
      </w:pPr>
      <w:r>
        <w:rPr>
          <w:rFonts w:hint="eastAsia" w:ascii="Times New Roman" w:hAnsi="Times New Roman" w:eastAsia="微软雅黑" w:cs="微软雅黑"/>
          <w:color w:val="003366"/>
        </w:rPr>
        <w:t>二、GFP的三维结构</w:t>
      </w:r>
    </w:p>
    <w:p w14:paraId="0FD71742">
      <w:pPr>
        <w:rPr>
          <w:rFonts w:hint="eastAsia" w:ascii="Times New Roman" w:hAnsi="Times New Roman" w:eastAsia="微软雅黑" w:cs="微软雅黑"/>
        </w:rPr>
      </w:pPr>
      <w:r>
        <w:rPr>
          <w:rFonts w:hint="eastAsia" w:ascii="Times New Roman" w:hAnsi="Times New Roman" w:eastAsia="微软雅黑" w:cs="微软雅黑"/>
          <w:b w:val="0"/>
          <w:sz w:val="22"/>
        </w:rPr>
        <w:t>GFP由238个氨基酸组成，分子量约27 kDa，折叠成独特的"β-罐"（β-can）结构。这是自然界最优雅的蛋白质折叠之一。</w:t>
      </w:r>
    </w:p>
    <w:p w14:paraId="58E0A306">
      <w:pPr>
        <w:pStyle w:val="4"/>
        <w:rPr>
          <w:rFonts w:hint="eastAsia" w:ascii="Times New Roman" w:hAnsi="Times New Roman" w:eastAsia="微软雅黑" w:cs="微软雅黑"/>
        </w:rPr>
      </w:pPr>
      <w:r>
        <w:rPr>
          <w:rFonts w:hint="eastAsia" w:ascii="Times New Roman" w:hAnsi="Times New Roman" w:eastAsia="微软雅黑" w:cs="微软雅黑"/>
          <w:color w:val="003366"/>
        </w:rPr>
        <w:t>2.1 β-桶（β-barrel）</w:t>
      </w:r>
    </w:p>
    <w:p w14:paraId="40934B89">
      <w:pPr>
        <w:rPr>
          <w:rFonts w:hint="eastAsia" w:ascii="Times New Roman" w:hAnsi="Times New Roman" w:eastAsia="微软雅黑" w:cs="微软雅黑"/>
        </w:rPr>
      </w:pPr>
      <w:r>
        <w:rPr>
          <w:rFonts w:hint="eastAsia" w:ascii="Times New Roman" w:hAnsi="Times New Roman" w:eastAsia="微软雅黑" w:cs="微软雅黑"/>
          <w:b w:val="0"/>
          <w:sz w:val="22"/>
        </w:rPr>
        <w:t>11条反平行β链围成近完美的圆柱形桶状结构：</w:t>
      </w:r>
    </w:p>
    <w:p w14:paraId="48024AD1">
      <w:pPr>
        <w:pStyle w:val="16"/>
        <w:rPr>
          <w:rFonts w:hint="eastAsia" w:ascii="Times New Roman" w:hAnsi="Times New Roman" w:eastAsia="微软雅黑" w:cs="微软雅黑"/>
        </w:rPr>
      </w:pPr>
      <w:r>
        <w:rPr>
          <w:rFonts w:hint="eastAsia" w:ascii="Times New Roman" w:hAnsi="Times New Roman" w:eastAsia="微软雅黑" w:cs="微软雅黑"/>
        </w:rPr>
        <w:t>直径约24 Å（2.4纳米），高度约42 Å（4.2纳米）</w:t>
      </w:r>
    </w:p>
    <w:p w14:paraId="22587E54">
      <w:pPr>
        <w:pStyle w:val="16"/>
        <w:rPr>
          <w:rFonts w:hint="eastAsia" w:ascii="Times New Roman" w:hAnsi="Times New Roman" w:eastAsia="微软雅黑" w:cs="微软雅黑"/>
        </w:rPr>
      </w:pPr>
      <w:r>
        <w:rPr>
          <w:rFonts w:hint="eastAsia" w:ascii="Times New Roman" w:hAnsi="Times New Roman" w:eastAsia="微软雅黑" w:cs="微软雅黑"/>
        </w:rPr>
        <w:drawing>
          <wp:anchor distT="0" distB="0" distL="114300" distR="114300" simplePos="0" relativeHeight="251659264" behindDoc="0" locked="0" layoutInCell="1" allowOverlap="1">
            <wp:simplePos x="0" y="0"/>
            <wp:positionH relativeFrom="column">
              <wp:posOffset>4156710</wp:posOffset>
            </wp:positionH>
            <wp:positionV relativeFrom="page">
              <wp:posOffset>99695</wp:posOffset>
            </wp:positionV>
            <wp:extent cx="1738630" cy="2103120"/>
            <wp:effectExtent l="0" t="0" r="4445" b="190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738630" cy="2103120"/>
                    </a:xfrm>
                    <a:prstGeom prst="rect">
                      <a:avLst/>
                    </a:prstGeom>
                    <a:noFill/>
                    <a:ln>
                      <a:noFill/>
                    </a:ln>
                  </pic:spPr>
                </pic:pic>
              </a:graphicData>
            </a:graphic>
          </wp:anchor>
        </w:drawing>
      </w:r>
      <w:r>
        <w:rPr>
          <w:rFonts w:hint="eastAsia" w:ascii="Times New Roman" w:hAnsi="Times New Roman" w:eastAsia="微软雅黑" w:cs="微软雅黑"/>
        </w:rPr>
        <w:t>桶壁由</w:t>
      </w:r>
      <w:r>
        <w:rPr>
          <w:rFonts w:hint="eastAsia" w:ascii="Times New Roman" w:hAnsi="Times New Roman" w:eastAsia="微软雅黑" w:cs="微软雅黑"/>
          <w:b/>
          <w:bCs/>
        </w:rPr>
        <w:t>β链间</w:t>
      </w:r>
      <w:r>
        <w:rPr>
          <w:rFonts w:hint="eastAsia" w:ascii="Times New Roman" w:hAnsi="Times New Roman" w:eastAsia="微软雅黑" w:cs="微软雅黑"/>
        </w:rPr>
        <w:t>的主链</w:t>
      </w:r>
      <w:r>
        <w:rPr>
          <w:rFonts w:hint="eastAsia" w:ascii="Times New Roman" w:hAnsi="Times New Roman" w:eastAsia="微软雅黑" w:cs="微软雅黑"/>
          <w:b/>
          <w:bCs/>
        </w:rPr>
        <w:t>氢键</w:t>
      </w:r>
      <w:r>
        <w:rPr>
          <w:rFonts w:hint="eastAsia" w:ascii="Times New Roman" w:hAnsi="Times New Roman" w:eastAsia="微软雅黑" w:cs="微软雅黑"/>
        </w:rPr>
        <w:t>维持，结构极其稳定</w:t>
      </w:r>
    </w:p>
    <w:p w14:paraId="242D6E06">
      <w:pPr>
        <w:pStyle w:val="16"/>
        <w:rPr>
          <w:rFonts w:hint="eastAsia" w:ascii="Times New Roman" w:hAnsi="Times New Roman" w:eastAsia="微软雅黑" w:cs="微软雅黑"/>
          <w:u w:val="single"/>
        </w:rPr>
      </w:pPr>
      <w:r>
        <w:rPr>
          <w:rFonts w:hint="eastAsia" w:ascii="Times New Roman" w:hAnsi="Times New Roman" w:eastAsia="微软雅黑" w:cs="微软雅黑"/>
        </w:rPr>
        <w:t>桶的</w:t>
      </w:r>
      <w:r>
        <w:rPr>
          <w:rFonts w:hint="eastAsia" w:ascii="Times New Roman" w:hAnsi="Times New Roman" w:eastAsia="微软雅黑" w:cs="微软雅黑"/>
          <w:b/>
          <w:bCs/>
        </w:rPr>
        <w:t>内部</w:t>
      </w:r>
      <w:r>
        <w:rPr>
          <w:rFonts w:hint="eastAsia" w:ascii="Times New Roman" w:hAnsi="Times New Roman" w:eastAsia="微软雅黑" w:cs="微软雅黑"/>
        </w:rPr>
        <w:t>主要是</w:t>
      </w:r>
      <w:r>
        <w:rPr>
          <w:rFonts w:hint="eastAsia" w:ascii="Times New Roman" w:hAnsi="Times New Roman" w:eastAsia="微软雅黑" w:cs="微软雅黑"/>
          <w:b/>
          <w:bCs/>
        </w:rPr>
        <w:t>疏水环境</w:t>
      </w:r>
      <w:r>
        <w:rPr>
          <w:rFonts w:hint="eastAsia" w:ascii="Times New Roman" w:hAnsi="Times New Roman" w:eastAsia="微软雅黑" w:cs="微软雅黑"/>
        </w:rPr>
        <w:t>——</w:t>
      </w:r>
      <w:r>
        <w:rPr>
          <w:rFonts w:hint="eastAsia" w:ascii="Times New Roman" w:hAnsi="Times New Roman" w:eastAsia="微软雅黑" w:cs="微软雅黑"/>
          <w:u w:val="single"/>
        </w:rPr>
        <w:t>这对发色团功能至关重要</w:t>
      </w:r>
    </w:p>
    <w:p w14:paraId="1E6D957C">
      <w:pPr>
        <w:pStyle w:val="16"/>
        <w:rPr>
          <w:rFonts w:hint="eastAsia" w:ascii="Times New Roman" w:hAnsi="Times New Roman" w:eastAsia="微软雅黑" w:cs="微软雅黑"/>
        </w:rPr>
      </w:pPr>
      <w:r>
        <w:rPr>
          <w:rFonts w:hint="eastAsia" w:ascii="Times New Roman" w:hAnsi="Times New Roman" w:eastAsia="微软雅黑" w:cs="微软雅黑"/>
        </w:rPr>
        <w:t>桶的</w:t>
      </w:r>
      <w:r>
        <w:rPr>
          <w:rFonts w:hint="eastAsia" w:ascii="Times New Roman" w:hAnsi="Times New Roman" w:eastAsia="微软雅黑" w:cs="微软雅黑"/>
          <w:b/>
          <w:bCs/>
        </w:rPr>
        <w:t>外部</w:t>
      </w:r>
      <w:r>
        <w:rPr>
          <w:rFonts w:hint="eastAsia" w:ascii="Times New Roman" w:hAnsi="Times New Roman" w:eastAsia="微软雅黑" w:cs="微软雅黑"/>
        </w:rPr>
        <w:t>暴露残基与水溶液接触，可进行</w:t>
      </w:r>
      <w:r>
        <w:rPr>
          <w:rFonts w:hint="eastAsia" w:ascii="Times New Roman" w:hAnsi="Times New Roman" w:eastAsia="微软雅黑" w:cs="微软雅黑"/>
          <w:b/>
          <w:bCs/>
          <w:highlight w:val="yellow"/>
        </w:rPr>
        <w:t>表面工程</w:t>
      </w:r>
    </w:p>
    <w:p w14:paraId="29F0EE3A">
      <w:pPr>
        <w:pStyle w:val="16"/>
        <w:numPr>
          <w:ilvl w:val="0"/>
          <w:numId w:val="0"/>
        </w:numPr>
        <w:ind w:leftChars="0"/>
        <w:rPr>
          <w:rFonts w:hint="eastAsia" w:ascii="Times New Roman" w:hAnsi="Times New Roman" w:eastAsia="微软雅黑" w:cs="微软雅黑"/>
        </w:rPr>
      </w:pPr>
    </w:p>
    <w:p w14:paraId="6C611C73">
      <w:pPr>
        <w:pStyle w:val="4"/>
        <w:rPr>
          <w:rFonts w:hint="eastAsia" w:ascii="Times New Roman" w:hAnsi="Times New Roman" w:eastAsia="微软雅黑" w:cs="微软雅黑"/>
        </w:rPr>
      </w:pPr>
      <w:r>
        <w:rPr>
          <w:rFonts w:hint="eastAsia" w:ascii="Times New Roman" w:hAnsi="Times New Roman" w:eastAsia="微软雅黑" w:cs="微软雅黑"/>
          <w:color w:val="003366"/>
        </w:rPr>
        <w:t>2.2 中心α螺旋与发色团</w:t>
      </w:r>
    </w:p>
    <w:p w14:paraId="1D33BCD4">
      <w:pPr>
        <w:rPr>
          <w:rFonts w:hint="eastAsia" w:ascii="Times New Roman" w:hAnsi="Times New Roman" w:eastAsia="微软雅黑" w:cs="微软雅黑"/>
        </w:rPr>
      </w:pPr>
      <w:r>
        <w:rPr>
          <w:rFonts w:hint="eastAsia" w:ascii="Times New Roman" w:hAnsi="Times New Roman" w:eastAsia="微软雅黑" w:cs="微软雅黑"/>
          <w:b w:val="0"/>
          <w:sz w:val="22"/>
        </w:rPr>
        <w:t>一条α螺旋沿桶的中心轴线贯穿整个结构。发色团附着在该螺旋的中部位置：</w:t>
      </w:r>
    </w:p>
    <w:p w14:paraId="0F77DFBE">
      <w:pPr>
        <w:pStyle w:val="16"/>
        <w:rPr>
          <w:rFonts w:hint="eastAsia" w:ascii="Times New Roman" w:hAnsi="Times New Roman" w:eastAsia="微软雅黑" w:cs="微软雅黑"/>
        </w:rPr>
      </w:pPr>
      <w:r>
        <w:rPr>
          <w:rFonts w:hint="eastAsia" w:ascii="Times New Roman" w:hAnsi="Times New Roman" w:eastAsia="微软雅黑" w:cs="微软雅黑"/>
        </w:rPr>
        <w:t>发色团由三个连续残基形成：</w:t>
      </w:r>
      <w:r>
        <w:rPr>
          <w:rFonts w:hint="eastAsia" w:ascii="Times New Roman" w:hAnsi="Times New Roman" w:eastAsia="微软雅黑" w:cs="微软雅黑"/>
          <w:b/>
          <w:bCs/>
          <w:color w:val="C00000"/>
          <w:sz w:val="28"/>
          <w:szCs w:val="28"/>
        </w:rPr>
        <w:t>Ser65-Tyr66-Gly67</w:t>
      </w:r>
      <w:r>
        <w:rPr>
          <w:rFonts w:hint="eastAsia" w:ascii="Times New Roman" w:hAnsi="Times New Roman" w:eastAsia="微软雅黑" w:cs="微软雅黑"/>
        </w:rPr>
        <w:t>（在</w:t>
      </w:r>
      <w:r>
        <w:rPr>
          <w:rFonts w:hint="eastAsia" w:ascii="Times New Roman" w:hAnsi="Times New Roman" w:eastAsia="微软雅黑" w:cs="微软雅黑"/>
          <w:b/>
          <w:bCs/>
        </w:rPr>
        <w:t>EGFP</w:t>
      </w:r>
      <w:r>
        <w:rPr>
          <w:rFonts w:hint="eastAsia" w:ascii="Times New Roman" w:hAnsi="Times New Roman" w:eastAsia="微软雅黑" w:cs="微软雅黑"/>
        </w:rPr>
        <w:t>中为</w:t>
      </w:r>
      <w:r>
        <w:rPr>
          <w:rFonts w:hint="eastAsia" w:ascii="Times New Roman" w:hAnsi="Times New Roman" w:eastAsia="微软雅黑" w:cs="微软雅黑"/>
          <w:b/>
          <w:bCs/>
        </w:rPr>
        <w:t>Thr65-Tyr66-Gly67</w:t>
      </w:r>
      <w:r>
        <w:rPr>
          <w:rFonts w:hint="eastAsia" w:ascii="Times New Roman" w:hAnsi="Times New Roman" w:eastAsia="微软雅黑" w:cs="微软雅黑"/>
        </w:rPr>
        <w:t>）</w:t>
      </w:r>
    </w:p>
    <w:p w14:paraId="72A2B478">
      <w:pPr>
        <w:pStyle w:val="16"/>
        <w:rPr>
          <w:rFonts w:hint="eastAsia" w:ascii="Times New Roman" w:hAnsi="Times New Roman" w:eastAsia="微软雅黑" w:cs="微软雅黑"/>
        </w:rPr>
      </w:pPr>
      <w:r>
        <w:rPr>
          <w:rFonts w:hint="eastAsia" w:ascii="Times New Roman" w:hAnsi="Times New Roman" w:eastAsia="微软雅黑" w:cs="微软雅黑"/>
        </w:rPr>
        <w:t>发色团被深埋在</w:t>
      </w:r>
      <w:r>
        <w:rPr>
          <w:rFonts w:hint="eastAsia" w:ascii="Times New Roman" w:hAnsi="Times New Roman" w:eastAsia="微软雅黑" w:cs="微软雅黑"/>
          <w:b/>
          <w:bCs/>
        </w:rPr>
        <w:t>β-桶内部</w:t>
      </w:r>
      <w:r>
        <w:rPr>
          <w:rFonts w:hint="eastAsia" w:ascii="Times New Roman" w:hAnsi="Times New Roman" w:eastAsia="微软雅黑" w:cs="微软雅黑"/>
        </w:rPr>
        <w:t>，受到严密的溶剂屏蔽</w:t>
      </w:r>
    </w:p>
    <w:p w14:paraId="109C3106">
      <w:pPr>
        <w:pStyle w:val="16"/>
        <w:rPr>
          <w:rFonts w:hint="eastAsia" w:ascii="Times New Roman" w:hAnsi="Times New Roman" w:eastAsia="微软雅黑" w:cs="微软雅黑"/>
          <w:u w:val="single"/>
        </w:rPr>
      </w:pPr>
      <w:r>
        <w:rPr>
          <w:rFonts w:hint="eastAsia" w:ascii="Times New Roman" w:hAnsi="Times New Roman" w:eastAsia="微软雅黑" w:cs="微软雅黑"/>
          <w:b/>
          <w:bCs/>
        </w:rPr>
        <w:t>溶剂屏蔽</w:t>
      </w:r>
      <w:r>
        <w:rPr>
          <w:rFonts w:hint="eastAsia" w:ascii="Times New Roman" w:hAnsi="Times New Roman" w:eastAsia="微软雅黑" w:cs="微软雅黑"/>
        </w:rPr>
        <w:t>是GFP具有高量子产率的物理基础——</w:t>
      </w:r>
      <w:r>
        <w:rPr>
          <w:rFonts w:hint="eastAsia" w:ascii="Times New Roman" w:hAnsi="Times New Roman" w:eastAsia="微软雅黑" w:cs="微软雅黑"/>
          <w:u w:val="single"/>
        </w:rPr>
        <w:t>避免了水分子的碰撞淬灭</w:t>
      </w:r>
    </w:p>
    <w:p w14:paraId="2601CC37">
      <w:pPr>
        <w:pStyle w:val="4"/>
        <w:rPr>
          <w:rFonts w:hint="eastAsia" w:ascii="Times New Roman" w:hAnsi="Times New Roman" w:eastAsia="微软雅黑" w:cs="微软雅黑"/>
        </w:rPr>
      </w:pPr>
      <w:r>
        <w:rPr>
          <w:rFonts w:hint="eastAsia" w:ascii="Times New Roman" w:hAnsi="Times New Roman" w:eastAsia="微软雅黑" w:cs="微软雅黑"/>
          <w:color w:val="003366"/>
        </w:rPr>
        <w:t>2.3 关键PDB结构速查</w:t>
      </w:r>
    </w:p>
    <w:p w14:paraId="72F6717F">
      <w:pPr>
        <w:rPr>
          <w:rFonts w:hint="eastAsia" w:ascii="Times New Roman" w:hAnsi="Times New Roman" w:eastAsia="微软雅黑" w:cs="微软雅黑"/>
        </w:rPr>
      </w:pPr>
      <w:r>
        <w:rPr>
          <w:rFonts w:hint="eastAsia" w:ascii="Times New Roman" w:hAnsi="Times New Roman" w:eastAsia="微软雅黑" w:cs="微软雅黑"/>
          <w:b w:val="0"/>
          <w:sz w:val="22"/>
        </w:rPr>
        <w:t>以下PDB条目是学习GFP结构的核心资源，可在RCSB PDB网站用Mol*查看器交互式观察：</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81"/>
        <w:gridCol w:w="1881"/>
        <w:gridCol w:w="1881"/>
        <w:gridCol w:w="1881"/>
        <w:gridCol w:w="1881"/>
      </w:tblGrid>
      <w:tr w14:paraId="1A01AB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4BACA084">
            <w:pPr>
              <w:spacing w:after="0" w:line="240" w:lineRule="auto"/>
              <w:rPr>
                <w:rFonts w:hint="eastAsia" w:ascii="Times New Roman" w:hAnsi="Times New Roman" w:eastAsia="微软雅黑" w:cs="微软雅黑"/>
              </w:rPr>
            </w:pPr>
            <w:r>
              <w:rPr>
                <w:rFonts w:hint="eastAsia" w:ascii="Times New Roman" w:hAnsi="Times New Roman" w:eastAsia="微软雅黑" w:cs="微软雅黑"/>
                <w:b/>
                <w:sz w:val="18"/>
              </w:rPr>
              <w:t>PDB ID</w:t>
            </w:r>
          </w:p>
        </w:tc>
        <w:tc>
          <w:tcPr>
            <w:tcW w:w="1881" w:type="dxa"/>
          </w:tcPr>
          <w:p w14:paraId="6EC54604">
            <w:pPr>
              <w:spacing w:after="0" w:line="240" w:lineRule="auto"/>
              <w:rPr>
                <w:rFonts w:hint="eastAsia" w:ascii="Times New Roman" w:hAnsi="Times New Roman" w:eastAsia="微软雅黑" w:cs="微软雅黑"/>
              </w:rPr>
            </w:pPr>
            <w:r>
              <w:rPr>
                <w:rFonts w:hint="eastAsia" w:ascii="Times New Roman" w:hAnsi="Times New Roman" w:eastAsia="微软雅黑" w:cs="微软雅黑"/>
                <w:b/>
                <w:sz w:val="18"/>
              </w:rPr>
              <w:t>描述</w:t>
            </w:r>
          </w:p>
        </w:tc>
        <w:tc>
          <w:tcPr>
            <w:tcW w:w="1881" w:type="dxa"/>
          </w:tcPr>
          <w:p w14:paraId="5F8C7B6B">
            <w:pPr>
              <w:spacing w:after="0" w:line="240" w:lineRule="auto"/>
              <w:rPr>
                <w:rFonts w:hint="eastAsia" w:ascii="Times New Roman" w:hAnsi="Times New Roman" w:eastAsia="微软雅黑" w:cs="微软雅黑"/>
              </w:rPr>
            </w:pPr>
            <w:r>
              <w:rPr>
                <w:rFonts w:hint="eastAsia" w:ascii="Times New Roman" w:hAnsi="Times New Roman" w:eastAsia="微软雅黑" w:cs="微软雅黑"/>
                <w:b/>
                <w:sz w:val="18"/>
              </w:rPr>
              <w:t>分辨率</w:t>
            </w:r>
          </w:p>
        </w:tc>
        <w:tc>
          <w:tcPr>
            <w:tcW w:w="1881" w:type="dxa"/>
          </w:tcPr>
          <w:p w14:paraId="3D2A8C12">
            <w:pPr>
              <w:spacing w:after="0" w:line="240" w:lineRule="auto"/>
              <w:rPr>
                <w:rFonts w:hint="eastAsia" w:ascii="Times New Roman" w:hAnsi="Times New Roman" w:eastAsia="微软雅黑" w:cs="微软雅黑"/>
              </w:rPr>
            </w:pPr>
            <w:r>
              <w:rPr>
                <w:rFonts w:hint="eastAsia" w:ascii="Times New Roman" w:hAnsi="Times New Roman" w:eastAsia="微软雅黑" w:cs="微软雅黑"/>
                <w:b/>
                <w:sz w:val="18"/>
              </w:rPr>
              <w:t>来源</w:t>
            </w:r>
          </w:p>
        </w:tc>
        <w:tc>
          <w:tcPr>
            <w:tcW w:w="1881" w:type="dxa"/>
          </w:tcPr>
          <w:p w14:paraId="6065CDEF">
            <w:pPr>
              <w:spacing w:after="0" w:line="240" w:lineRule="auto"/>
              <w:rPr>
                <w:rFonts w:hint="eastAsia" w:ascii="Times New Roman" w:hAnsi="Times New Roman" w:eastAsia="微软雅黑" w:cs="微软雅黑"/>
              </w:rPr>
            </w:pPr>
            <w:r>
              <w:rPr>
                <w:rFonts w:hint="eastAsia" w:ascii="Times New Roman" w:hAnsi="Times New Roman" w:eastAsia="微软雅黑" w:cs="微软雅黑"/>
                <w:b/>
                <w:sz w:val="18"/>
              </w:rPr>
              <w:t>备注</w:t>
            </w:r>
          </w:p>
        </w:tc>
      </w:tr>
      <w:tr w14:paraId="1E962E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2C5C70F2">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1GFL</w:t>
            </w:r>
          </w:p>
        </w:tc>
        <w:tc>
          <w:tcPr>
            <w:tcW w:w="1881" w:type="dxa"/>
          </w:tcPr>
          <w:p w14:paraId="750A5556">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野生型GFP (wtGFP)</w:t>
            </w:r>
          </w:p>
        </w:tc>
        <w:tc>
          <w:tcPr>
            <w:tcW w:w="1881" w:type="dxa"/>
          </w:tcPr>
          <w:p w14:paraId="7DEAC45D">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1.9 Å</w:t>
            </w:r>
          </w:p>
        </w:tc>
        <w:tc>
          <w:tcPr>
            <w:tcW w:w="1881" w:type="dxa"/>
          </w:tcPr>
          <w:p w14:paraId="49F540F9">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Yang, Phillips 1996</w:t>
            </w:r>
          </w:p>
        </w:tc>
        <w:tc>
          <w:tcPr>
            <w:tcW w:w="1881" w:type="dxa"/>
          </w:tcPr>
          <w:p w14:paraId="0050741A">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最经典的GFP结构</w:t>
            </w:r>
          </w:p>
        </w:tc>
      </w:tr>
      <w:tr w14:paraId="59F906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787461A7">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1EMA</w:t>
            </w:r>
          </w:p>
        </w:tc>
        <w:tc>
          <w:tcPr>
            <w:tcW w:w="1881" w:type="dxa"/>
          </w:tcPr>
          <w:p w14:paraId="68EF6D8D">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EGFP (S65T/F64L)</w:t>
            </w:r>
          </w:p>
        </w:tc>
        <w:tc>
          <w:tcPr>
            <w:tcW w:w="1881" w:type="dxa"/>
          </w:tcPr>
          <w:p w14:paraId="3C321E64">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1.9 Å</w:t>
            </w:r>
          </w:p>
        </w:tc>
        <w:tc>
          <w:tcPr>
            <w:tcW w:w="1881" w:type="dxa"/>
          </w:tcPr>
          <w:p w14:paraId="617A2CC3">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Ormö, Remington 1996</w:t>
            </w:r>
          </w:p>
        </w:tc>
        <w:tc>
          <w:tcPr>
            <w:tcW w:w="1881" w:type="dxa"/>
          </w:tcPr>
          <w:p w14:paraId="6CC9FADB">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增强型GFP</w:t>
            </w:r>
          </w:p>
        </w:tc>
      </w:tr>
      <w:tr w14:paraId="639233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797E35FE">
            <w:pPr>
              <w:spacing w:after="0" w:line="240" w:lineRule="auto"/>
              <w:rPr>
                <w:rFonts w:hint="eastAsia" w:ascii="Times New Roman" w:hAnsi="Times New Roman" w:eastAsia="微软雅黑" w:cs="微软雅黑"/>
                <w:color w:val="C00000"/>
                <w:sz w:val="24"/>
                <w:szCs w:val="24"/>
              </w:rPr>
            </w:pPr>
            <w:r>
              <w:rPr>
                <w:rFonts w:hint="eastAsia" w:ascii="Times New Roman" w:hAnsi="Times New Roman" w:eastAsia="微软雅黑" w:cs="微软雅黑"/>
                <w:color w:val="C00000"/>
                <w:sz w:val="20"/>
                <w:szCs w:val="24"/>
              </w:rPr>
              <w:t>2B3P</w:t>
            </w:r>
          </w:p>
        </w:tc>
        <w:tc>
          <w:tcPr>
            <w:tcW w:w="1881" w:type="dxa"/>
          </w:tcPr>
          <w:p w14:paraId="32ADA30B">
            <w:pPr>
              <w:spacing w:after="0" w:line="240" w:lineRule="auto"/>
              <w:rPr>
                <w:rFonts w:hint="eastAsia" w:ascii="Times New Roman" w:hAnsi="Times New Roman" w:eastAsia="微软雅黑" w:cs="微软雅黑"/>
                <w:color w:val="C00000"/>
                <w:sz w:val="24"/>
                <w:szCs w:val="24"/>
              </w:rPr>
            </w:pPr>
            <w:r>
              <w:rPr>
                <w:rFonts w:hint="eastAsia" w:ascii="Times New Roman" w:hAnsi="Times New Roman" w:eastAsia="微软雅黑" w:cs="微软雅黑"/>
                <w:color w:val="C00000"/>
                <w:sz w:val="20"/>
                <w:szCs w:val="24"/>
              </w:rPr>
              <w:t>Superfolder GFP (sfGFP)</w:t>
            </w:r>
          </w:p>
        </w:tc>
        <w:tc>
          <w:tcPr>
            <w:tcW w:w="1881" w:type="dxa"/>
          </w:tcPr>
          <w:p w14:paraId="1F528CDB">
            <w:pPr>
              <w:spacing w:after="0" w:line="240" w:lineRule="auto"/>
              <w:rPr>
                <w:rFonts w:hint="eastAsia" w:ascii="Times New Roman" w:hAnsi="Times New Roman" w:eastAsia="微软雅黑" w:cs="微软雅黑"/>
                <w:color w:val="C00000"/>
                <w:sz w:val="24"/>
                <w:szCs w:val="24"/>
              </w:rPr>
            </w:pPr>
            <w:r>
              <w:rPr>
                <w:rFonts w:hint="eastAsia" w:ascii="Times New Roman" w:hAnsi="Times New Roman" w:eastAsia="微软雅黑" w:cs="微软雅黑"/>
                <w:color w:val="C00000"/>
                <w:sz w:val="20"/>
                <w:szCs w:val="24"/>
              </w:rPr>
              <w:t>2.3 Å</w:t>
            </w:r>
          </w:p>
        </w:tc>
        <w:tc>
          <w:tcPr>
            <w:tcW w:w="1881" w:type="dxa"/>
          </w:tcPr>
          <w:p w14:paraId="272D7FF6">
            <w:pPr>
              <w:spacing w:after="0" w:line="240" w:lineRule="auto"/>
              <w:rPr>
                <w:rFonts w:hint="eastAsia" w:ascii="Times New Roman" w:hAnsi="Times New Roman" w:eastAsia="微软雅黑" w:cs="微软雅黑"/>
                <w:color w:val="C00000"/>
                <w:sz w:val="24"/>
                <w:szCs w:val="24"/>
              </w:rPr>
            </w:pPr>
            <w:r>
              <w:rPr>
                <w:rFonts w:hint="eastAsia" w:ascii="Times New Roman" w:hAnsi="Times New Roman" w:eastAsia="微软雅黑" w:cs="微软雅黑"/>
                <w:color w:val="C00000"/>
                <w:sz w:val="20"/>
                <w:szCs w:val="24"/>
              </w:rPr>
              <w:t>Pédelacq, Waldo 2006</w:t>
            </w:r>
          </w:p>
        </w:tc>
        <w:tc>
          <w:tcPr>
            <w:tcW w:w="1881" w:type="dxa"/>
          </w:tcPr>
          <w:p w14:paraId="6C0165E4">
            <w:pPr>
              <w:spacing w:after="0" w:line="240" w:lineRule="auto"/>
              <w:rPr>
                <w:rFonts w:hint="eastAsia" w:ascii="Times New Roman" w:hAnsi="Times New Roman" w:eastAsia="微软雅黑" w:cs="微软雅黑"/>
                <w:color w:val="C00000"/>
                <w:sz w:val="24"/>
                <w:szCs w:val="24"/>
              </w:rPr>
            </w:pPr>
            <w:r>
              <w:rPr>
                <w:rFonts w:hint="eastAsia" w:ascii="Times New Roman" w:hAnsi="Times New Roman" w:eastAsia="微软雅黑" w:cs="微软雅黑"/>
                <w:color w:val="C00000"/>
                <w:sz w:val="20"/>
                <w:szCs w:val="24"/>
              </w:rPr>
              <w:t>竞赛基准蛋白</w:t>
            </w:r>
          </w:p>
        </w:tc>
      </w:tr>
      <w:tr w14:paraId="2E6279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76DF4CBD">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2FZU</w:t>
            </w:r>
          </w:p>
        </w:tc>
        <w:tc>
          <w:tcPr>
            <w:tcW w:w="1881" w:type="dxa"/>
          </w:tcPr>
          <w:p w14:paraId="5681E48C">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GFP烯醇中间体</w:t>
            </w:r>
          </w:p>
        </w:tc>
        <w:tc>
          <w:tcPr>
            <w:tcW w:w="1881" w:type="dxa"/>
          </w:tcPr>
          <w:p w14:paraId="476FE960">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w:t>
            </w:r>
          </w:p>
        </w:tc>
        <w:tc>
          <w:tcPr>
            <w:tcW w:w="1881" w:type="dxa"/>
          </w:tcPr>
          <w:p w14:paraId="716BE9C6">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Barondeau, Getzoff 2006</w:t>
            </w:r>
          </w:p>
        </w:tc>
        <w:tc>
          <w:tcPr>
            <w:tcW w:w="1881" w:type="dxa"/>
          </w:tcPr>
          <w:p w14:paraId="6CBF7723">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捕获发色团成熟中间体</w:t>
            </w:r>
          </w:p>
        </w:tc>
      </w:tr>
      <w:tr w14:paraId="2282E2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4DA3ADB2">
            <w:pPr>
              <w:spacing w:after="0" w:line="240" w:lineRule="auto"/>
              <w:rPr>
                <w:rFonts w:hint="eastAsia" w:ascii="Times New Roman" w:hAnsi="Times New Roman" w:eastAsia="微软雅黑" w:cs="微软雅黑"/>
              </w:rPr>
            </w:pPr>
            <w:r>
              <w:rPr>
                <w:rFonts w:hint="eastAsia" w:ascii="Times New Roman" w:hAnsi="Times New Roman" w:eastAsia="微软雅黑" w:cs="微软雅黑"/>
                <w:color w:val="C00000"/>
                <w:sz w:val="18"/>
              </w:rPr>
              <w:t>8q79</w:t>
            </w:r>
          </w:p>
        </w:tc>
        <w:tc>
          <w:tcPr>
            <w:tcW w:w="1881" w:type="dxa"/>
          </w:tcPr>
          <w:p w14:paraId="2E71B1AE">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mBaoJin (pH 6.5)</w:t>
            </w:r>
          </w:p>
        </w:tc>
        <w:tc>
          <w:tcPr>
            <w:tcW w:w="1881" w:type="dxa"/>
          </w:tcPr>
          <w:p w14:paraId="7A1DD16B">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w:t>
            </w:r>
          </w:p>
        </w:tc>
        <w:tc>
          <w:tcPr>
            <w:tcW w:w="1881" w:type="dxa"/>
          </w:tcPr>
          <w:p w14:paraId="4420CA01">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Zhang, Subach 2024</w:t>
            </w:r>
          </w:p>
        </w:tc>
        <w:tc>
          <w:tcPr>
            <w:tcW w:w="1881" w:type="dxa"/>
          </w:tcPr>
          <w:p w14:paraId="10F9F260">
            <w:pPr>
              <w:spacing w:after="0" w:line="240" w:lineRule="auto"/>
              <w:rPr>
                <w:rFonts w:hint="eastAsia" w:ascii="Times New Roman" w:hAnsi="Times New Roman" w:eastAsia="微软雅黑" w:cs="微软雅黑"/>
              </w:rPr>
            </w:pPr>
            <w:r>
              <w:rPr>
                <w:rFonts w:hint="eastAsia" w:ascii="Times New Roman" w:hAnsi="Times New Roman" w:eastAsia="微软雅黑" w:cs="微软雅黑"/>
                <w:sz w:val="18"/>
              </w:rPr>
              <w:t>最新单体超亮GFP</w:t>
            </w:r>
          </w:p>
        </w:tc>
      </w:tr>
    </w:tbl>
    <w:p w14:paraId="6B52AB79">
      <w:pPr>
        <w:rPr>
          <w:rFonts w:hint="eastAsia" w:ascii="Times New Roman" w:hAnsi="Times New Roman" w:eastAsia="微软雅黑" w:cs="微软雅黑"/>
          <w:b/>
          <w:sz w:val="20"/>
        </w:rPr>
      </w:pPr>
      <w:r>
        <w:rPr>
          <w:rFonts w:hint="eastAsia" w:ascii="Times New Roman" w:hAnsi="Times New Roman" w:eastAsia="微软雅黑" w:cs="微软雅黑"/>
          <w:b/>
          <w:sz w:val="20"/>
        </w:rPr>
        <w:drawing>
          <wp:anchor distT="0" distB="0" distL="114300" distR="114300" simplePos="0" relativeHeight="251661312" behindDoc="0" locked="0" layoutInCell="1" allowOverlap="1">
            <wp:simplePos x="0" y="0"/>
            <wp:positionH relativeFrom="column">
              <wp:posOffset>2405380</wp:posOffset>
            </wp:positionH>
            <wp:positionV relativeFrom="page">
              <wp:posOffset>6146165</wp:posOffset>
            </wp:positionV>
            <wp:extent cx="2475230" cy="2164715"/>
            <wp:effectExtent l="0" t="0" r="1270" b="698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rcRect r="43541"/>
                    <a:stretch>
                      <a:fillRect/>
                    </a:stretch>
                  </pic:blipFill>
                  <pic:spPr>
                    <a:xfrm>
                      <a:off x="0" y="0"/>
                      <a:ext cx="2475230" cy="2164715"/>
                    </a:xfrm>
                    <a:prstGeom prst="rect">
                      <a:avLst/>
                    </a:prstGeom>
                    <a:noFill/>
                    <a:ln>
                      <a:noFill/>
                    </a:ln>
                  </pic:spPr>
                </pic:pic>
              </a:graphicData>
            </a:graphic>
          </wp:anchor>
        </w:drawing>
      </w:r>
      <w:r>
        <w:rPr>
          <w:rFonts w:hint="eastAsia" w:ascii="Times New Roman" w:hAnsi="Times New Roman" w:eastAsia="微软雅黑" w:cs="微软雅黑"/>
          <w:b/>
          <w:sz w:val="20"/>
        </w:rPr>
        <w:drawing>
          <wp:anchor distT="0" distB="0" distL="114300" distR="114300" simplePos="0" relativeHeight="251660288" behindDoc="0" locked="0" layoutInCell="1" allowOverlap="1">
            <wp:simplePos x="0" y="0"/>
            <wp:positionH relativeFrom="column">
              <wp:posOffset>-100330</wp:posOffset>
            </wp:positionH>
            <wp:positionV relativeFrom="page">
              <wp:posOffset>6181090</wp:posOffset>
            </wp:positionV>
            <wp:extent cx="2418715" cy="2162810"/>
            <wp:effectExtent l="0" t="0" r="635" b="889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rcRect r="39488"/>
                    <a:stretch>
                      <a:fillRect/>
                    </a:stretch>
                  </pic:blipFill>
                  <pic:spPr>
                    <a:xfrm>
                      <a:off x="0" y="0"/>
                      <a:ext cx="2418715" cy="2162810"/>
                    </a:xfrm>
                    <a:prstGeom prst="rect">
                      <a:avLst/>
                    </a:prstGeom>
                    <a:noFill/>
                    <a:ln>
                      <a:noFill/>
                    </a:ln>
                  </pic:spPr>
                </pic:pic>
              </a:graphicData>
            </a:graphic>
          </wp:anchor>
        </w:drawing>
      </w:r>
    </w:p>
    <w:p w14:paraId="71B88651">
      <w:pPr>
        <w:rPr>
          <w:rFonts w:hint="eastAsia" w:ascii="Times New Roman" w:hAnsi="Times New Roman" w:eastAsia="微软雅黑" w:cs="微软雅黑"/>
          <w:b/>
          <w:sz w:val="20"/>
        </w:rPr>
      </w:pPr>
    </w:p>
    <w:p w14:paraId="30A63B0D">
      <w:pPr>
        <w:rPr>
          <w:rFonts w:hint="eastAsia" w:ascii="Times New Roman" w:hAnsi="Times New Roman" w:eastAsia="微软雅黑" w:cs="微软雅黑"/>
          <w:b/>
          <w:sz w:val="20"/>
        </w:rPr>
      </w:pPr>
    </w:p>
    <w:p w14:paraId="4A87FB9A">
      <w:pPr>
        <w:rPr>
          <w:rFonts w:hint="eastAsia" w:ascii="Times New Roman" w:hAnsi="Times New Roman" w:eastAsia="微软雅黑" w:cs="微软雅黑"/>
          <w:b/>
          <w:sz w:val="20"/>
        </w:rPr>
      </w:pPr>
    </w:p>
    <w:p w14:paraId="5A845B0D">
      <w:pPr>
        <w:rPr>
          <w:rFonts w:hint="eastAsia" w:ascii="Times New Roman" w:hAnsi="Times New Roman" w:eastAsia="微软雅黑" w:cs="微软雅黑"/>
          <w:b/>
          <w:sz w:val="20"/>
        </w:rPr>
      </w:pPr>
    </w:p>
    <w:p w14:paraId="16B4256A">
      <w:pPr>
        <w:rPr>
          <w:rFonts w:hint="eastAsia" w:ascii="Times New Roman" w:hAnsi="Times New Roman" w:eastAsia="微软雅黑" w:cs="微软雅黑"/>
          <w:b/>
          <w:sz w:val="20"/>
        </w:rPr>
      </w:pPr>
    </w:p>
    <w:p w14:paraId="192AAA14">
      <w:pPr>
        <w:rPr>
          <w:rFonts w:hint="eastAsia" w:ascii="Times New Roman" w:hAnsi="Times New Roman" w:eastAsia="微软雅黑" w:cs="微软雅黑"/>
          <w:b/>
          <w:sz w:val="20"/>
        </w:rPr>
      </w:pPr>
    </w:p>
    <w:p w14:paraId="731B2580">
      <w:pPr>
        <w:rPr>
          <w:rFonts w:hint="eastAsia" w:ascii="Times New Roman" w:hAnsi="Times New Roman" w:eastAsia="微软雅黑" w:cs="微软雅黑"/>
          <w:b/>
          <w:sz w:val="20"/>
        </w:rPr>
      </w:pPr>
    </w:p>
    <w:p w14:paraId="2C2E5B79">
      <w:pPr>
        <w:rPr>
          <w:rFonts w:hint="eastAsia" w:ascii="Times New Roman" w:hAnsi="Times New Roman" w:eastAsia="微软雅黑" w:cs="微软雅黑"/>
        </w:rPr>
      </w:pPr>
      <w:r>
        <w:rPr>
          <w:rFonts w:hint="eastAsia" w:ascii="Times New Roman" w:hAnsi="Times New Roman" w:eastAsia="微软雅黑" w:cs="微软雅黑"/>
          <w:b/>
          <w:sz w:val="20"/>
        </w:rPr>
        <w:t>■ RCSB PDB Mol* Viewer使用教程</w:t>
      </w:r>
      <w:r>
        <w:rPr>
          <w:rFonts w:hint="eastAsia" w:ascii="Times New Roman" w:hAnsi="Times New Roman" w:eastAsia="微软雅黑" w:cs="微软雅黑"/>
          <w:color w:val="0050A0"/>
          <w:sz w:val="18"/>
        </w:rPr>
        <w:br w:type="textWrapping"/>
      </w:r>
      <w:r>
        <w:rPr>
          <w:rFonts w:hint="eastAsia" w:ascii="Times New Roman" w:hAnsi="Times New Roman" w:eastAsia="微软雅黑" w:cs="微软雅黑"/>
          <w:color w:val="0050A0"/>
          <w:sz w:val="18"/>
        </w:rPr>
        <w:t xml:space="preserve">  </w:t>
      </w:r>
      <w:r>
        <w:rPr>
          <w:rFonts w:hint="eastAsia" w:ascii="Times New Roman" w:hAnsi="Times New Roman" w:eastAsia="微软雅黑" w:cs="微软雅黑"/>
          <w:color w:val="0050A0"/>
          <w:sz w:val="18"/>
        </w:rPr>
        <w:fldChar w:fldCharType="begin"/>
      </w:r>
      <w:r>
        <w:rPr>
          <w:rFonts w:hint="eastAsia" w:ascii="Times New Roman" w:hAnsi="Times New Roman" w:eastAsia="微软雅黑" w:cs="微软雅黑"/>
          <w:color w:val="0050A0"/>
          <w:sz w:val="18"/>
        </w:rPr>
        <w:instrText xml:space="preserve"> HYPERLINK "https://www.rcsb.org/3d-view" </w:instrText>
      </w:r>
      <w:r>
        <w:rPr>
          <w:rFonts w:hint="eastAsia" w:ascii="Times New Roman" w:hAnsi="Times New Roman" w:eastAsia="微软雅黑" w:cs="微软雅黑"/>
          <w:color w:val="0050A0"/>
          <w:sz w:val="18"/>
        </w:rPr>
        <w:fldChar w:fldCharType="separate"/>
      </w:r>
      <w:r>
        <w:rPr>
          <w:rStyle w:val="134"/>
          <w:rFonts w:hint="eastAsia" w:ascii="Times New Roman" w:hAnsi="Times New Roman" w:eastAsia="微软雅黑" w:cs="微软雅黑"/>
          <w:sz w:val="18"/>
        </w:rPr>
        <w:t>https://www.rcsb.org/3d-view</w:t>
      </w:r>
      <w:r>
        <w:rPr>
          <w:rFonts w:hint="eastAsia" w:ascii="Times New Roman" w:hAnsi="Times New Roman" w:eastAsia="微软雅黑" w:cs="微软雅黑"/>
          <w:color w:val="0050A0"/>
          <w:sz w:val="18"/>
        </w:rPr>
        <w:fldChar w:fldCharType="end"/>
      </w:r>
      <w:r>
        <w:rPr>
          <w:rFonts w:hint="eastAsia" w:ascii="Times New Roman" w:hAnsi="Times New Roman" w:eastAsia="微软雅黑" w:cs="微软雅黑"/>
          <w:sz w:val="20"/>
        </w:rPr>
        <w:br w:type="textWrapping"/>
      </w:r>
      <w:r>
        <w:rPr>
          <w:rFonts w:hint="eastAsia" w:ascii="Times New Roman" w:hAnsi="Times New Roman" w:eastAsia="微软雅黑" w:cs="微软雅黑"/>
          <w:sz w:val="20"/>
        </w:rPr>
        <w:t xml:space="preserve">  在浏览器中直接查看和旋转三维蛋白质结构</w:t>
      </w:r>
    </w:p>
    <w:p w14:paraId="63F56EEF">
      <w:pPr>
        <w:pStyle w:val="3"/>
        <w:rPr>
          <w:rFonts w:hint="eastAsia" w:ascii="Times New Roman" w:hAnsi="Times New Roman" w:eastAsia="微软雅黑" w:cs="微软雅黑"/>
          <w:sz w:val="32"/>
          <w:szCs w:val="32"/>
        </w:rPr>
      </w:pPr>
      <w:r>
        <w:rPr>
          <w:rFonts w:hint="eastAsia" w:ascii="Times New Roman" w:hAnsi="Times New Roman" w:eastAsia="微软雅黑" w:cs="微软雅黑"/>
          <w:color w:val="003366"/>
          <w:sz w:val="32"/>
          <w:szCs w:val="32"/>
        </w:rPr>
        <w:t>三、发色团的自催化成熟过程（核心机制）</w:t>
      </w:r>
    </w:p>
    <w:p w14:paraId="674E6123">
      <w:pPr>
        <w:rPr>
          <w:rFonts w:hint="eastAsia" w:ascii="Times New Roman" w:hAnsi="Times New Roman" w:eastAsia="微软雅黑" w:cs="微软雅黑"/>
          <w:sz w:val="24"/>
          <w:szCs w:val="24"/>
        </w:rPr>
      </w:pPr>
      <w:r>
        <w:rPr>
          <w:rFonts w:hint="eastAsia" w:ascii="Times New Roman" w:hAnsi="Times New Roman" w:eastAsia="微软雅黑" w:cs="微软雅黑"/>
          <w:b w:val="0"/>
          <w:sz w:val="24"/>
          <w:szCs w:val="24"/>
        </w:rPr>
        <w:t>GFP最令人惊叹的特征是其发色团完全由蛋白质自身的三个连续残基通过自催化反应形成——不需要任何外源酶或辅因子，唯一需要的外源小分子是</w:t>
      </w:r>
      <w:r>
        <w:rPr>
          <w:rFonts w:hint="eastAsia" w:ascii="Times New Roman" w:hAnsi="Times New Roman" w:eastAsia="微软雅黑" w:cs="微软雅黑"/>
          <w:b/>
          <w:bCs/>
          <w:sz w:val="24"/>
          <w:szCs w:val="24"/>
        </w:rPr>
        <w:t>分子氧（O₂）</w:t>
      </w:r>
      <w:r>
        <w:rPr>
          <w:rFonts w:hint="eastAsia" w:ascii="Times New Roman" w:hAnsi="Times New Roman" w:eastAsia="微软雅黑" w:cs="微软雅黑"/>
          <w:b w:val="0"/>
          <w:sz w:val="24"/>
          <w:szCs w:val="24"/>
        </w:rPr>
        <w:t>。这一过程被称为"自催化翻译后修饰"。</w:t>
      </w:r>
    </w:p>
    <w:p w14:paraId="639C0BE8">
      <w:pPr>
        <w:rPr>
          <w:rFonts w:hint="eastAsia" w:ascii="Times New Roman" w:hAnsi="Times New Roman" w:eastAsia="微软雅黑" w:cs="微软雅黑"/>
          <w:sz w:val="24"/>
          <w:szCs w:val="24"/>
        </w:rPr>
      </w:pPr>
    </w:p>
    <w:p w14:paraId="0D0BF6A1">
      <w:pPr>
        <w:pStyle w:val="4"/>
        <w:rPr>
          <w:rFonts w:hint="eastAsia" w:ascii="Times New Roman" w:hAnsi="Times New Roman" w:eastAsia="微软雅黑" w:cs="微软雅黑"/>
          <w:sz w:val="28"/>
          <w:szCs w:val="28"/>
        </w:rPr>
      </w:pPr>
      <w:r>
        <w:rPr>
          <w:rFonts w:hint="eastAsia" w:ascii="Times New Roman" w:hAnsi="Times New Roman" w:eastAsia="微软雅黑" w:cs="微软雅黑"/>
          <w:color w:val="003366"/>
          <w:sz w:val="28"/>
          <w:szCs w:val="28"/>
        </w:rPr>
        <w:t>3.1 三肽前体</w:t>
      </w:r>
    </w:p>
    <w:p w14:paraId="39A25091">
      <w:pPr>
        <w:rPr>
          <w:rFonts w:hint="eastAsia" w:ascii="Times New Roman" w:hAnsi="Times New Roman" w:eastAsia="微软雅黑" w:cs="微软雅黑"/>
          <w:sz w:val="24"/>
          <w:szCs w:val="24"/>
        </w:rPr>
      </w:pPr>
      <w:r>
        <w:rPr>
          <w:rFonts w:hint="eastAsia" w:ascii="Times New Roman" w:hAnsi="Times New Roman" w:eastAsia="微软雅黑" w:cs="微软雅黑"/>
          <w:b w:val="0"/>
          <w:sz w:val="24"/>
          <w:szCs w:val="24"/>
        </w:rPr>
        <w:t>发色团的三肽前体是</w:t>
      </w:r>
      <w:r>
        <w:rPr>
          <w:rFonts w:hint="eastAsia" w:ascii="Times New Roman" w:hAnsi="Times New Roman" w:eastAsia="微软雅黑" w:cs="微软雅黑"/>
          <w:b/>
          <w:bCs/>
          <w:sz w:val="24"/>
          <w:szCs w:val="24"/>
        </w:rPr>
        <w:t>XZG</w:t>
      </w:r>
      <w:r>
        <w:rPr>
          <w:rFonts w:hint="eastAsia" w:ascii="Times New Roman" w:hAnsi="Times New Roman" w:eastAsia="微软雅黑" w:cs="微软雅黑"/>
          <w:b w:val="0"/>
          <w:sz w:val="24"/>
          <w:szCs w:val="24"/>
        </w:rPr>
        <w:t>基序：</w:t>
      </w:r>
    </w:p>
    <w:p w14:paraId="54A2369F">
      <w:pPr>
        <w:pStyle w:val="16"/>
        <w:rPr>
          <w:rFonts w:hint="eastAsia" w:ascii="Times New Roman" w:hAnsi="Times New Roman" w:eastAsia="微软雅黑" w:cs="微软雅黑"/>
          <w:sz w:val="24"/>
          <w:szCs w:val="24"/>
        </w:rPr>
      </w:pPr>
      <w:r>
        <w:rPr>
          <w:rFonts w:hint="eastAsia" w:ascii="Times New Roman" w:hAnsi="Times New Roman" w:eastAsia="微软雅黑" w:cs="微软雅黑"/>
          <w:b/>
          <w:bCs/>
          <w:color w:val="C00000"/>
          <w:sz w:val="24"/>
          <w:szCs w:val="24"/>
        </w:rPr>
        <w:t>X = Ser65（wtGFP）或Thr65（EGFP</w:t>
      </w:r>
      <w:r>
        <w:rPr>
          <w:rFonts w:hint="eastAsia" w:ascii="Times New Roman" w:hAnsi="Times New Roman" w:eastAsia="微软雅黑" w:cs="微软雅黑"/>
          <w:b/>
          <w:bCs/>
          <w:sz w:val="24"/>
          <w:szCs w:val="24"/>
        </w:rPr>
        <w:t>）</w:t>
      </w:r>
      <w:r>
        <w:rPr>
          <w:rFonts w:hint="eastAsia" w:ascii="Times New Roman" w:hAnsi="Times New Roman" w:eastAsia="微软雅黑" w:cs="微软雅黑"/>
          <w:sz w:val="24"/>
          <w:szCs w:val="24"/>
        </w:rPr>
        <w:t>——提供</w:t>
      </w:r>
      <w:r>
        <w:rPr>
          <w:rFonts w:hint="eastAsia" w:ascii="Times New Roman" w:hAnsi="Times New Roman" w:eastAsia="微软雅黑" w:cs="微软雅黑"/>
          <w:b/>
          <w:bCs/>
          <w:sz w:val="24"/>
          <w:szCs w:val="24"/>
        </w:rPr>
        <w:t>羰基碳</w:t>
      </w:r>
      <w:r>
        <w:rPr>
          <w:rFonts w:hint="eastAsia" w:ascii="Times New Roman" w:hAnsi="Times New Roman" w:eastAsia="微软雅黑" w:cs="微软雅黑"/>
          <w:sz w:val="24"/>
          <w:szCs w:val="24"/>
        </w:rPr>
        <w:t>用于</w:t>
      </w:r>
      <w:r>
        <w:rPr>
          <w:rFonts w:hint="eastAsia" w:ascii="Times New Roman" w:hAnsi="Times New Roman" w:eastAsia="微软雅黑" w:cs="微软雅黑"/>
          <w:b/>
          <w:bCs/>
          <w:sz w:val="24"/>
          <w:szCs w:val="24"/>
        </w:rPr>
        <w:t>亲核攻击</w:t>
      </w:r>
    </w:p>
    <w:p w14:paraId="2F5E5217">
      <w:pPr>
        <w:pStyle w:val="16"/>
        <w:rPr>
          <w:rFonts w:hint="eastAsia" w:ascii="Times New Roman" w:hAnsi="Times New Roman" w:eastAsia="微软雅黑" w:cs="微软雅黑"/>
          <w:sz w:val="24"/>
          <w:szCs w:val="24"/>
        </w:rPr>
      </w:pPr>
      <w:r>
        <w:rPr>
          <w:rFonts w:hint="eastAsia" w:ascii="Times New Roman" w:hAnsi="Times New Roman" w:eastAsia="微软雅黑" w:cs="微软雅黑"/>
          <w:b/>
          <w:bCs/>
          <w:color w:val="C00000"/>
          <w:sz w:val="24"/>
          <w:szCs w:val="24"/>
        </w:rPr>
        <w:t>Z = Tyr66</w:t>
      </w:r>
      <w:r>
        <w:rPr>
          <w:rFonts w:hint="eastAsia" w:ascii="Times New Roman" w:hAnsi="Times New Roman" w:eastAsia="微软雅黑" w:cs="微软雅黑"/>
          <w:sz w:val="24"/>
          <w:szCs w:val="24"/>
        </w:rPr>
        <w:t>——提供</w:t>
      </w:r>
      <w:r>
        <w:rPr>
          <w:rFonts w:hint="eastAsia" w:ascii="Times New Roman" w:hAnsi="Times New Roman" w:eastAsia="微软雅黑" w:cs="微软雅黑"/>
          <w:b/>
          <w:bCs/>
          <w:sz w:val="24"/>
          <w:szCs w:val="24"/>
        </w:rPr>
        <w:t>酚环</w:t>
      </w:r>
      <w:r>
        <w:rPr>
          <w:rFonts w:hint="eastAsia" w:ascii="Times New Roman" w:hAnsi="Times New Roman" w:eastAsia="微软雅黑" w:cs="微软雅黑"/>
          <w:sz w:val="24"/>
          <w:szCs w:val="24"/>
        </w:rPr>
        <w:t>，贡献最终发色团的</w:t>
      </w:r>
      <w:r>
        <w:rPr>
          <w:rFonts w:hint="eastAsia" w:ascii="Times New Roman" w:hAnsi="Times New Roman" w:eastAsia="微软雅黑" w:cs="微软雅黑"/>
          <w:b/>
          <w:bCs/>
          <w:sz w:val="24"/>
          <w:szCs w:val="24"/>
        </w:rPr>
        <w:t>π共轭体系</w:t>
      </w:r>
    </w:p>
    <w:p w14:paraId="60BE4D69">
      <w:pPr>
        <w:pStyle w:val="16"/>
        <w:rPr>
          <w:rFonts w:hint="eastAsia" w:ascii="Times New Roman" w:hAnsi="Times New Roman" w:eastAsia="微软雅黑" w:cs="微软雅黑"/>
          <w:sz w:val="24"/>
          <w:szCs w:val="24"/>
        </w:rPr>
      </w:pPr>
      <w:r>
        <w:rPr>
          <w:rFonts w:hint="eastAsia" w:ascii="Times New Roman" w:hAnsi="Times New Roman" w:eastAsia="微软雅黑" w:cs="微软雅黑"/>
          <w:b/>
          <w:bCs/>
          <w:color w:val="C00000"/>
          <w:sz w:val="24"/>
          <w:szCs w:val="24"/>
        </w:rPr>
        <w:t>G = Gly67</w:t>
      </w:r>
      <w:r>
        <w:rPr>
          <w:rFonts w:hint="eastAsia" w:ascii="Times New Roman" w:hAnsi="Times New Roman" w:eastAsia="微软雅黑" w:cs="微软雅黑"/>
          <w:sz w:val="24"/>
          <w:szCs w:val="24"/>
        </w:rPr>
        <w:t>——</w:t>
      </w:r>
      <w:r>
        <w:rPr>
          <w:rFonts w:hint="eastAsia" w:ascii="Times New Roman" w:hAnsi="Times New Roman" w:eastAsia="微软雅黑" w:cs="微软雅黑"/>
          <w:b/>
          <w:bCs/>
          <w:sz w:val="24"/>
          <w:szCs w:val="24"/>
        </w:rPr>
        <w:t>酰胺氮</w:t>
      </w:r>
      <w:r>
        <w:rPr>
          <w:rFonts w:hint="eastAsia" w:ascii="Times New Roman" w:hAnsi="Times New Roman" w:eastAsia="微软雅黑" w:cs="微软雅黑"/>
          <w:sz w:val="24"/>
          <w:szCs w:val="24"/>
        </w:rPr>
        <w:t>作为</w:t>
      </w:r>
      <w:r>
        <w:rPr>
          <w:rFonts w:hint="eastAsia" w:ascii="Times New Roman" w:hAnsi="Times New Roman" w:eastAsia="微软雅黑" w:cs="微软雅黑"/>
          <w:b/>
          <w:bCs/>
          <w:sz w:val="24"/>
          <w:szCs w:val="24"/>
        </w:rPr>
        <w:t>亲核体</w:t>
      </w:r>
      <w:r>
        <w:rPr>
          <w:rFonts w:hint="eastAsia" w:ascii="Times New Roman" w:hAnsi="Times New Roman" w:eastAsia="微软雅黑" w:cs="微软雅黑"/>
          <w:sz w:val="24"/>
          <w:szCs w:val="24"/>
        </w:rPr>
        <w:t>（</w:t>
      </w:r>
      <w:r>
        <w:rPr>
          <w:rFonts w:hint="eastAsia" w:ascii="Times New Roman" w:hAnsi="Times New Roman" w:eastAsia="微软雅黑" w:cs="微软雅黑"/>
          <w:sz w:val="24"/>
          <w:szCs w:val="24"/>
          <w:u w:val="single"/>
        </w:rPr>
        <w:t>蛋白质骨架中最佳亲核位点，空间位阻最小</w:t>
      </w:r>
      <w:r>
        <w:rPr>
          <w:rFonts w:hint="eastAsia" w:ascii="Times New Roman" w:hAnsi="Times New Roman" w:eastAsia="微软雅黑" w:cs="微软雅黑"/>
          <w:sz w:val="24"/>
          <w:szCs w:val="24"/>
        </w:rPr>
        <w:t>）</w:t>
      </w:r>
    </w:p>
    <w:p w14:paraId="306E06B3">
      <w:pPr>
        <w:pStyle w:val="4"/>
        <w:rPr>
          <w:rFonts w:hint="eastAsia" w:ascii="Times New Roman" w:hAnsi="Times New Roman" w:eastAsia="微软雅黑" w:cs="微软雅黑"/>
          <w:sz w:val="28"/>
          <w:szCs w:val="28"/>
        </w:rPr>
      </w:pPr>
      <w:r>
        <w:rPr>
          <w:rFonts w:hint="eastAsia" w:ascii="Times New Roman" w:hAnsi="Times New Roman" w:eastAsia="微软雅黑" w:cs="微软雅黑"/>
          <w:color w:val="003366"/>
          <w:sz w:val="28"/>
          <w:szCs w:val="28"/>
        </w:rPr>
        <w:t>3.2 三步化学反应</w:t>
      </w:r>
    </w:p>
    <w:p w14:paraId="26A4E3B3">
      <w:pPr>
        <w:rPr>
          <w:rFonts w:hint="eastAsia" w:ascii="Times New Roman" w:hAnsi="Times New Roman" w:eastAsia="微软雅黑" w:cs="微软雅黑"/>
          <w:sz w:val="24"/>
          <w:szCs w:val="24"/>
        </w:rPr>
      </w:pPr>
      <w:r>
        <w:rPr>
          <w:rFonts w:hint="eastAsia" w:ascii="Times New Roman" w:hAnsi="Times New Roman" w:eastAsia="微软雅黑" w:cs="微软雅黑"/>
          <w:b/>
          <w:sz w:val="24"/>
          <w:szCs w:val="24"/>
        </w:rPr>
        <w:t>步骤1：环化（Cyclization, t₁/₂ ≈ 1.5分钟）</w:t>
      </w:r>
    </w:p>
    <w:p w14:paraId="7343E056">
      <w:pPr>
        <w:rPr>
          <w:rFonts w:hint="eastAsia" w:ascii="Times New Roman" w:hAnsi="Times New Roman" w:eastAsia="微软雅黑" w:cs="微软雅黑"/>
          <w:sz w:val="24"/>
          <w:szCs w:val="24"/>
        </w:rPr>
      </w:pPr>
      <w:r>
        <w:rPr>
          <w:rFonts w:hint="eastAsia" w:ascii="Times New Roman" w:hAnsi="Times New Roman" w:eastAsia="微软雅黑" w:cs="微软雅黑"/>
          <w:b w:val="0"/>
          <w:sz w:val="24"/>
          <w:szCs w:val="24"/>
        </w:rPr>
        <w:t>蛋白质折叠后，中心螺旋在Gly67附近产生约80°的弯折（kink），使Ser65的羰基碳（C=O）与Gly67的酰胺氮（NH₂）空间靠近。</w:t>
      </w:r>
      <w:r>
        <w:rPr>
          <w:rFonts w:hint="eastAsia" w:ascii="Times New Roman" w:hAnsi="Times New Roman" w:eastAsia="微软雅黑" w:cs="微软雅黑"/>
          <w:b/>
          <w:bCs/>
          <w:color w:val="C00000"/>
          <w:sz w:val="24"/>
          <w:szCs w:val="24"/>
        </w:rPr>
        <w:t>Gly67</w:t>
      </w:r>
      <w:r>
        <w:rPr>
          <w:rFonts w:hint="eastAsia" w:ascii="Times New Roman" w:hAnsi="Times New Roman" w:eastAsia="微软雅黑" w:cs="微软雅黑"/>
          <w:b/>
          <w:bCs/>
          <w:sz w:val="24"/>
          <w:szCs w:val="24"/>
        </w:rPr>
        <w:t>酰胺氮</w:t>
      </w:r>
      <w:r>
        <w:rPr>
          <w:rFonts w:hint="eastAsia" w:ascii="Times New Roman" w:hAnsi="Times New Roman" w:eastAsia="微软雅黑" w:cs="微软雅黑"/>
          <w:b w:val="0"/>
          <w:sz w:val="24"/>
          <w:szCs w:val="24"/>
        </w:rPr>
        <w:t>对</w:t>
      </w:r>
      <w:r>
        <w:rPr>
          <w:rFonts w:hint="eastAsia" w:ascii="Times New Roman" w:hAnsi="Times New Roman" w:eastAsia="微软雅黑" w:cs="微软雅黑"/>
          <w:b/>
          <w:bCs/>
          <w:color w:val="C00000"/>
          <w:sz w:val="24"/>
          <w:szCs w:val="24"/>
        </w:rPr>
        <w:t>Ser65</w:t>
      </w:r>
      <w:r>
        <w:rPr>
          <w:rFonts w:hint="eastAsia" w:ascii="Times New Roman" w:hAnsi="Times New Roman" w:eastAsia="微软雅黑" w:cs="微软雅黑"/>
          <w:b/>
          <w:bCs/>
          <w:sz w:val="24"/>
          <w:szCs w:val="24"/>
        </w:rPr>
        <w:t>羰基碳</w:t>
      </w:r>
      <w:r>
        <w:rPr>
          <w:rFonts w:hint="eastAsia" w:ascii="Times New Roman" w:hAnsi="Times New Roman" w:eastAsia="微软雅黑" w:cs="微软雅黑"/>
          <w:b w:val="0"/>
          <w:sz w:val="24"/>
          <w:szCs w:val="24"/>
        </w:rPr>
        <w:t>进行亲核攻击，形成共价C-N键，产生</w:t>
      </w:r>
      <w:r>
        <w:rPr>
          <w:rFonts w:hint="eastAsia" w:ascii="Times New Roman" w:hAnsi="Times New Roman" w:eastAsia="微软雅黑" w:cs="微软雅黑"/>
          <w:b/>
          <w:bCs/>
          <w:color w:val="auto"/>
          <w:sz w:val="24"/>
          <w:szCs w:val="24"/>
        </w:rPr>
        <w:t>五元咪唑啉酮（imidazolidinone）杂环</w:t>
      </w:r>
      <w:r>
        <w:rPr>
          <w:rFonts w:hint="eastAsia" w:ascii="Times New Roman" w:hAnsi="Times New Roman" w:eastAsia="微软雅黑" w:cs="微软雅黑"/>
          <w:b w:val="0"/>
          <w:sz w:val="24"/>
          <w:szCs w:val="24"/>
        </w:rPr>
        <w:t>。</w:t>
      </w:r>
    </w:p>
    <w:p w14:paraId="499941D5">
      <w:pPr>
        <w:pStyle w:val="16"/>
        <w:rPr>
          <w:rFonts w:hint="eastAsia" w:ascii="Times New Roman" w:hAnsi="Times New Roman" w:eastAsia="微软雅黑" w:cs="微软雅黑"/>
          <w:sz w:val="24"/>
          <w:szCs w:val="24"/>
        </w:rPr>
      </w:pPr>
      <w:r>
        <w:rPr>
          <w:rFonts w:hint="eastAsia" w:ascii="Times New Roman" w:hAnsi="Times New Roman" w:eastAsia="微软雅黑" w:cs="微软雅黑"/>
          <w:b/>
          <w:bCs/>
          <w:sz w:val="24"/>
          <w:szCs w:val="24"/>
        </w:rPr>
        <w:t>Arg96</w:t>
      </w:r>
      <w:r>
        <w:rPr>
          <w:rFonts w:hint="eastAsia" w:ascii="Times New Roman" w:hAnsi="Times New Roman" w:eastAsia="微软雅黑" w:cs="微软雅黑"/>
          <w:sz w:val="24"/>
          <w:szCs w:val="24"/>
        </w:rPr>
        <w:t>的正电荷稳定螺旋弯折并增强Gly67酰胺氮的亲核性</w:t>
      </w:r>
    </w:p>
    <w:p w14:paraId="71E7C808">
      <w:pPr>
        <w:pStyle w:val="16"/>
        <w:rPr>
          <w:rFonts w:hint="eastAsia" w:ascii="Times New Roman" w:hAnsi="Times New Roman" w:eastAsia="微软雅黑" w:cs="微软雅黑"/>
          <w:sz w:val="24"/>
          <w:szCs w:val="24"/>
        </w:rPr>
      </w:pPr>
      <w:r>
        <w:rPr>
          <w:rFonts w:hint="eastAsia" w:ascii="Times New Roman" w:hAnsi="Times New Roman" w:eastAsia="微软雅黑" w:cs="微软雅黑"/>
          <w:b/>
          <w:bCs/>
          <w:sz w:val="24"/>
          <w:szCs w:val="24"/>
        </w:rPr>
        <w:t>R96A</w:t>
      </w:r>
      <w:r>
        <w:rPr>
          <w:rFonts w:hint="eastAsia" w:ascii="Times New Roman" w:hAnsi="Times New Roman" w:eastAsia="微软雅黑" w:cs="微软雅黑"/>
          <w:sz w:val="24"/>
          <w:szCs w:val="24"/>
        </w:rPr>
        <w:t>突变将成熟速度从分钟级减慢到月级——证明了Arg96的催化作用</w:t>
      </w:r>
    </w:p>
    <w:p w14:paraId="3BE60F54">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该环化反应在</w:t>
      </w:r>
      <w:r>
        <w:rPr>
          <w:rFonts w:hint="eastAsia" w:ascii="Times New Roman" w:hAnsi="Times New Roman" w:eastAsia="微软雅黑" w:cs="微软雅黑"/>
          <w:b/>
          <w:bCs/>
          <w:sz w:val="24"/>
          <w:szCs w:val="24"/>
        </w:rPr>
        <w:t>酸性变性</w:t>
      </w:r>
      <w:r>
        <w:rPr>
          <w:rFonts w:hint="eastAsia" w:ascii="Times New Roman" w:hAnsi="Times New Roman" w:eastAsia="微软雅黑" w:cs="微软雅黑"/>
          <w:sz w:val="24"/>
          <w:szCs w:val="24"/>
        </w:rPr>
        <w:t>条件下可逆</w:t>
      </w:r>
    </w:p>
    <w:p w14:paraId="108E8D21">
      <w:pPr>
        <w:rPr>
          <w:rFonts w:hint="eastAsia" w:ascii="Times New Roman" w:hAnsi="Times New Roman" w:eastAsia="微软雅黑" w:cs="微软雅黑"/>
          <w:sz w:val="24"/>
          <w:szCs w:val="24"/>
        </w:rPr>
      </w:pPr>
      <w:r>
        <w:rPr>
          <w:rFonts w:hint="eastAsia" w:ascii="Times New Roman" w:hAnsi="Times New Roman" w:eastAsia="微软雅黑" w:cs="微软雅黑"/>
          <w:b/>
          <w:sz w:val="24"/>
          <w:szCs w:val="24"/>
        </w:rPr>
        <w:t>步骤2：脱水（Dehydration, t₁/₂ ≈ 10.6分钟）</w:t>
      </w:r>
    </w:p>
    <w:p w14:paraId="553BBF80">
      <w:pPr>
        <w:rPr>
          <w:rFonts w:hint="eastAsia" w:ascii="Times New Roman" w:hAnsi="Times New Roman" w:eastAsia="微软雅黑" w:cs="微软雅黑"/>
          <w:sz w:val="24"/>
          <w:szCs w:val="24"/>
        </w:rPr>
      </w:pPr>
      <w:r>
        <w:rPr>
          <w:rFonts w:hint="eastAsia" w:ascii="Times New Roman" w:hAnsi="Times New Roman" w:eastAsia="微软雅黑" w:cs="微软雅黑"/>
          <w:b/>
          <w:bCs/>
          <w:color w:val="C00000"/>
          <w:sz w:val="24"/>
          <w:szCs w:val="24"/>
        </w:rPr>
        <w:t>Ser65</w:t>
      </w:r>
      <w:r>
        <w:rPr>
          <w:rFonts w:hint="eastAsia" w:ascii="Times New Roman" w:hAnsi="Times New Roman" w:eastAsia="微软雅黑" w:cs="微软雅黑"/>
          <w:b w:val="0"/>
          <w:sz w:val="24"/>
          <w:szCs w:val="24"/>
        </w:rPr>
        <w:t>的羰基氧以水分子形式消除（–H₂O）。Arg96使</w:t>
      </w:r>
      <w:r>
        <w:rPr>
          <w:rFonts w:hint="eastAsia" w:ascii="Times New Roman" w:hAnsi="Times New Roman" w:eastAsia="微软雅黑" w:cs="微软雅黑"/>
          <w:b/>
          <w:bCs/>
          <w:color w:val="C00000"/>
          <w:sz w:val="24"/>
          <w:szCs w:val="24"/>
        </w:rPr>
        <w:t>Tyr66</w:t>
      </w:r>
      <w:r>
        <w:rPr>
          <w:rFonts w:hint="eastAsia" w:ascii="Times New Roman" w:hAnsi="Times New Roman" w:eastAsia="微软雅黑" w:cs="微软雅黑"/>
          <w:b w:val="0"/>
          <w:sz w:val="24"/>
          <w:szCs w:val="24"/>
        </w:rPr>
        <w:t>的Cα质子酸性增强（活化），Glu222稳定脱水过渡态。活性位点内的保守水分子W1辅助质子转移。</w:t>
      </w:r>
    </w:p>
    <w:p w14:paraId="76F9DEE1">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计算化学（Grigorenko et al., JACS 2017）估算脱水能垒约17 kcal/mol</w:t>
      </w:r>
    </w:p>
    <w:p w14:paraId="66AB70D5">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脱水后形成共轭咪唑酮环中间体（烯醇式中间体）</w:t>
      </w:r>
    </w:p>
    <w:p w14:paraId="0D4AF987">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Getzoff研究组在厌氧条件下捕获了该中间体（PDB: 2FZU）</w:t>
      </w:r>
    </w:p>
    <w:p w14:paraId="11437CD8">
      <w:pPr>
        <w:rPr>
          <w:rFonts w:hint="eastAsia" w:ascii="Times New Roman" w:hAnsi="Times New Roman" w:eastAsia="微软雅黑" w:cs="微软雅黑"/>
          <w:sz w:val="24"/>
          <w:szCs w:val="24"/>
        </w:rPr>
      </w:pPr>
      <w:r>
        <w:rPr>
          <w:rFonts w:hint="eastAsia" w:ascii="Times New Roman" w:hAnsi="Times New Roman" w:eastAsia="微软雅黑" w:cs="微软雅黑"/>
          <w:b/>
          <w:sz w:val="24"/>
          <w:szCs w:val="24"/>
        </w:rPr>
        <w:t>步骤3：氧化（Oxidation, t₁/₂ ≈ 34分钟，限速步骤）</w:t>
      </w:r>
    </w:p>
    <w:p w14:paraId="2B81ACAF">
      <w:pPr>
        <w:rPr>
          <w:rFonts w:hint="eastAsia" w:ascii="Times New Roman" w:hAnsi="Times New Roman" w:eastAsia="微软雅黑" w:cs="微软雅黑"/>
          <w:sz w:val="24"/>
          <w:szCs w:val="24"/>
        </w:rPr>
      </w:pPr>
      <w:r>
        <w:rPr>
          <w:rFonts w:hint="eastAsia" w:ascii="Times New Roman" w:hAnsi="Times New Roman" w:eastAsia="微软雅黑" w:cs="微软雅黑"/>
          <w:b w:val="0"/>
          <w:sz w:val="24"/>
          <w:szCs w:val="24"/>
        </w:rPr>
        <w:t>分子氧（O₂）氧化</w:t>
      </w:r>
      <w:r>
        <w:rPr>
          <w:rFonts w:hint="eastAsia" w:ascii="Times New Roman" w:hAnsi="Times New Roman" w:eastAsia="微软雅黑" w:cs="微软雅黑"/>
          <w:b/>
          <w:bCs/>
          <w:color w:val="C00000"/>
          <w:sz w:val="24"/>
          <w:szCs w:val="24"/>
        </w:rPr>
        <w:t>Tyr66</w:t>
      </w:r>
      <w:r>
        <w:rPr>
          <w:rFonts w:hint="eastAsia" w:ascii="Times New Roman" w:hAnsi="Times New Roman" w:eastAsia="微软雅黑" w:cs="微软雅黑"/>
          <w:b w:val="0"/>
          <w:sz w:val="24"/>
          <w:szCs w:val="24"/>
        </w:rPr>
        <w:t>的Cα–Cβ键，从单键变为双键，创造完整的共轭π体系——连接咪唑酮环与Tyr66酚环。</w:t>
      </w:r>
    </w:p>
    <w:p w14:paraId="5A886258">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自由基机理：烯醇中间体向O₂发生单电子转移→自由基中间体→消除H₂O₂→形成双键</w:t>
      </w:r>
    </w:p>
    <w:p w14:paraId="18124E61">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反应消耗O₂并产生H₂O₂作为副产物（1:1化学计量比）</w:t>
      </w:r>
    </w:p>
    <w:p w14:paraId="19CBE5A8">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E222Q突变显著减缓质子转移——Glu222控制氧化与裂解途径的分配</w:t>
      </w:r>
    </w:p>
    <w:p w14:paraId="0FAE3ACD">
      <w:pPr>
        <w:rPr>
          <w:rFonts w:hint="eastAsia" w:ascii="Times New Roman" w:hAnsi="Times New Roman" w:eastAsia="微软雅黑" w:cs="微软雅黑"/>
          <w:sz w:val="24"/>
          <w:szCs w:val="24"/>
        </w:rPr>
      </w:pPr>
      <w:r>
        <w:rPr>
          <w:rFonts w:hint="eastAsia" w:ascii="Times New Roman" w:hAnsi="Times New Roman" w:eastAsia="微软雅黑" w:cs="微软雅黑"/>
          <w:b/>
          <w:sz w:val="24"/>
          <w:szCs w:val="24"/>
        </w:rPr>
        <w:t>学术争论：两种路径模型</w:t>
      </w:r>
    </w:p>
    <w:p w14:paraId="77A492C1">
      <w:pPr>
        <w:rPr>
          <w:rFonts w:hint="eastAsia" w:ascii="Times New Roman" w:hAnsi="Times New Roman" w:eastAsia="微软雅黑" w:cs="微软雅黑"/>
          <w:sz w:val="24"/>
          <w:szCs w:val="24"/>
        </w:rPr>
      </w:pPr>
      <w:r>
        <w:rPr>
          <w:rFonts w:hint="eastAsia" w:ascii="Times New Roman" w:hAnsi="Times New Roman" w:eastAsia="微软雅黑" w:cs="微软雅黑"/>
          <w:b w:val="0"/>
          <w:sz w:val="24"/>
          <w:szCs w:val="24"/>
        </w:rPr>
        <w:t>关于三步的确切顺序，学术界长期存在两种模型：</w:t>
      </w:r>
      <w:r>
        <w:rPr>
          <w:rFonts w:hint="eastAsia" w:ascii="Times New Roman" w:hAnsi="Times New Roman" w:eastAsia="微软雅黑" w:cs="微软雅黑"/>
          <w:b w:val="0"/>
          <w:sz w:val="24"/>
          <w:szCs w:val="24"/>
        </w:rPr>
        <w:br w:type="textWrapping"/>
      </w:r>
      <w:r>
        <w:rPr>
          <w:rFonts w:hint="eastAsia" w:ascii="Times New Roman" w:hAnsi="Times New Roman" w:eastAsia="微软雅黑" w:cs="微软雅黑"/>
          <w:b w:val="0"/>
          <w:sz w:val="24"/>
          <w:szCs w:val="24"/>
          <w:u w:val="single"/>
        </w:rPr>
        <w:t xml:space="preserve">  "Getzoff路径"：环化→脱水→氧化（当前多数共识支持）</w:t>
      </w:r>
      <w:r>
        <w:rPr>
          <w:rFonts w:hint="eastAsia" w:ascii="Times New Roman" w:hAnsi="Times New Roman" w:eastAsia="微软雅黑" w:cs="微软雅黑"/>
          <w:b w:val="0"/>
          <w:sz w:val="24"/>
          <w:szCs w:val="24"/>
        </w:rPr>
        <w:br w:type="textWrapping"/>
      </w:r>
      <w:r>
        <w:rPr>
          <w:rFonts w:hint="eastAsia" w:ascii="Times New Roman" w:hAnsi="Times New Roman" w:eastAsia="微软雅黑" w:cs="微软雅黑"/>
          <w:b w:val="0"/>
          <w:sz w:val="24"/>
          <w:szCs w:val="24"/>
        </w:rPr>
        <w:t xml:space="preserve">  "Wachter路径"：环化→氧化→脱水</w:t>
      </w:r>
      <w:r>
        <w:rPr>
          <w:rFonts w:hint="eastAsia" w:ascii="Times New Roman" w:hAnsi="Times New Roman" w:eastAsia="微软雅黑" w:cs="微软雅黑"/>
          <w:b w:val="0"/>
          <w:sz w:val="24"/>
          <w:szCs w:val="24"/>
        </w:rPr>
        <w:br w:type="textWrapping"/>
      </w:r>
      <w:r>
        <w:rPr>
          <w:rFonts w:hint="eastAsia" w:ascii="Times New Roman" w:hAnsi="Times New Roman" w:eastAsia="微软雅黑" w:cs="微软雅黑"/>
          <w:b w:val="0"/>
          <w:sz w:val="24"/>
          <w:szCs w:val="24"/>
        </w:rPr>
        <w:t xml:space="preserve"> 当前共识倾向于两种路径都可能发生，优势路径取决于O₂浓度、突变和蛋白质环境。</w:t>
      </w:r>
    </w:p>
    <w:p w14:paraId="2DD98B21">
      <w:pPr>
        <w:pStyle w:val="4"/>
        <w:rPr>
          <w:rFonts w:hint="eastAsia" w:ascii="Times New Roman" w:hAnsi="Times New Roman" w:eastAsia="微软雅黑" w:cs="微软雅黑"/>
          <w:sz w:val="28"/>
          <w:szCs w:val="28"/>
        </w:rPr>
      </w:pPr>
      <w:r>
        <w:rPr>
          <w:rFonts w:hint="eastAsia" w:ascii="Times New Roman" w:hAnsi="Times New Roman" w:eastAsia="微软雅黑" w:cs="微软雅黑"/>
          <w:color w:val="003366"/>
          <w:sz w:val="28"/>
          <w:szCs w:val="28"/>
        </w:rPr>
        <w:t xml:space="preserve">3.3 </w:t>
      </w:r>
      <w:r>
        <w:rPr>
          <w:rFonts w:hint="eastAsia" w:ascii="Times New Roman" w:hAnsi="Times New Roman" w:eastAsia="微软雅黑" w:cs="微软雅黑"/>
          <w:color w:val="C00000"/>
          <w:sz w:val="28"/>
          <w:szCs w:val="28"/>
        </w:rPr>
        <w:t>关键催化残基</w:t>
      </w:r>
      <w:r>
        <w:rPr>
          <w:rFonts w:hint="eastAsia" w:ascii="Times New Roman" w:hAnsi="Times New Roman" w:eastAsia="微软雅黑" w:cs="微软雅黑"/>
          <w:color w:val="003366"/>
          <w:sz w:val="28"/>
          <w:szCs w:val="28"/>
        </w:rPr>
        <w:t>总结</w:t>
      </w:r>
    </w:p>
    <w:p w14:paraId="7871B783">
      <w:pPr>
        <w:rPr>
          <w:rFonts w:hint="eastAsia" w:ascii="Times New Roman" w:hAnsi="Times New Roman" w:eastAsia="微软雅黑" w:cs="微软雅黑"/>
          <w:sz w:val="24"/>
          <w:szCs w:val="24"/>
        </w:rPr>
      </w:pPr>
      <w:r>
        <w:rPr>
          <w:rFonts w:hint="eastAsia" w:ascii="Times New Roman" w:hAnsi="Times New Roman" w:eastAsia="微软雅黑" w:cs="微软雅黑"/>
          <w:b w:val="0"/>
          <w:sz w:val="24"/>
          <w:szCs w:val="24"/>
        </w:rPr>
        <w:t>四个残基是发色团成熟不可或缺的：</w:t>
      </w:r>
    </w:p>
    <w:p w14:paraId="20C060F3">
      <w:pPr>
        <w:pStyle w:val="16"/>
        <w:rPr>
          <w:rFonts w:hint="eastAsia" w:ascii="Times New Roman" w:hAnsi="Times New Roman" w:eastAsia="微软雅黑" w:cs="微软雅黑"/>
          <w:sz w:val="24"/>
          <w:szCs w:val="24"/>
        </w:rPr>
      </w:pPr>
      <w:r>
        <w:rPr>
          <w:rFonts w:hint="eastAsia" w:ascii="Times New Roman" w:hAnsi="Times New Roman" w:eastAsia="微软雅黑" w:cs="微软雅黑"/>
          <w:b/>
          <w:bCs/>
          <w:sz w:val="24"/>
          <w:szCs w:val="24"/>
        </w:rPr>
        <w:t>Tyr66</w:t>
      </w:r>
      <w:r>
        <w:rPr>
          <w:rFonts w:hint="eastAsia" w:ascii="Times New Roman" w:hAnsi="Times New Roman" w:eastAsia="微软雅黑" w:cs="微软雅黑"/>
          <w:sz w:val="24"/>
          <w:szCs w:val="24"/>
        </w:rPr>
        <w:t>：提供酚环；其Cα–Cβ键被氧化形成π共轭体系</w:t>
      </w:r>
    </w:p>
    <w:p w14:paraId="5DE3916B">
      <w:pPr>
        <w:pStyle w:val="16"/>
        <w:rPr>
          <w:rFonts w:hint="eastAsia" w:ascii="Times New Roman" w:hAnsi="Times New Roman" w:eastAsia="微软雅黑" w:cs="微软雅黑"/>
          <w:sz w:val="24"/>
          <w:szCs w:val="24"/>
        </w:rPr>
      </w:pPr>
      <w:r>
        <w:rPr>
          <w:rFonts w:hint="eastAsia" w:ascii="Times New Roman" w:hAnsi="Times New Roman" w:eastAsia="微软雅黑" w:cs="微软雅黑"/>
          <w:b/>
          <w:bCs/>
          <w:sz w:val="24"/>
          <w:szCs w:val="24"/>
        </w:rPr>
        <w:t>Gly67</w:t>
      </w:r>
      <w:r>
        <w:rPr>
          <w:rFonts w:hint="eastAsia" w:ascii="Times New Roman" w:hAnsi="Times New Roman" w:eastAsia="微软雅黑" w:cs="微软雅黑"/>
          <w:sz w:val="24"/>
          <w:szCs w:val="24"/>
        </w:rPr>
        <w:t>：酰胺氮作为亲核体攻击Ser65羰基碳（三肽中唯一不可替换的残基）</w:t>
      </w:r>
    </w:p>
    <w:p w14:paraId="0916F93A">
      <w:pPr>
        <w:pStyle w:val="16"/>
        <w:rPr>
          <w:rFonts w:hint="eastAsia" w:ascii="Times New Roman" w:hAnsi="Times New Roman" w:eastAsia="微软雅黑" w:cs="微软雅黑"/>
          <w:sz w:val="24"/>
          <w:szCs w:val="24"/>
        </w:rPr>
      </w:pPr>
      <w:r>
        <w:rPr>
          <w:rFonts w:hint="eastAsia" w:ascii="Times New Roman" w:hAnsi="Times New Roman" w:eastAsia="微软雅黑" w:cs="微软雅黑"/>
          <w:b/>
          <w:bCs/>
          <w:sz w:val="24"/>
          <w:szCs w:val="24"/>
        </w:rPr>
        <w:t>Arg96</w:t>
      </w:r>
      <w:r>
        <w:rPr>
          <w:rFonts w:hint="eastAsia" w:ascii="Times New Roman" w:hAnsi="Times New Roman" w:eastAsia="微软雅黑" w:cs="微软雅黑"/>
          <w:sz w:val="24"/>
          <w:szCs w:val="24"/>
        </w:rPr>
        <w:t>：正电荷稳定螺旋弯折、增强Gly67亲核性、稳定烯醇中间体</w:t>
      </w:r>
    </w:p>
    <w:p w14:paraId="089072FB">
      <w:pPr>
        <w:pStyle w:val="16"/>
        <w:rPr>
          <w:rFonts w:hint="eastAsia" w:ascii="Times New Roman" w:hAnsi="Times New Roman" w:eastAsia="微软雅黑" w:cs="微软雅黑"/>
          <w:sz w:val="24"/>
          <w:szCs w:val="24"/>
        </w:rPr>
      </w:pPr>
      <w:r>
        <w:rPr>
          <w:rFonts w:hint="eastAsia" w:ascii="Times New Roman" w:hAnsi="Times New Roman" w:eastAsia="微软雅黑" w:cs="微软雅黑"/>
          <w:b/>
          <w:bCs/>
          <w:sz w:val="24"/>
          <w:szCs w:val="24"/>
        </w:rPr>
        <w:t>Glu222</w:t>
      </w:r>
      <w:r>
        <w:rPr>
          <w:rFonts w:hint="eastAsia" w:ascii="Times New Roman" w:hAnsi="Times New Roman" w:eastAsia="微软雅黑" w:cs="微软雅黑"/>
          <w:sz w:val="24"/>
          <w:szCs w:val="24"/>
        </w:rPr>
        <w:t>：作为广义碱进行质子抽取、控制氧化vs裂解途径分叉</w:t>
      </w:r>
    </w:p>
    <w:p w14:paraId="6DB6E63B">
      <w:pPr>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br w:type="page"/>
      </w:r>
    </w:p>
    <w:p w14:paraId="3CCB7B20">
      <w:pPr>
        <w:pStyle w:val="3"/>
        <w:rPr>
          <w:rFonts w:hint="eastAsia" w:ascii="Times New Roman" w:hAnsi="Times New Roman" w:eastAsia="微软雅黑" w:cs="微软雅黑"/>
          <w:sz w:val="32"/>
          <w:szCs w:val="32"/>
        </w:rPr>
      </w:pPr>
      <w:r>
        <w:rPr>
          <w:rFonts w:hint="eastAsia" w:ascii="Times New Roman" w:hAnsi="Times New Roman" w:eastAsia="微软雅黑" w:cs="微软雅黑"/>
          <w:color w:val="003366"/>
          <w:sz w:val="32"/>
          <w:szCs w:val="32"/>
        </w:rPr>
        <w:t>四、荧光光物理原理</w:t>
      </w:r>
    </w:p>
    <w:p w14:paraId="5BA89CCD">
      <w:pPr>
        <w:pStyle w:val="4"/>
        <w:rPr>
          <w:rFonts w:hint="eastAsia" w:ascii="Times New Roman" w:hAnsi="Times New Roman" w:eastAsia="微软雅黑" w:cs="微软雅黑"/>
          <w:sz w:val="28"/>
          <w:szCs w:val="28"/>
        </w:rPr>
      </w:pPr>
      <w:r>
        <w:rPr>
          <w:rFonts w:hint="eastAsia" w:ascii="Times New Roman" w:hAnsi="Times New Roman" w:eastAsia="微软雅黑" w:cs="微软雅黑"/>
          <w:color w:val="003366"/>
          <w:sz w:val="28"/>
          <w:szCs w:val="28"/>
        </w:rPr>
        <w:t>4.1 吸收与发射</w:t>
      </w:r>
    </w:p>
    <w:p w14:paraId="2FABE792">
      <w:pPr>
        <w:rPr>
          <w:rFonts w:hint="eastAsia" w:ascii="Times New Roman" w:hAnsi="Times New Roman" w:eastAsia="微软雅黑" w:cs="微软雅黑"/>
          <w:sz w:val="24"/>
          <w:szCs w:val="24"/>
        </w:rPr>
      </w:pPr>
      <w:r>
        <w:rPr>
          <w:rFonts w:hint="eastAsia" w:ascii="Times New Roman" w:hAnsi="Times New Roman" w:eastAsia="微软雅黑" w:cs="微软雅黑"/>
          <w:b/>
          <w:bCs/>
          <w:color w:val="C00000"/>
          <w:sz w:val="24"/>
          <w:szCs w:val="24"/>
        </w:rPr>
        <w:t>GFP发色团（p-HBDI: 4-(p-羟基苯亚甲基)-5-咪唑啉酮）</w:t>
      </w:r>
      <w:r>
        <w:rPr>
          <w:rFonts w:hint="eastAsia" w:ascii="Times New Roman" w:hAnsi="Times New Roman" w:eastAsia="微软雅黑" w:cs="微软雅黑"/>
          <w:b w:val="0"/>
          <w:sz w:val="24"/>
          <w:szCs w:val="24"/>
        </w:rPr>
        <w:t>是一个</w:t>
      </w:r>
      <w:r>
        <w:rPr>
          <w:rFonts w:hint="eastAsia" w:ascii="Times New Roman" w:hAnsi="Times New Roman" w:eastAsia="微软雅黑" w:cs="微软雅黑"/>
          <w:b/>
          <w:bCs/>
          <w:sz w:val="24"/>
          <w:szCs w:val="24"/>
        </w:rPr>
        <w:t>共轭π体系</w:t>
      </w:r>
      <w:r>
        <w:rPr>
          <w:rFonts w:hint="eastAsia" w:ascii="Times New Roman" w:hAnsi="Times New Roman" w:eastAsia="微软雅黑" w:cs="微软雅黑"/>
          <w:b w:val="0"/>
          <w:sz w:val="24"/>
          <w:szCs w:val="24"/>
        </w:rPr>
        <w:t>，能够在可见光区吸收和发射光子：</w:t>
      </w:r>
    </w:p>
    <w:p w14:paraId="61022F8A">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野生型GFP主要吸收峰：~395 nm（近紫外，A态/中性形式）</w:t>
      </w:r>
    </w:p>
    <w:p w14:paraId="575EF2DA">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次要吸收峰：~475 nm（蓝光，B态/阴离子形式）</w:t>
      </w:r>
    </w:p>
    <w:p w14:paraId="40DF9395">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发射峰：~508 nm（绿色荧光）</w:t>
      </w:r>
    </w:p>
    <w:p w14:paraId="31B25CC4">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表观Stokes位移：~100 nm（从395 nm吸收到508 nm发射）——实际上发射来自阴离子物种</w:t>
      </w:r>
    </w:p>
    <w:p w14:paraId="2E459B84">
      <w:pPr>
        <w:pStyle w:val="4"/>
        <w:rPr>
          <w:rFonts w:hint="eastAsia" w:ascii="Times New Roman" w:hAnsi="Times New Roman" w:eastAsia="微软雅黑" w:cs="微软雅黑"/>
          <w:sz w:val="28"/>
          <w:szCs w:val="28"/>
        </w:rPr>
      </w:pPr>
      <w:r>
        <w:rPr>
          <w:rFonts w:hint="eastAsia" w:ascii="Times New Roman" w:hAnsi="Times New Roman" w:eastAsia="微软雅黑" w:cs="微软雅黑"/>
          <w:color w:val="003366"/>
          <w:sz w:val="28"/>
          <w:szCs w:val="28"/>
        </w:rPr>
        <w:t xml:space="preserve">4.2 </w:t>
      </w:r>
      <w:r>
        <w:rPr>
          <w:rFonts w:hint="eastAsia" w:ascii="Times New Roman" w:hAnsi="Times New Roman" w:eastAsia="微软雅黑" w:cs="微软雅黑"/>
          <w:color w:val="C00000"/>
          <w:sz w:val="28"/>
          <w:szCs w:val="28"/>
        </w:rPr>
        <w:t>激发态质子转移（ESPT）</w:t>
      </w:r>
      <w:r>
        <w:rPr>
          <w:rFonts w:hint="eastAsia" w:ascii="Times New Roman" w:hAnsi="Times New Roman" w:eastAsia="微软雅黑" w:cs="微软雅黑"/>
          <w:color w:val="003366"/>
          <w:sz w:val="28"/>
          <w:szCs w:val="28"/>
        </w:rPr>
        <w:t>——GFP的独特光物理</w:t>
      </w:r>
    </w:p>
    <w:p w14:paraId="3BB75E0E">
      <w:pPr>
        <w:rPr>
          <w:rFonts w:hint="eastAsia" w:ascii="Times New Roman" w:hAnsi="Times New Roman" w:eastAsia="微软雅黑" w:cs="微软雅黑"/>
          <w:sz w:val="24"/>
          <w:szCs w:val="24"/>
        </w:rPr>
      </w:pPr>
      <w:r>
        <w:rPr>
          <w:rFonts w:hint="eastAsia" w:ascii="Times New Roman" w:hAnsi="Times New Roman" w:eastAsia="微软雅黑" w:cs="微软雅黑"/>
          <w:b w:val="0"/>
          <w:sz w:val="24"/>
          <w:szCs w:val="24"/>
        </w:rPr>
        <w:t>ESPT是GFP最具标志性的光物理特征，解释了其巨大表观Stokes位移：</w:t>
      </w:r>
    </w:p>
    <w:p w14:paraId="44B07950">
      <w:pPr>
        <w:rPr>
          <w:rFonts w:hint="eastAsia" w:ascii="Times New Roman" w:hAnsi="Times New Roman" w:eastAsia="微软雅黑" w:cs="微软雅黑"/>
          <w:sz w:val="24"/>
          <w:szCs w:val="24"/>
        </w:rPr>
      </w:pPr>
      <w:r>
        <w:rPr>
          <w:rFonts w:hint="eastAsia" w:ascii="Times New Roman" w:hAnsi="Times New Roman" w:eastAsia="微软雅黑" w:cs="微软雅黑"/>
          <w:b/>
          <w:sz w:val="24"/>
          <w:szCs w:val="24"/>
        </w:rPr>
        <w:t>ESPT过程（皮秒级时间尺度）：</w:t>
      </w:r>
    </w:p>
    <w:p w14:paraId="6799FF0A">
      <w:pPr>
        <w:rPr>
          <w:rFonts w:hint="eastAsia" w:ascii="Times New Roman" w:hAnsi="Times New Roman" w:eastAsia="微软雅黑" w:cs="微软雅黑"/>
          <w:sz w:val="24"/>
          <w:szCs w:val="24"/>
        </w:rPr>
      </w:pPr>
      <w:r>
        <w:rPr>
          <w:rFonts w:hint="eastAsia" w:ascii="Times New Roman" w:hAnsi="Times New Roman" w:eastAsia="微软雅黑" w:cs="微软雅黑"/>
          <w:b w:val="0"/>
          <w:sz w:val="24"/>
          <w:szCs w:val="24"/>
        </w:rPr>
        <w:t>1. 基态：发色团以</w:t>
      </w:r>
      <w:r>
        <w:rPr>
          <w:rFonts w:hint="eastAsia" w:ascii="Times New Roman" w:hAnsi="Times New Roman" w:eastAsia="微软雅黑" w:cs="微软雅黑"/>
          <w:b/>
          <w:bCs/>
          <w:color w:val="C00000"/>
          <w:sz w:val="24"/>
          <w:szCs w:val="24"/>
        </w:rPr>
        <w:t>中性形式</w:t>
      </w:r>
      <w:r>
        <w:rPr>
          <w:rFonts w:hint="eastAsia" w:ascii="Times New Roman" w:hAnsi="Times New Roman" w:eastAsia="微软雅黑" w:cs="微软雅黑"/>
          <w:b w:val="0"/>
          <w:sz w:val="24"/>
          <w:szCs w:val="24"/>
        </w:rPr>
        <w:t>（Cro-OH, A态）存在，吸收~395 nm光子</w:t>
      </w:r>
      <w:r>
        <w:rPr>
          <w:rFonts w:hint="eastAsia" w:ascii="Times New Roman" w:hAnsi="Times New Roman" w:eastAsia="微软雅黑" w:cs="微软雅黑"/>
          <w:b w:val="0"/>
          <w:sz w:val="24"/>
          <w:szCs w:val="24"/>
        </w:rPr>
        <w:br w:type="textWrapping"/>
      </w:r>
      <w:r>
        <w:rPr>
          <w:rFonts w:hint="eastAsia" w:ascii="Times New Roman" w:hAnsi="Times New Roman" w:eastAsia="微软雅黑" w:cs="微软雅黑"/>
          <w:b w:val="0"/>
          <w:sz w:val="24"/>
          <w:szCs w:val="24"/>
        </w:rPr>
        <w:t>2. 激发态：中性发色团被激发后，pKa从~7急剧下降至~3（成为"</w:t>
      </w:r>
      <w:r>
        <w:rPr>
          <w:rFonts w:hint="eastAsia" w:ascii="Times New Roman" w:hAnsi="Times New Roman" w:eastAsia="微软雅黑" w:cs="微软雅黑"/>
          <w:b/>
          <w:bCs/>
          <w:color w:val="C00000"/>
          <w:sz w:val="24"/>
          <w:szCs w:val="24"/>
        </w:rPr>
        <w:t>光酸</w:t>
      </w:r>
      <w:r>
        <w:rPr>
          <w:rFonts w:hint="eastAsia" w:ascii="Times New Roman" w:hAnsi="Times New Roman" w:eastAsia="微软雅黑" w:cs="微软雅黑"/>
          <w:b w:val="0"/>
          <w:sz w:val="24"/>
          <w:szCs w:val="24"/>
        </w:rPr>
        <w:t>"）</w:t>
      </w:r>
      <w:r>
        <w:rPr>
          <w:rFonts w:hint="eastAsia" w:ascii="Times New Roman" w:hAnsi="Times New Roman" w:eastAsia="微软雅黑" w:cs="微软雅黑"/>
          <w:b w:val="0"/>
          <w:sz w:val="24"/>
          <w:szCs w:val="24"/>
        </w:rPr>
        <w:br w:type="textWrapping"/>
      </w:r>
      <w:r>
        <w:rPr>
          <w:rFonts w:hint="eastAsia" w:ascii="Times New Roman" w:hAnsi="Times New Roman" w:eastAsia="微软雅黑" w:cs="微软雅黑"/>
          <w:b w:val="0"/>
          <w:sz w:val="24"/>
          <w:szCs w:val="24"/>
        </w:rPr>
        <w:t>3. 质子传递：酚羟基上的H⁺沿"质子线"传递：</w:t>
      </w:r>
      <w:r>
        <w:rPr>
          <w:rFonts w:hint="eastAsia" w:ascii="Times New Roman" w:hAnsi="Times New Roman" w:eastAsia="微软雅黑" w:cs="微软雅黑"/>
          <w:b w:val="0"/>
          <w:sz w:val="24"/>
          <w:szCs w:val="24"/>
        </w:rPr>
        <w:br w:type="textWrapping"/>
      </w:r>
      <w:r>
        <w:rPr>
          <w:rFonts w:hint="eastAsia" w:ascii="Times New Roman" w:hAnsi="Times New Roman" w:eastAsia="微软雅黑" w:cs="微软雅黑"/>
          <w:b/>
          <w:bCs/>
          <w:i/>
          <w:iCs/>
          <w:sz w:val="24"/>
          <w:szCs w:val="24"/>
        </w:rPr>
        <w:t xml:space="preserve"> </w:t>
      </w:r>
      <w:r>
        <w:rPr>
          <w:rFonts w:hint="eastAsia" w:ascii="Times New Roman" w:hAnsi="Times New Roman" w:eastAsia="微软雅黑" w:cs="微软雅黑"/>
          <w:b/>
          <w:bCs/>
          <w:i/>
          <w:iCs/>
          <w:color w:val="C00000"/>
          <w:sz w:val="24"/>
          <w:szCs w:val="24"/>
        </w:rPr>
        <w:t xml:space="preserve">  发色团-OH* → 水分子(Wat) → Ser205 → Glu222</w:t>
      </w:r>
      <w:r>
        <w:rPr>
          <w:rFonts w:hint="eastAsia" w:ascii="Times New Roman" w:hAnsi="Times New Roman" w:eastAsia="微软雅黑" w:cs="微软雅黑"/>
          <w:b/>
          <w:bCs/>
          <w:i/>
          <w:iCs/>
          <w:color w:val="C00000"/>
          <w:sz w:val="24"/>
          <w:szCs w:val="24"/>
        </w:rPr>
        <w:br w:type="textWrapping"/>
      </w:r>
      <w:r>
        <w:rPr>
          <w:rFonts w:hint="eastAsia" w:ascii="Times New Roman" w:hAnsi="Times New Roman" w:eastAsia="微软雅黑" w:cs="微软雅黑"/>
          <w:b w:val="0"/>
          <w:sz w:val="24"/>
          <w:szCs w:val="24"/>
        </w:rPr>
        <w:t>4. 发射：去质子化后的</w:t>
      </w:r>
      <w:r>
        <w:rPr>
          <w:rFonts w:hint="eastAsia" w:ascii="Times New Roman" w:hAnsi="Times New Roman" w:eastAsia="微软雅黑" w:cs="微软雅黑"/>
          <w:b/>
          <w:bCs/>
          <w:color w:val="C00000"/>
          <w:sz w:val="24"/>
          <w:szCs w:val="24"/>
        </w:rPr>
        <w:t>阴离子</w:t>
      </w:r>
      <w:r>
        <w:rPr>
          <w:rFonts w:hint="eastAsia" w:ascii="Times New Roman" w:hAnsi="Times New Roman" w:eastAsia="微软雅黑" w:cs="微软雅黑"/>
          <w:b w:val="0"/>
          <w:sz w:val="24"/>
          <w:szCs w:val="24"/>
        </w:rPr>
        <w:t>发色团（</w:t>
      </w:r>
      <w:r>
        <w:rPr>
          <w:rFonts w:hint="eastAsia" w:ascii="Times New Roman" w:hAnsi="Times New Roman" w:eastAsia="微软雅黑" w:cs="微软雅黑"/>
          <w:b/>
          <w:bCs/>
          <w:sz w:val="24"/>
          <w:szCs w:val="24"/>
        </w:rPr>
        <w:t>Cro-O⁻*, I*态</w:t>
      </w:r>
      <w:r>
        <w:rPr>
          <w:rFonts w:hint="eastAsia" w:ascii="Times New Roman" w:hAnsi="Times New Roman" w:eastAsia="微软雅黑" w:cs="微软雅黑"/>
          <w:b w:val="0"/>
          <w:sz w:val="24"/>
          <w:szCs w:val="24"/>
        </w:rPr>
        <w:t>）发出~508 nm绿色荧光</w:t>
      </w:r>
      <w:r>
        <w:rPr>
          <w:rFonts w:hint="eastAsia" w:ascii="Times New Roman" w:hAnsi="Times New Roman" w:eastAsia="微软雅黑" w:cs="微软雅黑"/>
          <w:b w:val="0"/>
          <w:sz w:val="24"/>
          <w:szCs w:val="24"/>
        </w:rPr>
        <w:br w:type="textWrapping"/>
      </w:r>
      <w:r>
        <w:rPr>
          <w:rFonts w:hint="eastAsia" w:ascii="Times New Roman" w:hAnsi="Times New Roman" w:eastAsia="微软雅黑" w:cs="微软雅黑"/>
          <w:b w:val="0"/>
          <w:sz w:val="24"/>
          <w:szCs w:val="24"/>
        </w:rPr>
        <w:t>5. 基态恢复：反向质子传递（Glu222→Ser205→Wat→发色团-O⁻），再生中性基态</w:t>
      </w:r>
    </w:p>
    <w:p w14:paraId="0F51EA05">
      <w:pPr>
        <w:rPr>
          <w:rFonts w:hint="eastAsia" w:ascii="Times New Roman" w:hAnsi="Times New Roman" w:eastAsia="微软雅黑" w:cs="微软雅黑"/>
          <w:sz w:val="24"/>
          <w:szCs w:val="24"/>
        </w:rPr>
      </w:pPr>
      <w:r>
        <w:rPr>
          <w:rFonts w:hint="eastAsia" w:ascii="Times New Roman" w:hAnsi="Times New Roman" w:eastAsia="微软雅黑" w:cs="微软雅黑"/>
          <w:b/>
          <w:sz w:val="24"/>
          <w:szCs w:val="24"/>
        </w:rPr>
        <w:t>关键验证实验：</w:t>
      </w:r>
    </w:p>
    <w:p w14:paraId="531F63EF">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S205V单突变：ESPT减慢约30倍，但仍保留绿色荧光</w:t>
      </w:r>
    </w:p>
    <w:p w14:paraId="6AEE8C45">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S205V/T203V双突变：ESPT完全消除，仅发出弱蓝色荧光</w:t>
      </w:r>
    </w:p>
    <w:p w14:paraId="1DA4FDD5">
      <w:pPr>
        <w:pStyle w:val="16"/>
        <w:rPr>
          <w:rFonts w:hint="eastAsia" w:ascii="Times New Roman" w:hAnsi="Times New Roman" w:eastAsia="微软雅黑" w:cs="微软雅黑"/>
          <w:i/>
          <w:iCs/>
          <w:sz w:val="24"/>
          <w:szCs w:val="24"/>
          <w:u w:val="single"/>
        </w:rPr>
      </w:pPr>
      <w:r>
        <w:rPr>
          <w:rFonts w:hint="eastAsia" w:ascii="Times New Roman" w:hAnsi="Times New Roman" w:eastAsia="微软雅黑" w:cs="微软雅黑"/>
          <w:sz w:val="24"/>
          <w:szCs w:val="24"/>
        </w:rPr>
        <w:t>结论：质子线具有适应性—</w:t>
      </w:r>
      <w:r>
        <w:rPr>
          <w:rFonts w:hint="eastAsia" w:ascii="Times New Roman" w:hAnsi="Times New Roman" w:eastAsia="微软雅黑" w:cs="微软雅黑"/>
          <w:i w:val="0"/>
          <w:iCs w:val="0"/>
          <w:sz w:val="24"/>
          <w:szCs w:val="24"/>
          <w:u w:val="none"/>
        </w:rPr>
        <w:t>—</w:t>
      </w:r>
      <w:r>
        <w:rPr>
          <w:rFonts w:hint="eastAsia" w:ascii="Times New Roman" w:hAnsi="Times New Roman" w:eastAsia="微软雅黑" w:cs="微软雅黑"/>
          <w:i/>
          <w:iCs/>
          <w:sz w:val="24"/>
          <w:szCs w:val="24"/>
          <w:u w:val="single"/>
        </w:rPr>
        <w:t>蛋白质可通过E222和T203的重排形成替代H-bond通路</w:t>
      </w:r>
    </w:p>
    <w:p w14:paraId="6F9F9292">
      <w:pPr>
        <w:pStyle w:val="4"/>
        <w:rPr>
          <w:rFonts w:hint="eastAsia" w:ascii="Times New Roman" w:hAnsi="Times New Roman" w:eastAsia="微软雅黑" w:cs="微软雅黑"/>
          <w:sz w:val="28"/>
          <w:szCs w:val="28"/>
        </w:rPr>
      </w:pPr>
      <w:r>
        <w:rPr>
          <w:rFonts w:hint="eastAsia" w:ascii="Times New Roman" w:hAnsi="Times New Roman" w:eastAsia="微软雅黑" w:cs="微软雅黑"/>
          <w:color w:val="003366"/>
          <w:sz w:val="28"/>
          <w:szCs w:val="28"/>
        </w:rPr>
        <w:t>4.3 发色团的平面性与量子产率</w:t>
      </w:r>
    </w:p>
    <w:p w14:paraId="6AEB49C9">
      <w:pPr>
        <w:rPr>
          <w:rFonts w:hint="eastAsia" w:ascii="Times New Roman" w:hAnsi="Times New Roman" w:eastAsia="微软雅黑" w:cs="微软雅黑"/>
          <w:sz w:val="24"/>
          <w:szCs w:val="24"/>
        </w:rPr>
      </w:pPr>
      <w:r>
        <w:rPr>
          <w:rFonts w:hint="eastAsia" w:ascii="Times New Roman" w:hAnsi="Times New Roman" w:eastAsia="微软雅黑" w:cs="微软雅黑"/>
          <w:b/>
          <w:bCs/>
          <w:sz w:val="24"/>
          <w:szCs w:val="24"/>
        </w:rPr>
        <w:t>β-桶</w:t>
      </w:r>
      <w:r>
        <w:rPr>
          <w:rFonts w:hint="eastAsia" w:ascii="Times New Roman" w:hAnsi="Times New Roman" w:eastAsia="微软雅黑" w:cs="微软雅黑"/>
          <w:b w:val="0"/>
          <w:sz w:val="24"/>
          <w:szCs w:val="24"/>
        </w:rPr>
        <w:t>通过物理约束迫使发色团维持刚性平面构象：</w:t>
      </w:r>
    </w:p>
    <w:p w14:paraId="0F804020">
      <w:pPr>
        <w:pStyle w:val="16"/>
        <w:rPr>
          <w:rFonts w:hint="eastAsia" w:ascii="Times New Roman" w:hAnsi="Times New Roman" w:eastAsia="微软雅黑" w:cs="微软雅黑"/>
          <w:b/>
          <w:bCs/>
          <w:i/>
          <w:iCs/>
          <w:color w:val="C00000"/>
          <w:sz w:val="24"/>
          <w:szCs w:val="24"/>
        </w:rPr>
      </w:pPr>
      <w:r>
        <w:rPr>
          <w:rFonts w:hint="eastAsia" w:ascii="Times New Roman" w:hAnsi="Times New Roman" w:eastAsia="微软雅黑" w:cs="微软雅黑"/>
          <w:b/>
          <w:bCs/>
          <w:i/>
          <w:iCs/>
          <w:color w:val="C00000"/>
          <w:sz w:val="24"/>
          <w:szCs w:val="24"/>
        </w:rPr>
        <w:t>最大化p轨道重叠→高效π共轭→450-500 nm强吸收</w:t>
      </w:r>
    </w:p>
    <w:p w14:paraId="1AB1A0EE">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限制非辐射衰变途径（C=C键扭转导致的顺反异构化）</w:t>
      </w:r>
    </w:p>
    <w:p w14:paraId="3DD704E8">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分离的p-HBDI发色团在溶液中几乎不发光——证明了蛋白质环境的关键作用</w:t>
      </w:r>
    </w:p>
    <w:p w14:paraId="4C96FAAE">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分子内运动受限（RIM）机制——类似于AIE（聚集诱导发光）原理</w:t>
      </w:r>
    </w:p>
    <w:p w14:paraId="1DE8EAF7">
      <w:pPr>
        <w:pStyle w:val="4"/>
        <w:rPr>
          <w:rFonts w:hint="eastAsia" w:ascii="Times New Roman" w:hAnsi="Times New Roman" w:eastAsia="微软雅黑" w:cs="微软雅黑"/>
          <w:sz w:val="28"/>
          <w:szCs w:val="28"/>
        </w:rPr>
      </w:pPr>
      <w:r>
        <w:rPr>
          <w:rFonts w:hint="eastAsia" w:ascii="Times New Roman" w:hAnsi="Times New Roman" w:eastAsia="微软雅黑" w:cs="微软雅黑"/>
          <w:color w:val="003366"/>
          <w:sz w:val="28"/>
          <w:szCs w:val="28"/>
        </w:rPr>
        <w:t>4.4 代表性GFP变体的光物理参数</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568"/>
        <w:gridCol w:w="1568"/>
        <w:gridCol w:w="1568"/>
        <w:gridCol w:w="1568"/>
        <w:gridCol w:w="1568"/>
        <w:gridCol w:w="1568"/>
      </w:tblGrid>
      <w:tr w14:paraId="356E33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8" w:type="dxa"/>
          </w:tcPr>
          <w:p w14:paraId="3EAFC45C">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b/>
                <w:sz w:val="20"/>
                <w:szCs w:val="24"/>
              </w:rPr>
              <w:t>变体</w:t>
            </w:r>
          </w:p>
        </w:tc>
        <w:tc>
          <w:tcPr>
            <w:tcW w:w="1568" w:type="dxa"/>
          </w:tcPr>
          <w:p w14:paraId="5E318C57">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b/>
                <w:sz w:val="20"/>
                <w:szCs w:val="24"/>
              </w:rPr>
              <w:t>ε (M⁻¹cm⁻¹)</w:t>
            </w:r>
          </w:p>
        </w:tc>
        <w:tc>
          <w:tcPr>
            <w:tcW w:w="1568" w:type="dxa"/>
          </w:tcPr>
          <w:p w14:paraId="2646E39D">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b/>
                <w:sz w:val="20"/>
                <w:szCs w:val="24"/>
              </w:rPr>
              <w:t>Φ (量子产率)</w:t>
            </w:r>
          </w:p>
        </w:tc>
        <w:tc>
          <w:tcPr>
            <w:tcW w:w="1568" w:type="dxa"/>
          </w:tcPr>
          <w:p w14:paraId="5C064793">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b/>
                <w:sz w:val="20"/>
                <w:szCs w:val="24"/>
              </w:rPr>
              <w:t>pKa</w:t>
            </w:r>
          </w:p>
        </w:tc>
        <w:tc>
          <w:tcPr>
            <w:tcW w:w="1568" w:type="dxa"/>
          </w:tcPr>
          <w:p w14:paraId="50E12E29">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b/>
                <w:sz w:val="20"/>
                <w:szCs w:val="24"/>
              </w:rPr>
              <w:t>λabs (nm)</w:t>
            </w:r>
          </w:p>
        </w:tc>
        <w:tc>
          <w:tcPr>
            <w:tcW w:w="1568" w:type="dxa"/>
          </w:tcPr>
          <w:p w14:paraId="55F4B2A4">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b/>
                <w:sz w:val="20"/>
                <w:szCs w:val="24"/>
              </w:rPr>
              <w:t>λem (nm)</w:t>
            </w:r>
          </w:p>
        </w:tc>
      </w:tr>
      <w:tr w14:paraId="66D4CB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8" w:type="dxa"/>
          </w:tcPr>
          <w:p w14:paraId="0ED0F66C">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wtGFP</w:t>
            </w:r>
          </w:p>
        </w:tc>
        <w:tc>
          <w:tcPr>
            <w:tcW w:w="1568" w:type="dxa"/>
          </w:tcPr>
          <w:p w14:paraId="31B6F6D8">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30,000-37,000</w:t>
            </w:r>
          </w:p>
        </w:tc>
        <w:tc>
          <w:tcPr>
            <w:tcW w:w="1568" w:type="dxa"/>
          </w:tcPr>
          <w:p w14:paraId="281E65D5">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0.65</w:t>
            </w:r>
          </w:p>
        </w:tc>
        <w:tc>
          <w:tcPr>
            <w:tcW w:w="1568" w:type="dxa"/>
          </w:tcPr>
          <w:p w14:paraId="45F5FC14">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~6.0</w:t>
            </w:r>
          </w:p>
        </w:tc>
        <w:tc>
          <w:tcPr>
            <w:tcW w:w="1568" w:type="dxa"/>
          </w:tcPr>
          <w:p w14:paraId="7518CD68">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395/475</w:t>
            </w:r>
          </w:p>
        </w:tc>
        <w:tc>
          <w:tcPr>
            <w:tcW w:w="1568" w:type="dxa"/>
          </w:tcPr>
          <w:p w14:paraId="537057E6">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508</w:t>
            </w:r>
          </w:p>
        </w:tc>
      </w:tr>
      <w:tr w14:paraId="13EE94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8" w:type="dxa"/>
          </w:tcPr>
          <w:p w14:paraId="586D5EED">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EGFP (S65T/F64L)</w:t>
            </w:r>
          </w:p>
        </w:tc>
        <w:tc>
          <w:tcPr>
            <w:tcW w:w="1568" w:type="dxa"/>
          </w:tcPr>
          <w:p w14:paraId="2378EFF9">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56,000</w:t>
            </w:r>
          </w:p>
        </w:tc>
        <w:tc>
          <w:tcPr>
            <w:tcW w:w="1568" w:type="dxa"/>
          </w:tcPr>
          <w:p w14:paraId="1C9A3745">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0.60</w:t>
            </w:r>
          </w:p>
        </w:tc>
        <w:tc>
          <w:tcPr>
            <w:tcW w:w="1568" w:type="dxa"/>
          </w:tcPr>
          <w:p w14:paraId="0CCA1230">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5.6-6.0</w:t>
            </w:r>
          </w:p>
        </w:tc>
        <w:tc>
          <w:tcPr>
            <w:tcW w:w="1568" w:type="dxa"/>
          </w:tcPr>
          <w:p w14:paraId="339CB274">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488</w:t>
            </w:r>
          </w:p>
        </w:tc>
        <w:tc>
          <w:tcPr>
            <w:tcW w:w="1568" w:type="dxa"/>
          </w:tcPr>
          <w:p w14:paraId="172385E9">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508</w:t>
            </w:r>
          </w:p>
        </w:tc>
      </w:tr>
      <w:tr w14:paraId="4E402F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8" w:type="dxa"/>
          </w:tcPr>
          <w:p w14:paraId="28304502">
            <w:pPr>
              <w:spacing w:after="0" w:line="240" w:lineRule="auto"/>
              <w:rPr>
                <w:rFonts w:hint="eastAsia" w:ascii="Times New Roman" w:hAnsi="Times New Roman" w:eastAsia="微软雅黑" w:cs="微软雅黑"/>
                <w:b/>
                <w:bCs/>
                <w:color w:val="C00000"/>
                <w:sz w:val="24"/>
                <w:szCs w:val="24"/>
              </w:rPr>
            </w:pPr>
            <w:r>
              <w:rPr>
                <w:rFonts w:hint="eastAsia" w:ascii="Times New Roman" w:hAnsi="Times New Roman" w:eastAsia="微软雅黑" w:cs="微软雅黑"/>
                <w:b/>
                <w:bCs/>
                <w:color w:val="C00000"/>
                <w:sz w:val="20"/>
                <w:szCs w:val="24"/>
              </w:rPr>
              <w:t>sfGFP</w:t>
            </w:r>
          </w:p>
        </w:tc>
        <w:tc>
          <w:tcPr>
            <w:tcW w:w="1568" w:type="dxa"/>
          </w:tcPr>
          <w:p w14:paraId="645AAF00">
            <w:pPr>
              <w:spacing w:after="0" w:line="240" w:lineRule="auto"/>
              <w:rPr>
                <w:rFonts w:hint="eastAsia" w:ascii="Times New Roman" w:hAnsi="Times New Roman" w:eastAsia="微软雅黑" w:cs="微软雅黑"/>
                <w:b/>
                <w:bCs/>
                <w:color w:val="C00000"/>
                <w:sz w:val="24"/>
                <w:szCs w:val="24"/>
              </w:rPr>
            </w:pPr>
            <w:r>
              <w:rPr>
                <w:rFonts w:hint="eastAsia" w:ascii="Times New Roman" w:hAnsi="Times New Roman" w:eastAsia="微软雅黑" w:cs="微软雅黑"/>
                <w:b/>
                <w:bCs/>
                <w:color w:val="C00000"/>
                <w:sz w:val="20"/>
                <w:szCs w:val="24"/>
              </w:rPr>
              <w:t>54,000-63,100</w:t>
            </w:r>
          </w:p>
        </w:tc>
        <w:tc>
          <w:tcPr>
            <w:tcW w:w="1568" w:type="dxa"/>
          </w:tcPr>
          <w:p w14:paraId="09E42328">
            <w:pPr>
              <w:spacing w:after="0" w:line="240" w:lineRule="auto"/>
              <w:rPr>
                <w:rFonts w:hint="eastAsia" w:ascii="Times New Roman" w:hAnsi="Times New Roman" w:eastAsia="微软雅黑" w:cs="微软雅黑"/>
                <w:b/>
                <w:bCs/>
                <w:color w:val="C00000"/>
                <w:sz w:val="24"/>
                <w:szCs w:val="24"/>
              </w:rPr>
            </w:pPr>
            <w:r>
              <w:rPr>
                <w:rFonts w:hint="eastAsia" w:ascii="Times New Roman" w:hAnsi="Times New Roman" w:eastAsia="微软雅黑" w:cs="微软雅黑"/>
                <w:b/>
                <w:bCs/>
                <w:color w:val="C00000"/>
                <w:sz w:val="20"/>
                <w:szCs w:val="24"/>
              </w:rPr>
              <w:t>0.65</w:t>
            </w:r>
          </w:p>
        </w:tc>
        <w:tc>
          <w:tcPr>
            <w:tcW w:w="1568" w:type="dxa"/>
          </w:tcPr>
          <w:p w14:paraId="4AEB9867">
            <w:pPr>
              <w:spacing w:after="0" w:line="240" w:lineRule="auto"/>
              <w:rPr>
                <w:rFonts w:hint="eastAsia" w:ascii="Times New Roman" w:hAnsi="Times New Roman" w:eastAsia="微软雅黑" w:cs="微软雅黑"/>
                <w:b/>
                <w:bCs/>
                <w:color w:val="C00000"/>
                <w:sz w:val="24"/>
                <w:szCs w:val="24"/>
              </w:rPr>
            </w:pPr>
            <w:r>
              <w:rPr>
                <w:rFonts w:hint="eastAsia" w:ascii="Times New Roman" w:hAnsi="Times New Roman" w:eastAsia="微软雅黑" w:cs="微软雅黑"/>
                <w:b/>
                <w:bCs/>
                <w:color w:val="C00000"/>
                <w:sz w:val="20"/>
                <w:szCs w:val="24"/>
              </w:rPr>
              <w:t>5.4</w:t>
            </w:r>
          </w:p>
        </w:tc>
        <w:tc>
          <w:tcPr>
            <w:tcW w:w="1568" w:type="dxa"/>
          </w:tcPr>
          <w:p w14:paraId="088127F4">
            <w:pPr>
              <w:spacing w:after="0" w:line="240" w:lineRule="auto"/>
              <w:rPr>
                <w:rFonts w:hint="eastAsia" w:ascii="Times New Roman" w:hAnsi="Times New Roman" w:eastAsia="微软雅黑" w:cs="微软雅黑"/>
                <w:b/>
                <w:bCs/>
                <w:color w:val="C00000"/>
                <w:sz w:val="24"/>
                <w:szCs w:val="24"/>
              </w:rPr>
            </w:pPr>
            <w:r>
              <w:rPr>
                <w:rFonts w:hint="eastAsia" w:ascii="Times New Roman" w:hAnsi="Times New Roman" w:eastAsia="微软雅黑" w:cs="微软雅黑"/>
                <w:b/>
                <w:bCs/>
                <w:color w:val="C00000"/>
                <w:sz w:val="20"/>
                <w:szCs w:val="24"/>
              </w:rPr>
              <w:t>485</w:t>
            </w:r>
          </w:p>
        </w:tc>
        <w:tc>
          <w:tcPr>
            <w:tcW w:w="1568" w:type="dxa"/>
          </w:tcPr>
          <w:p w14:paraId="5F803A3B">
            <w:pPr>
              <w:spacing w:after="0" w:line="240" w:lineRule="auto"/>
              <w:rPr>
                <w:rFonts w:hint="eastAsia" w:ascii="Times New Roman" w:hAnsi="Times New Roman" w:eastAsia="微软雅黑" w:cs="微软雅黑"/>
                <w:b/>
                <w:bCs/>
                <w:color w:val="C00000"/>
                <w:sz w:val="24"/>
                <w:szCs w:val="24"/>
              </w:rPr>
            </w:pPr>
            <w:r>
              <w:rPr>
                <w:rFonts w:hint="eastAsia" w:ascii="Times New Roman" w:hAnsi="Times New Roman" w:eastAsia="微软雅黑" w:cs="微软雅黑"/>
                <w:b/>
                <w:bCs/>
                <w:color w:val="C00000"/>
                <w:sz w:val="20"/>
                <w:szCs w:val="24"/>
              </w:rPr>
              <w:t>510</w:t>
            </w:r>
          </w:p>
        </w:tc>
      </w:tr>
      <w:tr w14:paraId="0757E6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8" w:type="dxa"/>
          </w:tcPr>
          <w:p w14:paraId="3C035916">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SGFP2</w:t>
            </w:r>
          </w:p>
        </w:tc>
        <w:tc>
          <w:tcPr>
            <w:tcW w:w="1568" w:type="dxa"/>
          </w:tcPr>
          <w:p w14:paraId="3A393806">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46,000</w:t>
            </w:r>
          </w:p>
        </w:tc>
        <w:tc>
          <w:tcPr>
            <w:tcW w:w="1568" w:type="dxa"/>
          </w:tcPr>
          <w:p w14:paraId="70B928A3">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0.70</w:t>
            </w:r>
          </w:p>
        </w:tc>
        <w:tc>
          <w:tcPr>
            <w:tcW w:w="1568" w:type="dxa"/>
          </w:tcPr>
          <w:p w14:paraId="17A5A086">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5.9</w:t>
            </w:r>
          </w:p>
        </w:tc>
        <w:tc>
          <w:tcPr>
            <w:tcW w:w="1568" w:type="dxa"/>
          </w:tcPr>
          <w:p w14:paraId="1FAFE330">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485</w:t>
            </w:r>
          </w:p>
        </w:tc>
        <w:tc>
          <w:tcPr>
            <w:tcW w:w="1568" w:type="dxa"/>
          </w:tcPr>
          <w:p w14:paraId="3BE92F39">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508</w:t>
            </w:r>
          </w:p>
        </w:tc>
      </w:tr>
      <w:tr w14:paraId="1A6A6B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8" w:type="dxa"/>
          </w:tcPr>
          <w:p w14:paraId="085A6A82">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mBaoJin</w:t>
            </w:r>
          </w:p>
        </w:tc>
        <w:tc>
          <w:tcPr>
            <w:tcW w:w="1568" w:type="dxa"/>
          </w:tcPr>
          <w:p w14:paraId="4A4C3481">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~90,000</w:t>
            </w:r>
          </w:p>
        </w:tc>
        <w:tc>
          <w:tcPr>
            <w:tcW w:w="1568" w:type="dxa"/>
          </w:tcPr>
          <w:p w14:paraId="05112750">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~0.75</w:t>
            </w:r>
          </w:p>
        </w:tc>
        <w:tc>
          <w:tcPr>
            <w:tcW w:w="1568" w:type="dxa"/>
          </w:tcPr>
          <w:p w14:paraId="76E67989">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4.37</w:t>
            </w:r>
          </w:p>
        </w:tc>
        <w:tc>
          <w:tcPr>
            <w:tcW w:w="1568" w:type="dxa"/>
          </w:tcPr>
          <w:p w14:paraId="4DCEFB00">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497</w:t>
            </w:r>
          </w:p>
        </w:tc>
        <w:tc>
          <w:tcPr>
            <w:tcW w:w="1568" w:type="dxa"/>
          </w:tcPr>
          <w:p w14:paraId="35AB1197">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512</w:t>
            </w:r>
          </w:p>
        </w:tc>
      </w:tr>
      <w:tr w14:paraId="0C090A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8" w:type="dxa"/>
          </w:tcPr>
          <w:p w14:paraId="59E552F2">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StayGold (二聚体)</w:t>
            </w:r>
          </w:p>
        </w:tc>
        <w:tc>
          <w:tcPr>
            <w:tcW w:w="1568" w:type="dxa"/>
          </w:tcPr>
          <w:p w14:paraId="4E946237">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~100,000</w:t>
            </w:r>
          </w:p>
        </w:tc>
        <w:tc>
          <w:tcPr>
            <w:tcW w:w="1568" w:type="dxa"/>
          </w:tcPr>
          <w:p w14:paraId="1F5B9229">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~0.80</w:t>
            </w:r>
          </w:p>
        </w:tc>
        <w:tc>
          <w:tcPr>
            <w:tcW w:w="1568" w:type="dxa"/>
          </w:tcPr>
          <w:p w14:paraId="106E6587">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4.5</w:t>
            </w:r>
          </w:p>
        </w:tc>
        <w:tc>
          <w:tcPr>
            <w:tcW w:w="1568" w:type="dxa"/>
          </w:tcPr>
          <w:p w14:paraId="30875B96">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497</w:t>
            </w:r>
          </w:p>
        </w:tc>
        <w:tc>
          <w:tcPr>
            <w:tcW w:w="1568" w:type="dxa"/>
          </w:tcPr>
          <w:p w14:paraId="4267D1D2">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512</w:t>
            </w:r>
          </w:p>
        </w:tc>
      </w:tr>
      <w:tr w14:paraId="097C4D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68" w:type="dxa"/>
          </w:tcPr>
          <w:p w14:paraId="6C51A7CF">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mNeonGreen</w:t>
            </w:r>
          </w:p>
        </w:tc>
        <w:tc>
          <w:tcPr>
            <w:tcW w:w="1568" w:type="dxa"/>
          </w:tcPr>
          <w:p w14:paraId="597E27EF">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~116,000</w:t>
            </w:r>
          </w:p>
        </w:tc>
        <w:tc>
          <w:tcPr>
            <w:tcW w:w="1568" w:type="dxa"/>
          </w:tcPr>
          <w:p w14:paraId="523E72A3">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~0.80</w:t>
            </w:r>
          </w:p>
        </w:tc>
        <w:tc>
          <w:tcPr>
            <w:tcW w:w="1568" w:type="dxa"/>
          </w:tcPr>
          <w:p w14:paraId="5E69A3DF">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5.7</w:t>
            </w:r>
          </w:p>
        </w:tc>
        <w:tc>
          <w:tcPr>
            <w:tcW w:w="1568" w:type="dxa"/>
          </w:tcPr>
          <w:p w14:paraId="1552A090">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506</w:t>
            </w:r>
          </w:p>
        </w:tc>
        <w:tc>
          <w:tcPr>
            <w:tcW w:w="1568" w:type="dxa"/>
          </w:tcPr>
          <w:p w14:paraId="704D6665">
            <w:pPr>
              <w:spacing w:after="0" w:line="240" w:lineRule="auto"/>
              <w:rPr>
                <w:rFonts w:hint="eastAsia" w:ascii="Times New Roman" w:hAnsi="Times New Roman" w:eastAsia="微软雅黑" w:cs="微软雅黑"/>
                <w:sz w:val="24"/>
                <w:szCs w:val="24"/>
              </w:rPr>
            </w:pPr>
            <w:r>
              <w:rPr>
                <w:rFonts w:hint="eastAsia" w:ascii="Times New Roman" w:hAnsi="Times New Roman" w:eastAsia="微软雅黑" w:cs="微软雅黑"/>
                <w:sz w:val="20"/>
                <w:szCs w:val="24"/>
              </w:rPr>
              <w:t>517</w:t>
            </w:r>
          </w:p>
        </w:tc>
      </w:tr>
    </w:tbl>
    <w:p w14:paraId="26387BE4">
      <w:pPr>
        <w:rPr>
          <w:rFonts w:hint="eastAsia" w:ascii="Times New Roman" w:hAnsi="Times New Roman" w:eastAsia="微软雅黑" w:cs="微软雅黑"/>
          <w:sz w:val="24"/>
          <w:szCs w:val="24"/>
        </w:rPr>
      </w:pPr>
      <w:r>
        <w:rPr>
          <w:rFonts w:hint="eastAsia" w:ascii="Times New Roman" w:hAnsi="Times New Roman" w:eastAsia="微软雅黑" w:cs="微软雅黑"/>
          <w:b w:val="0"/>
          <w:sz w:val="24"/>
          <w:szCs w:val="24"/>
        </w:rPr>
        <w:t>注意荧光亮度 = ε × Φ，因此mBaoJin (~67,500)和mNeonGreen (~92,800)的理论亮度远超EGFP (~33,600)。</w:t>
      </w:r>
    </w:p>
    <w:p w14:paraId="560EE6A1">
      <w:pPr>
        <w:rPr>
          <w:rFonts w:hint="eastAsia" w:ascii="Times New Roman" w:hAnsi="Times New Roman" w:eastAsia="微软雅黑" w:cs="微软雅黑"/>
          <w:b/>
          <w:bCs w:val="0"/>
          <w:sz w:val="24"/>
          <w:szCs w:val="24"/>
        </w:rPr>
      </w:pPr>
      <w:r>
        <w:rPr>
          <w:rFonts w:hint="eastAsia" w:ascii="Times New Roman" w:hAnsi="Times New Roman" w:eastAsia="微软雅黑" w:cs="微软雅黑"/>
          <w:b/>
          <w:bCs w:val="0"/>
          <w:sz w:val="21"/>
          <w:szCs w:val="24"/>
          <w:highlight w:val="yellow"/>
        </w:rPr>
        <w:t>■ FPbase: 荧光蛋白数据库</w:t>
      </w:r>
      <w:r>
        <w:rPr>
          <w:rFonts w:hint="eastAsia" w:ascii="Times New Roman" w:hAnsi="Times New Roman" w:eastAsia="微软雅黑" w:cs="微软雅黑"/>
          <w:b/>
          <w:bCs w:val="0"/>
          <w:color w:val="0050A0"/>
          <w:sz w:val="20"/>
          <w:szCs w:val="24"/>
        </w:rPr>
        <w:br w:type="textWrapping"/>
      </w:r>
      <w:r>
        <w:rPr>
          <w:rFonts w:hint="eastAsia" w:ascii="Times New Roman" w:hAnsi="Times New Roman" w:eastAsia="微软雅黑" w:cs="微软雅黑"/>
          <w:b/>
          <w:bCs w:val="0"/>
          <w:color w:val="0050A0"/>
          <w:sz w:val="20"/>
          <w:szCs w:val="24"/>
        </w:rPr>
        <w:t xml:space="preserve">  </w:t>
      </w:r>
      <w:r>
        <w:rPr>
          <w:rFonts w:hint="eastAsia" w:ascii="Times New Roman" w:hAnsi="Times New Roman" w:eastAsia="微软雅黑" w:cs="微软雅黑"/>
          <w:b/>
          <w:bCs w:val="0"/>
          <w:color w:val="0050A0"/>
          <w:sz w:val="20"/>
          <w:szCs w:val="24"/>
        </w:rPr>
        <w:fldChar w:fldCharType="begin"/>
      </w:r>
      <w:r>
        <w:rPr>
          <w:rFonts w:hint="eastAsia" w:ascii="Times New Roman" w:hAnsi="Times New Roman" w:eastAsia="微软雅黑" w:cs="微软雅黑"/>
          <w:b/>
          <w:bCs w:val="0"/>
          <w:color w:val="0050A0"/>
          <w:sz w:val="20"/>
          <w:szCs w:val="24"/>
        </w:rPr>
        <w:instrText xml:space="preserve"> HYPERLINK "https://www.fpbase.org/" </w:instrText>
      </w:r>
      <w:r>
        <w:rPr>
          <w:rFonts w:hint="eastAsia" w:ascii="Times New Roman" w:hAnsi="Times New Roman" w:eastAsia="微软雅黑" w:cs="微软雅黑"/>
          <w:b/>
          <w:bCs w:val="0"/>
          <w:color w:val="0050A0"/>
          <w:sz w:val="20"/>
          <w:szCs w:val="24"/>
        </w:rPr>
        <w:fldChar w:fldCharType="separate"/>
      </w:r>
      <w:r>
        <w:rPr>
          <w:rStyle w:val="136"/>
          <w:rFonts w:hint="eastAsia" w:ascii="Times New Roman" w:hAnsi="Times New Roman" w:eastAsia="微软雅黑" w:cs="微软雅黑"/>
          <w:b/>
          <w:bCs w:val="0"/>
          <w:sz w:val="20"/>
          <w:szCs w:val="24"/>
        </w:rPr>
        <w:t>https://www.fpbase.org/</w:t>
      </w:r>
      <w:r>
        <w:rPr>
          <w:rFonts w:hint="eastAsia" w:ascii="Times New Roman" w:hAnsi="Times New Roman" w:eastAsia="微软雅黑" w:cs="微软雅黑"/>
          <w:b/>
          <w:bCs w:val="0"/>
          <w:color w:val="0050A0"/>
          <w:sz w:val="20"/>
          <w:szCs w:val="24"/>
        </w:rPr>
        <w:fldChar w:fldCharType="end"/>
      </w:r>
      <w:r>
        <w:rPr>
          <w:rFonts w:hint="eastAsia" w:ascii="Times New Roman" w:hAnsi="Times New Roman" w:eastAsia="微软雅黑" w:cs="微软雅黑"/>
          <w:b/>
          <w:bCs w:val="0"/>
          <w:sz w:val="21"/>
          <w:szCs w:val="24"/>
        </w:rPr>
        <w:br w:type="textWrapping"/>
      </w:r>
      <w:r>
        <w:rPr>
          <w:rFonts w:hint="eastAsia" w:ascii="Times New Roman" w:hAnsi="Times New Roman" w:eastAsia="微软雅黑" w:cs="微软雅黑"/>
          <w:b/>
          <w:bCs w:val="0"/>
          <w:sz w:val="21"/>
          <w:szCs w:val="24"/>
        </w:rPr>
        <w:t xml:space="preserve">  查询数百种荧光蛋白的光物理参数和序列，竞赛排除列表的参照源</w:t>
      </w:r>
    </w:p>
    <w:p w14:paraId="7BBDA18A">
      <w:pPr>
        <w:rPr>
          <w:rFonts w:hint="eastAsia" w:ascii="Times New Roman" w:hAnsi="Times New Roman" w:eastAsia="微软雅黑" w:cs="微软雅黑"/>
        </w:rPr>
      </w:pPr>
      <w:r>
        <w:rPr>
          <w:rFonts w:hint="eastAsia" w:ascii="Times New Roman" w:hAnsi="Times New Roman" w:eastAsia="微软雅黑" w:cs="微软雅黑"/>
        </w:rPr>
        <w:br w:type="page"/>
      </w:r>
    </w:p>
    <w:p w14:paraId="54183235">
      <w:pPr>
        <w:pStyle w:val="3"/>
        <w:rPr>
          <w:rFonts w:hint="eastAsia" w:ascii="Times New Roman" w:hAnsi="Times New Roman" w:eastAsia="微软雅黑" w:cs="微软雅黑"/>
          <w:sz w:val="32"/>
          <w:szCs w:val="32"/>
          <w:highlight w:val="yellow"/>
        </w:rPr>
      </w:pPr>
      <w:r>
        <w:rPr>
          <w:rFonts w:hint="eastAsia" w:ascii="Times New Roman" w:hAnsi="Times New Roman" w:eastAsia="微软雅黑" w:cs="微软雅黑"/>
          <w:color w:val="003366"/>
          <w:sz w:val="32"/>
          <w:szCs w:val="32"/>
          <w:highlight w:val="yellow"/>
        </w:rPr>
        <w:t>五、影响GFP荧光强度的因素</w:t>
      </w:r>
    </w:p>
    <w:p w14:paraId="42EDCE79">
      <w:pPr>
        <w:pStyle w:val="4"/>
        <w:rPr>
          <w:rFonts w:hint="eastAsia" w:ascii="Times New Roman" w:hAnsi="Times New Roman" w:eastAsia="微软雅黑" w:cs="微软雅黑"/>
          <w:sz w:val="28"/>
          <w:szCs w:val="28"/>
        </w:rPr>
      </w:pPr>
      <w:r>
        <w:rPr>
          <w:rFonts w:hint="eastAsia" w:ascii="Times New Roman" w:hAnsi="Times New Roman" w:eastAsia="微软雅黑" w:cs="微软雅黑"/>
          <w:color w:val="003366"/>
          <w:sz w:val="28"/>
          <w:szCs w:val="28"/>
        </w:rPr>
        <w:t>5.1 消光系数（ε）的决定因素</w:t>
      </w:r>
    </w:p>
    <w:p w14:paraId="5CC02EF9">
      <w:pPr>
        <w:pStyle w:val="16"/>
        <w:rPr>
          <w:rFonts w:hint="eastAsia" w:ascii="Times New Roman" w:hAnsi="Times New Roman" w:eastAsia="微软雅黑" w:cs="微软雅黑"/>
          <w:sz w:val="24"/>
          <w:szCs w:val="24"/>
        </w:rPr>
      </w:pPr>
      <w:r>
        <w:rPr>
          <w:rFonts w:hint="eastAsia" w:ascii="Times New Roman" w:hAnsi="Times New Roman" w:eastAsia="微软雅黑" w:cs="微软雅黑"/>
          <w:b/>
          <w:bCs/>
          <w:sz w:val="24"/>
          <w:szCs w:val="24"/>
        </w:rPr>
        <w:t>发色团质子化状态</w:t>
      </w:r>
      <w:r>
        <w:rPr>
          <w:rFonts w:hint="eastAsia" w:ascii="Times New Roman" w:hAnsi="Times New Roman" w:eastAsia="微软雅黑" w:cs="微软雅黑"/>
          <w:sz w:val="24"/>
          <w:szCs w:val="24"/>
        </w:rPr>
        <w:t>：</w:t>
      </w:r>
      <w:r>
        <w:rPr>
          <w:rFonts w:hint="eastAsia" w:ascii="Times New Roman" w:hAnsi="Times New Roman" w:eastAsia="微软雅黑" w:cs="微软雅黑"/>
          <w:b/>
          <w:bCs/>
          <w:sz w:val="24"/>
          <w:szCs w:val="24"/>
        </w:rPr>
        <w:t>阴离子</w:t>
      </w:r>
      <w:r>
        <w:rPr>
          <w:rFonts w:hint="eastAsia" w:ascii="Times New Roman" w:hAnsi="Times New Roman" w:eastAsia="微软雅黑" w:cs="微软雅黑"/>
          <w:sz w:val="24"/>
          <w:szCs w:val="24"/>
        </w:rPr>
        <w:t>形式（Cro-O⁻）在488nm的ε约为中性形式的2-3倍</w:t>
      </w:r>
    </w:p>
    <w:p w14:paraId="1DEB8AB2">
      <w:pPr>
        <w:pStyle w:val="16"/>
        <w:rPr>
          <w:rFonts w:hint="eastAsia" w:ascii="Times New Roman" w:hAnsi="Times New Roman" w:eastAsia="微软雅黑" w:cs="微软雅黑"/>
          <w:sz w:val="24"/>
          <w:szCs w:val="24"/>
        </w:rPr>
      </w:pPr>
      <w:r>
        <w:rPr>
          <w:rFonts w:hint="eastAsia" w:ascii="Times New Roman" w:hAnsi="Times New Roman" w:eastAsia="微软雅黑" w:cs="微软雅黑"/>
          <w:b/>
          <w:bCs/>
          <w:sz w:val="24"/>
          <w:szCs w:val="24"/>
        </w:rPr>
        <w:t>S65T突变</w:t>
      </w:r>
      <w:r>
        <w:rPr>
          <w:rFonts w:hint="eastAsia" w:ascii="Times New Roman" w:hAnsi="Times New Roman" w:eastAsia="微软雅黑" w:cs="微软雅黑"/>
          <w:sz w:val="24"/>
          <w:szCs w:val="24"/>
        </w:rPr>
        <w:t>：将发色团平衡向阴离子方向大幅移动，使488nm有效亮度提高约6倍</w:t>
      </w:r>
    </w:p>
    <w:p w14:paraId="6268B0E8">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发色团</w:t>
      </w:r>
      <w:r>
        <w:rPr>
          <w:rFonts w:hint="eastAsia" w:ascii="Times New Roman" w:hAnsi="Times New Roman" w:eastAsia="微软雅黑" w:cs="微软雅黑"/>
          <w:b/>
          <w:bCs/>
          <w:sz w:val="24"/>
          <w:szCs w:val="24"/>
        </w:rPr>
        <w:t>环境极性</w:t>
      </w:r>
      <w:r>
        <w:rPr>
          <w:rFonts w:hint="eastAsia" w:ascii="Times New Roman" w:hAnsi="Times New Roman" w:eastAsia="微软雅黑" w:cs="微软雅黑"/>
          <w:sz w:val="24"/>
          <w:szCs w:val="24"/>
        </w:rPr>
        <w:t>：局部电场影响跃迁偶极矩强度</w:t>
      </w:r>
    </w:p>
    <w:p w14:paraId="2CDFBDAD">
      <w:pPr>
        <w:pStyle w:val="16"/>
        <w:rPr>
          <w:rFonts w:hint="eastAsia" w:ascii="Times New Roman" w:hAnsi="Times New Roman" w:eastAsia="微软雅黑" w:cs="微软雅黑"/>
          <w:sz w:val="24"/>
          <w:szCs w:val="24"/>
        </w:rPr>
      </w:pPr>
      <w:r>
        <w:rPr>
          <w:rFonts w:hint="eastAsia" w:ascii="Times New Roman" w:hAnsi="Times New Roman" w:eastAsia="微软雅黑" w:cs="微软雅黑"/>
          <w:b/>
          <w:bCs/>
          <w:sz w:val="24"/>
          <w:szCs w:val="24"/>
        </w:rPr>
        <w:t>发色团共面性</w:t>
      </w:r>
      <w:r>
        <w:rPr>
          <w:rFonts w:hint="eastAsia" w:ascii="Times New Roman" w:hAnsi="Times New Roman" w:eastAsia="微软雅黑" w:cs="微软雅黑"/>
          <w:sz w:val="24"/>
          <w:szCs w:val="24"/>
        </w:rPr>
        <w:t>：咪唑酮环与酚环的扭转角越小，π轨道重叠越有效→ε越高</w:t>
      </w:r>
    </w:p>
    <w:p w14:paraId="17F5021A">
      <w:pPr>
        <w:pStyle w:val="4"/>
        <w:rPr>
          <w:rFonts w:hint="eastAsia" w:ascii="Times New Roman" w:hAnsi="Times New Roman" w:eastAsia="微软雅黑" w:cs="微软雅黑"/>
          <w:sz w:val="28"/>
          <w:szCs w:val="28"/>
        </w:rPr>
      </w:pPr>
      <w:r>
        <w:rPr>
          <w:rFonts w:hint="eastAsia" w:ascii="Times New Roman" w:hAnsi="Times New Roman" w:eastAsia="微软雅黑" w:cs="微软雅黑"/>
          <w:color w:val="003366"/>
          <w:sz w:val="28"/>
          <w:szCs w:val="28"/>
        </w:rPr>
        <w:t>5.2 量子产率（Φ）的决定因素</w:t>
      </w:r>
    </w:p>
    <w:p w14:paraId="04CC00E8">
      <w:pPr>
        <w:pStyle w:val="16"/>
        <w:rPr>
          <w:rFonts w:hint="eastAsia" w:ascii="Times New Roman" w:hAnsi="Times New Roman" w:eastAsia="微软雅黑" w:cs="微软雅黑"/>
          <w:sz w:val="24"/>
          <w:szCs w:val="24"/>
        </w:rPr>
      </w:pPr>
      <w:r>
        <w:rPr>
          <w:rFonts w:hint="eastAsia" w:ascii="Times New Roman" w:hAnsi="Times New Roman" w:eastAsia="微软雅黑" w:cs="微软雅黑"/>
          <w:b/>
          <w:bCs/>
          <w:sz w:val="24"/>
          <w:szCs w:val="24"/>
        </w:rPr>
        <w:t>构象刚性</w:t>
      </w:r>
      <w:r>
        <w:rPr>
          <w:rFonts w:hint="eastAsia" w:ascii="Times New Roman" w:hAnsi="Times New Roman" w:eastAsia="微软雅黑" w:cs="微软雅黑"/>
          <w:sz w:val="24"/>
          <w:szCs w:val="24"/>
        </w:rPr>
        <w:t>：</w:t>
      </w:r>
      <w:r>
        <w:rPr>
          <w:rFonts w:hint="eastAsia" w:ascii="Times New Roman" w:hAnsi="Times New Roman" w:eastAsia="微软雅黑" w:cs="微软雅黑"/>
          <w:b/>
          <w:bCs/>
          <w:sz w:val="24"/>
          <w:szCs w:val="24"/>
        </w:rPr>
        <w:t>β-桶</w:t>
      </w:r>
      <w:r>
        <w:rPr>
          <w:rFonts w:hint="eastAsia" w:ascii="Times New Roman" w:hAnsi="Times New Roman" w:eastAsia="微软雅黑" w:cs="微软雅黑"/>
          <w:sz w:val="24"/>
          <w:szCs w:val="24"/>
        </w:rPr>
        <w:t>限制发色团分子内运动→抑制非辐射衰变</w:t>
      </w:r>
    </w:p>
    <w:p w14:paraId="41302D70">
      <w:pPr>
        <w:pStyle w:val="16"/>
        <w:rPr>
          <w:rFonts w:hint="eastAsia" w:ascii="Times New Roman" w:hAnsi="Times New Roman" w:eastAsia="微软雅黑" w:cs="微软雅黑"/>
          <w:sz w:val="24"/>
          <w:szCs w:val="24"/>
          <w:u w:val="single"/>
        </w:rPr>
      </w:pPr>
      <w:r>
        <w:rPr>
          <w:rFonts w:hint="eastAsia" w:ascii="Times New Roman" w:hAnsi="Times New Roman" w:eastAsia="微软雅黑" w:cs="微软雅黑"/>
          <w:b/>
          <w:bCs/>
          <w:sz w:val="24"/>
          <w:szCs w:val="24"/>
        </w:rPr>
        <w:t>ESPT效率</w:t>
      </w:r>
      <w:r>
        <w:rPr>
          <w:rFonts w:hint="eastAsia" w:ascii="Times New Roman" w:hAnsi="Times New Roman" w:eastAsia="微软雅黑" w:cs="微软雅黑"/>
          <w:sz w:val="24"/>
          <w:szCs w:val="24"/>
        </w:rPr>
        <w:t>：</w:t>
      </w:r>
      <w:r>
        <w:rPr>
          <w:rFonts w:hint="eastAsia" w:ascii="Times New Roman" w:hAnsi="Times New Roman" w:eastAsia="微软雅黑" w:cs="微软雅黑"/>
          <w:sz w:val="24"/>
          <w:szCs w:val="24"/>
          <w:u w:val="single"/>
        </w:rPr>
        <w:t>质子线完整性→高效A→I*转化</w:t>
      </w:r>
    </w:p>
    <w:p w14:paraId="07121D61">
      <w:pPr>
        <w:pStyle w:val="16"/>
        <w:rPr>
          <w:rFonts w:hint="eastAsia" w:ascii="Times New Roman" w:hAnsi="Times New Roman" w:eastAsia="微软雅黑" w:cs="微软雅黑"/>
          <w:sz w:val="24"/>
          <w:szCs w:val="24"/>
        </w:rPr>
      </w:pPr>
      <w:r>
        <w:rPr>
          <w:rFonts w:hint="eastAsia" w:ascii="Times New Roman" w:hAnsi="Times New Roman" w:eastAsia="微软雅黑" w:cs="微软雅黑"/>
          <w:b/>
          <w:bCs/>
          <w:sz w:val="24"/>
          <w:szCs w:val="24"/>
        </w:rPr>
        <w:t>光致电子转移（PET）</w:t>
      </w:r>
      <w:r>
        <w:rPr>
          <w:rFonts w:hint="eastAsia" w:ascii="Times New Roman" w:hAnsi="Times New Roman" w:eastAsia="微软雅黑" w:cs="微软雅黑"/>
          <w:sz w:val="24"/>
          <w:szCs w:val="24"/>
        </w:rPr>
        <w:t>：富电子残基</w:t>
      </w:r>
      <w:r>
        <w:rPr>
          <w:rFonts w:hint="eastAsia" w:ascii="Times New Roman" w:hAnsi="Times New Roman" w:eastAsia="微软雅黑" w:cs="微软雅黑"/>
          <w:sz w:val="24"/>
          <w:szCs w:val="24"/>
          <w:u w:val="single"/>
        </w:rPr>
        <w:t>（Trp, Tyr, His）</w:t>
      </w:r>
      <w:r>
        <w:rPr>
          <w:rFonts w:hint="eastAsia" w:ascii="Times New Roman" w:hAnsi="Times New Roman" w:eastAsia="微软雅黑" w:cs="微软雅黑"/>
          <w:sz w:val="24"/>
          <w:szCs w:val="24"/>
        </w:rPr>
        <w:t>可能淬灭激发态</w:t>
      </w:r>
    </w:p>
    <w:p w14:paraId="223AC3C3">
      <w:pPr>
        <w:pStyle w:val="16"/>
        <w:rPr>
          <w:rFonts w:hint="eastAsia" w:ascii="Times New Roman" w:hAnsi="Times New Roman" w:eastAsia="微软雅黑" w:cs="微软雅黑"/>
          <w:sz w:val="24"/>
          <w:szCs w:val="24"/>
        </w:rPr>
      </w:pPr>
      <w:r>
        <w:rPr>
          <w:rFonts w:hint="eastAsia" w:ascii="Times New Roman" w:hAnsi="Times New Roman" w:eastAsia="微软雅黑" w:cs="微软雅黑"/>
          <w:b/>
          <w:bCs/>
          <w:sz w:val="24"/>
          <w:szCs w:val="24"/>
        </w:rPr>
        <w:t>发色团成熟效率</w:t>
      </w:r>
      <w:r>
        <w:rPr>
          <w:rFonts w:hint="eastAsia" w:ascii="Times New Roman" w:hAnsi="Times New Roman" w:eastAsia="微软雅黑" w:cs="微软雅黑"/>
          <w:sz w:val="24"/>
          <w:szCs w:val="24"/>
        </w:rPr>
        <w:t>：折叠/成熟过程中的副反应产生弱荧光或非荧光物种</w:t>
      </w:r>
    </w:p>
    <w:p w14:paraId="1531FB9C">
      <w:pPr>
        <w:pStyle w:val="4"/>
        <w:rPr>
          <w:rFonts w:hint="eastAsia" w:ascii="Times New Roman" w:hAnsi="Times New Roman" w:eastAsia="微软雅黑" w:cs="微软雅黑"/>
          <w:sz w:val="28"/>
          <w:szCs w:val="28"/>
        </w:rPr>
      </w:pPr>
      <w:r>
        <w:rPr>
          <w:rFonts w:hint="eastAsia" w:ascii="Times New Roman" w:hAnsi="Times New Roman" w:eastAsia="微软雅黑" w:cs="微软雅黑"/>
          <w:color w:val="003366"/>
          <w:sz w:val="28"/>
          <w:szCs w:val="28"/>
        </w:rPr>
        <w:t>5.3 亮度-光稳定性权衡的突破</w:t>
      </w:r>
    </w:p>
    <w:p w14:paraId="6922345B">
      <w:pPr>
        <w:rPr>
          <w:rFonts w:hint="eastAsia" w:ascii="Times New Roman" w:hAnsi="Times New Roman" w:eastAsia="微软雅黑" w:cs="微软雅黑"/>
          <w:sz w:val="24"/>
          <w:szCs w:val="24"/>
        </w:rPr>
      </w:pPr>
      <w:r>
        <w:rPr>
          <w:rFonts w:hint="eastAsia" w:ascii="Times New Roman" w:hAnsi="Times New Roman" w:eastAsia="微软雅黑" w:cs="微软雅黑"/>
          <w:b w:val="0"/>
          <w:sz w:val="24"/>
          <w:szCs w:val="24"/>
        </w:rPr>
        <w:t>传统GFP面临根本矛盾：O₂既是发色团成熟所需，又在激发态下与发色团反应产生¹O₂导致光漂白。</w:t>
      </w:r>
    </w:p>
    <w:p w14:paraId="1223372C">
      <w:pPr>
        <w:rPr>
          <w:rFonts w:hint="eastAsia" w:ascii="Times New Roman" w:hAnsi="Times New Roman" w:eastAsia="微软雅黑" w:cs="微软雅黑"/>
          <w:sz w:val="24"/>
          <w:szCs w:val="24"/>
        </w:rPr>
      </w:pPr>
      <w:r>
        <w:rPr>
          <w:rFonts w:hint="eastAsia" w:ascii="Times New Roman" w:hAnsi="Times New Roman" w:eastAsia="微软雅黑" w:cs="微软雅黑"/>
          <w:b w:val="0"/>
          <w:sz w:val="24"/>
          <w:szCs w:val="24"/>
        </w:rPr>
        <w:t>StayGold/mBaoJin（2022-2024）打破了这一权衡：</w:t>
      </w:r>
    </w:p>
    <w:p w14:paraId="5F63F47B">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多</w:t>
      </w:r>
      <w:r>
        <w:rPr>
          <w:rFonts w:hint="eastAsia" w:ascii="Times New Roman" w:hAnsi="Times New Roman" w:eastAsia="微软雅黑" w:cs="微软雅黑"/>
          <w:b/>
          <w:bCs/>
          <w:sz w:val="24"/>
          <w:szCs w:val="24"/>
        </w:rPr>
        <w:t>H-bond和疏水接触</w:t>
      </w:r>
      <w:r>
        <w:rPr>
          <w:rFonts w:hint="eastAsia" w:ascii="Times New Roman" w:hAnsi="Times New Roman" w:eastAsia="微软雅黑" w:cs="微软雅黑"/>
          <w:sz w:val="24"/>
          <w:szCs w:val="24"/>
        </w:rPr>
        <w:t>将发色团更牢固固定→抑制非辐射衰变</w:t>
      </w:r>
    </w:p>
    <w:p w14:paraId="79BF4824">
      <w:pPr>
        <w:pStyle w:val="16"/>
        <w:rPr>
          <w:rFonts w:hint="eastAsia" w:ascii="Times New Roman" w:hAnsi="Times New Roman" w:eastAsia="微软雅黑" w:cs="微软雅黑"/>
          <w:sz w:val="24"/>
          <w:szCs w:val="24"/>
          <w:u w:val="single"/>
        </w:rPr>
      </w:pPr>
      <w:r>
        <w:rPr>
          <w:rFonts w:hint="eastAsia" w:ascii="Times New Roman" w:hAnsi="Times New Roman" w:eastAsia="微软雅黑" w:cs="微软雅黑"/>
          <w:sz w:val="24"/>
          <w:szCs w:val="24"/>
          <w:u w:val="single"/>
        </w:rPr>
        <w:t>降低激发态发色团与O₂的反应概率</w:t>
      </w:r>
    </w:p>
    <w:p w14:paraId="077A3DAF">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mBaoJin的</w:t>
      </w:r>
      <w:r>
        <w:rPr>
          <w:rFonts w:hint="eastAsia" w:ascii="Times New Roman" w:hAnsi="Times New Roman" w:eastAsia="微软雅黑" w:cs="微软雅黑"/>
          <w:b/>
          <w:bCs/>
          <w:sz w:val="24"/>
          <w:szCs w:val="24"/>
        </w:rPr>
        <w:t>氯离子（Cl⁻）结合口袋</w:t>
      </w:r>
      <w:r>
        <w:rPr>
          <w:rFonts w:hint="eastAsia" w:ascii="Times New Roman" w:hAnsi="Times New Roman" w:eastAsia="微软雅黑" w:cs="微软雅黑"/>
          <w:sz w:val="24"/>
          <w:szCs w:val="24"/>
        </w:rPr>
        <w:t>（Kd ≈ 3 mM）：生理Cl⁻浓度时亮度↑15%，光稳定性↑2.24倍</w:t>
      </w:r>
    </w:p>
    <w:p w14:paraId="0A74D855">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结果：比EGFP光稳定15倍，同时保持相当或更高的亮度</w:t>
      </w:r>
    </w:p>
    <w:p w14:paraId="01733B0C">
      <w:pPr>
        <w:rPr>
          <w:rFonts w:hint="eastAsia" w:ascii="Times New Roman" w:hAnsi="Times New Roman" w:eastAsia="微软雅黑" w:cs="微软雅黑"/>
          <w:sz w:val="24"/>
          <w:szCs w:val="24"/>
        </w:rPr>
      </w:pPr>
      <w:r>
        <w:rPr>
          <w:rFonts w:hint="eastAsia" w:ascii="Times New Roman" w:hAnsi="Times New Roman" w:eastAsia="微软雅黑" w:cs="微软雅黑"/>
          <w:b/>
          <w:sz w:val="21"/>
          <w:szCs w:val="24"/>
        </w:rPr>
        <w:t>■ mBaoJin文献 (Nature Methods 2024)</w:t>
      </w:r>
      <w:r>
        <w:rPr>
          <w:rFonts w:hint="eastAsia" w:ascii="Times New Roman" w:hAnsi="Times New Roman" w:eastAsia="微软雅黑" w:cs="微软雅黑"/>
          <w:color w:val="0050A0"/>
          <w:sz w:val="20"/>
          <w:szCs w:val="24"/>
        </w:rPr>
        <w:br w:type="textWrapping"/>
      </w:r>
      <w:r>
        <w:rPr>
          <w:rFonts w:hint="eastAsia" w:ascii="Times New Roman" w:hAnsi="Times New Roman" w:eastAsia="微软雅黑" w:cs="微软雅黑"/>
          <w:color w:val="0050A0"/>
          <w:sz w:val="20"/>
          <w:szCs w:val="24"/>
        </w:rPr>
        <w:t xml:space="preserve">  </w:t>
      </w:r>
      <w:r>
        <w:rPr>
          <w:rFonts w:hint="eastAsia" w:ascii="Times New Roman" w:hAnsi="Times New Roman" w:eastAsia="微软雅黑" w:cs="微软雅黑"/>
          <w:color w:val="0050A0"/>
          <w:sz w:val="20"/>
          <w:szCs w:val="24"/>
        </w:rPr>
        <w:fldChar w:fldCharType="begin"/>
      </w:r>
      <w:r>
        <w:rPr>
          <w:rFonts w:hint="eastAsia" w:ascii="Times New Roman" w:hAnsi="Times New Roman" w:eastAsia="微软雅黑" w:cs="微软雅黑"/>
          <w:color w:val="0050A0"/>
          <w:sz w:val="20"/>
          <w:szCs w:val="24"/>
        </w:rPr>
        <w:instrText xml:space="preserve"> HYPERLINK "https://doi.org/10.1038/s41592-024-02203-y" </w:instrText>
      </w:r>
      <w:r>
        <w:rPr>
          <w:rFonts w:hint="eastAsia" w:ascii="Times New Roman" w:hAnsi="Times New Roman" w:eastAsia="微软雅黑" w:cs="微软雅黑"/>
          <w:color w:val="0050A0"/>
          <w:sz w:val="20"/>
          <w:szCs w:val="24"/>
        </w:rPr>
        <w:fldChar w:fldCharType="separate"/>
      </w:r>
      <w:r>
        <w:rPr>
          <w:rStyle w:val="136"/>
          <w:rFonts w:hint="eastAsia" w:ascii="Times New Roman" w:hAnsi="Times New Roman" w:eastAsia="微软雅黑" w:cs="微软雅黑"/>
          <w:sz w:val="20"/>
          <w:szCs w:val="24"/>
        </w:rPr>
        <w:t>https://doi.org/10.1038/s41592-024-02203-y</w:t>
      </w:r>
      <w:r>
        <w:rPr>
          <w:rFonts w:hint="eastAsia" w:ascii="Times New Roman" w:hAnsi="Times New Roman" w:eastAsia="微软雅黑" w:cs="微软雅黑"/>
          <w:color w:val="0050A0"/>
          <w:sz w:val="20"/>
          <w:szCs w:val="24"/>
        </w:rPr>
        <w:fldChar w:fldCharType="end"/>
      </w:r>
      <w:r>
        <w:rPr>
          <w:rFonts w:hint="eastAsia" w:ascii="Times New Roman" w:hAnsi="Times New Roman" w:eastAsia="微软雅黑" w:cs="微软雅黑"/>
          <w:sz w:val="21"/>
          <w:szCs w:val="24"/>
        </w:rPr>
        <w:br w:type="textWrapping"/>
      </w:r>
      <w:r>
        <w:rPr>
          <w:rFonts w:hint="eastAsia" w:ascii="Times New Roman" w:hAnsi="Times New Roman" w:eastAsia="微软雅黑" w:cs="微软雅黑"/>
          <w:sz w:val="21"/>
          <w:szCs w:val="24"/>
        </w:rPr>
        <w:t xml:space="preserve">  最新单体超亮GFP的完整文献</w:t>
      </w:r>
    </w:p>
    <w:p w14:paraId="0BB69FAE">
      <w:pPr>
        <w:rPr>
          <w:rFonts w:hint="eastAsia" w:ascii="Times New Roman" w:hAnsi="Times New Roman" w:eastAsia="微软雅黑" w:cs="微软雅黑"/>
          <w:sz w:val="24"/>
          <w:szCs w:val="24"/>
        </w:rPr>
      </w:pPr>
      <w:r>
        <w:rPr>
          <w:rFonts w:hint="eastAsia" w:ascii="Times New Roman" w:hAnsi="Times New Roman" w:eastAsia="微软雅黑" w:cs="微软雅黑"/>
          <w:b/>
          <w:sz w:val="21"/>
          <w:szCs w:val="24"/>
        </w:rPr>
        <w:t>■ StayGold文献 (Nature Biotechnology 2022)</w:t>
      </w:r>
      <w:r>
        <w:rPr>
          <w:rFonts w:hint="eastAsia" w:ascii="Times New Roman" w:hAnsi="Times New Roman" w:eastAsia="微软雅黑" w:cs="微软雅黑"/>
          <w:color w:val="0050A0"/>
          <w:sz w:val="20"/>
          <w:szCs w:val="24"/>
        </w:rPr>
        <w:br w:type="textWrapping"/>
      </w:r>
      <w:r>
        <w:rPr>
          <w:rFonts w:hint="eastAsia" w:ascii="Times New Roman" w:hAnsi="Times New Roman" w:eastAsia="微软雅黑" w:cs="微软雅黑"/>
          <w:color w:val="0050A0"/>
          <w:sz w:val="20"/>
          <w:szCs w:val="24"/>
        </w:rPr>
        <w:t xml:space="preserve">  </w:t>
      </w:r>
      <w:r>
        <w:rPr>
          <w:rFonts w:hint="eastAsia" w:ascii="Times New Roman" w:hAnsi="Times New Roman" w:eastAsia="微软雅黑" w:cs="微软雅黑"/>
          <w:color w:val="0050A0"/>
          <w:sz w:val="20"/>
          <w:szCs w:val="24"/>
        </w:rPr>
        <w:fldChar w:fldCharType="begin"/>
      </w:r>
      <w:r>
        <w:rPr>
          <w:rFonts w:hint="eastAsia" w:ascii="Times New Roman" w:hAnsi="Times New Roman" w:eastAsia="微软雅黑" w:cs="微软雅黑"/>
          <w:color w:val="0050A0"/>
          <w:sz w:val="20"/>
          <w:szCs w:val="24"/>
        </w:rPr>
        <w:instrText xml:space="preserve"> HYPERLINK "https://doi.org/10.1038/s41587-022-01278-2" </w:instrText>
      </w:r>
      <w:r>
        <w:rPr>
          <w:rFonts w:hint="eastAsia" w:ascii="Times New Roman" w:hAnsi="Times New Roman" w:eastAsia="微软雅黑" w:cs="微软雅黑"/>
          <w:color w:val="0050A0"/>
          <w:sz w:val="20"/>
          <w:szCs w:val="24"/>
        </w:rPr>
        <w:fldChar w:fldCharType="separate"/>
      </w:r>
      <w:r>
        <w:rPr>
          <w:rStyle w:val="136"/>
          <w:rFonts w:hint="eastAsia" w:ascii="Times New Roman" w:hAnsi="Times New Roman" w:eastAsia="微软雅黑" w:cs="微软雅黑"/>
          <w:sz w:val="20"/>
          <w:szCs w:val="24"/>
        </w:rPr>
        <w:t>https://doi.org/10.1038/s41587-022-01278-2</w:t>
      </w:r>
      <w:r>
        <w:rPr>
          <w:rFonts w:hint="eastAsia" w:ascii="Times New Roman" w:hAnsi="Times New Roman" w:eastAsia="微软雅黑" w:cs="微软雅黑"/>
          <w:color w:val="0050A0"/>
          <w:sz w:val="20"/>
          <w:szCs w:val="24"/>
        </w:rPr>
        <w:fldChar w:fldCharType="end"/>
      </w:r>
      <w:r>
        <w:rPr>
          <w:rFonts w:hint="eastAsia" w:ascii="Times New Roman" w:hAnsi="Times New Roman" w:eastAsia="微软雅黑" w:cs="微软雅黑"/>
          <w:sz w:val="21"/>
          <w:szCs w:val="24"/>
        </w:rPr>
        <w:br w:type="textWrapping"/>
      </w:r>
      <w:r>
        <w:rPr>
          <w:rFonts w:hint="eastAsia" w:ascii="Times New Roman" w:hAnsi="Times New Roman" w:eastAsia="微软雅黑" w:cs="微软雅黑"/>
          <w:sz w:val="21"/>
          <w:szCs w:val="24"/>
        </w:rPr>
        <w:t xml:space="preserve">  超高光稳定性GFP的原始报道</w:t>
      </w:r>
    </w:p>
    <w:p w14:paraId="1BA81DB5">
      <w:pPr>
        <w:pStyle w:val="3"/>
        <w:rPr>
          <w:rFonts w:hint="eastAsia" w:ascii="Times New Roman" w:hAnsi="Times New Roman" w:eastAsia="微软雅黑" w:cs="微软雅黑"/>
          <w:sz w:val="32"/>
          <w:szCs w:val="32"/>
        </w:rPr>
      </w:pPr>
      <w:r>
        <w:rPr>
          <w:rFonts w:hint="eastAsia" w:ascii="Times New Roman" w:hAnsi="Times New Roman" w:eastAsia="微软雅黑" w:cs="微软雅黑"/>
          <w:color w:val="003366"/>
          <w:sz w:val="32"/>
          <w:szCs w:val="32"/>
        </w:rPr>
        <w:t>六、自测与实践练习</w:t>
      </w:r>
    </w:p>
    <w:p w14:paraId="5076FEF4">
      <w:pPr>
        <w:rPr>
          <w:rFonts w:hint="eastAsia" w:ascii="Times New Roman" w:hAnsi="Times New Roman" w:eastAsia="微软雅黑" w:cs="微软雅黑"/>
          <w:sz w:val="24"/>
          <w:szCs w:val="24"/>
        </w:rPr>
      </w:pPr>
      <w:r>
        <w:rPr>
          <w:rFonts w:hint="eastAsia" w:ascii="Times New Roman" w:hAnsi="Times New Roman" w:eastAsia="微软雅黑" w:cs="微软雅黑"/>
          <w:b w:val="0"/>
          <w:sz w:val="24"/>
          <w:szCs w:val="24"/>
        </w:rPr>
        <w:t>完成本章学习后，尝试回答以下问题：</w:t>
      </w:r>
    </w:p>
    <w:p w14:paraId="675058AB">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GFP发色团由哪三个氨基酸形成？写出它们的编号（基于avGFP）</w:t>
      </w:r>
    </w:p>
    <w:p w14:paraId="79BDE4D6">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发色团自催化成熟的三步骤是什么？写出每步的化学反应</w:t>
      </w:r>
    </w:p>
    <w:p w14:paraId="4881D77C">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Arg96和Glu222在发色团成熟中分别起什么作用？</w:t>
      </w:r>
    </w:p>
    <w:p w14:paraId="77CA7F25">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ESPT的质子线路径是什么？（四个组分的顺序）</w:t>
      </w:r>
    </w:p>
    <w:p w14:paraId="667A6D45">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S205V/T203V双突变为什么消除绿色荧光？</w:t>
      </w:r>
    </w:p>
    <w:p w14:paraId="053E352F">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mBaoJin的pKa=4.37意味着什么？为什么对细胞成像重要？</w:t>
      </w:r>
    </w:p>
    <w:p w14:paraId="3FACCB0C">
      <w:pPr>
        <w:rPr>
          <w:rFonts w:hint="eastAsia" w:ascii="Times New Roman" w:hAnsi="Times New Roman" w:eastAsia="微软雅黑" w:cs="微软雅黑"/>
          <w:sz w:val="24"/>
          <w:szCs w:val="24"/>
        </w:rPr>
      </w:pPr>
    </w:p>
    <w:p w14:paraId="3911B164">
      <w:pPr>
        <w:rPr>
          <w:rFonts w:hint="eastAsia" w:ascii="Times New Roman" w:hAnsi="Times New Roman" w:eastAsia="微软雅黑" w:cs="微软雅黑"/>
          <w:sz w:val="24"/>
          <w:szCs w:val="24"/>
        </w:rPr>
      </w:pPr>
      <w:r>
        <w:rPr>
          <w:rFonts w:hint="eastAsia" w:ascii="Times New Roman" w:hAnsi="Times New Roman" w:eastAsia="微软雅黑" w:cs="微软雅黑"/>
          <w:b/>
          <w:sz w:val="24"/>
          <w:szCs w:val="24"/>
        </w:rPr>
        <w:t>动手实践：</w:t>
      </w:r>
      <w:bookmarkStart w:id="0" w:name="_GoBack"/>
      <w:bookmarkEnd w:id="0"/>
    </w:p>
    <w:p w14:paraId="44E0EEC1">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在RCSB PDB网站打开2B3P（sfGFP），找到Tyr66-Gly67的侧链和围绕它们的残基</w:t>
      </w:r>
    </w:p>
    <w:p w14:paraId="7890F09E">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使用Mol*的测距工具，测量发色团酚羟基到Glu222羧基的距离（应约6-8 Å）</w:t>
      </w:r>
    </w:p>
    <w:p w14:paraId="5E51892B">
      <w:pPr>
        <w:pStyle w:val="16"/>
        <w:rPr>
          <w:rFonts w:hint="eastAsia" w:ascii="Times New Roman" w:hAnsi="Times New Roman" w:eastAsia="微软雅黑" w:cs="微软雅黑"/>
          <w:sz w:val="24"/>
          <w:szCs w:val="24"/>
        </w:rPr>
      </w:pPr>
      <w:r>
        <w:rPr>
          <w:rFonts w:hint="eastAsia" w:ascii="Times New Roman" w:hAnsi="Times New Roman" w:eastAsia="微软雅黑" w:cs="微软雅黑"/>
          <w:sz w:val="24"/>
          <w:szCs w:val="24"/>
        </w:rPr>
        <w:t>在FPbase上查找sfGFP和mBaoJin的详细光物理参数，比较它们的pKa和量子产率</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264E27"/>
    <w:rsid w:val="1D947933"/>
    <w:rsid w:val="62D948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FollowedHyperlink"/>
    <w:basedOn w:val="132"/>
    <w:semiHidden/>
    <w:unhideWhenUsed/>
    <w:qFormat/>
    <w:uiPriority w:val="99"/>
    <w:rPr>
      <w:color w:val="800080"/>
      <w:u w:val="single"/>
    </w:rPr>
  </w:style>
  <w:style w:type="character" w:styleId="135">
    <w:name w:val="Emphasis"/>
    <w:basedOn w:val="132"/>
    <w:qFormat/>
    <w:uiPriority w:val="20"/>
    <w:rPr>
      <w:i/>
      <w:iCs/>
    </w:rPr>
  </w:style>
  <w:style w:type="character" w:styleId="136">
    <w:name w:val="Hyperlink"/>
    <w:basedOn w:val="132"/>
    <w:semiHidden/>
    <w:unhideWhenUsed/>
    <w:qFormat/>
    <w:uiPriority w:val="99"/>
    <w:rPr>
      <w:color w:val="0000FF"/>
      <w:u w:val="single"/>
    </w:rPr>
  </w:style>
  <w:style w:type="character" w:customStyle="1" w:styleId="137">
    <w:name w:val="Header Char"/>
    <w:basedOn w:val="132"/>
    <w:link w:val="25"/>
    <w:qFormat/>
    <w:uiPriority w:val="99"/>
  </w:style>
  <w:style w:type="character" w:customStyle="1" w:styleId="138">
    <w:name w:val="Footer Char"/>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qFormat/>
    <w:uiPriority w:val="99"/>
  </w:style>
  <w:style w:type="character" w:customStyle="1" w:styleId="147">
    <w:name w:val="Body Text 2 Char"/>
    <w:basedOn w:val="132"/>
    <w:link w:val="28"/>
    <w:qFormat/>
    <w:uiPriority w:val="99"/>
  </w:style>
  <w:style w:type="character" w:customStyle="1" w:styleId="148">
    <w:name w:val="Body Text 3 Char"/>
    <w:basedOn w:val="132"/>
    <w:link w:val="17"/>
    <w:qFormat/>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106</Words>
  <Characters>138</Characters>
  <Lines>0</Lines>
  <Paragraphs>0</Paragraphs>
  <TotalTime>53</TotalTime>
  <ScaleCrop>false</ScaleCrop>
  <LinksUpToDate>false</LinksUpToDate>
  <CharactersWithSpaces>142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仰望天空</cp:lastModifiedBy>
  <dcterms:modified xsi:type="dcterms:W3CDTF">2026-05-20T15:31:28Z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eyJoZGlkIjoiYTczMTE5MmFkMzBjY2FhNzY5MWQwM2ZlZTM5OGNhNDgiLCJ1c2VySWQiOiI2MjkxNzEyNjIifQ==</vt:lpwstr>
  </property>
  <property fmtid="{D5CDD505-2E9C-101B-9397-08002B2CF9AE}" pid="3" name="KSOProductBuildVer">
    <vt:lpwstr>2052-12.1.0.26375</vt:lpwstr>
  </property>
  <property fmtid="{D5CDD505-2E9C-101B-9397-08002B2CF9AE}" pid="4" name="ICV">
    <vt:lpwstr>F999A721F9D248838FF2622A39F17CCB_12</vt:lpwstr>
  </property>
</Properties>
</file>