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504FD">
      <w:pPr>
        <w:rPr>
          <w:rFonts w:ascii="Times New Roman" w:hAnsi="Times New Roman" w:eastAsia="宋体"/>
          <w:sz w:val="28"/>
          <w:szCs w:val="28"/>
        </w:rPr>
      </w:pPr>
    </w:p>
    <w:p w14:paraId="427F13BA">
      <w:pPr>
        <w:rPr>
          <w:rFonts w:ascii="Times New Roman" w:hAnsi="Times New Roman" w:eastAsia="宋体"/>
          <w:sz w:val="28"/>
          <w:szCs w:val="28"/>
        </w:rPr>
      </w:pPr>
    </w:p>
    <w:p w14:paraId="0E4E2663">
      <w:pPr>
        <w:rPr>
          <w:rFonts w:ascii="Times New Roman" w:hAnsi="Times New Roman" w:eastAsia="宋体"/>
          <w:sz w:val="28"/>
          <w:szCs w:val="28"/>
        </w:rPr>
      </w:pPr>
    </w:p>
    <w:p w14:paraId="091AC912">
      <w:pPr>
        <w:rPr>
          <w:rFonts w:ascii="Times New Roman" w:hAnsi="Times New Roman" w:eastAsia="宋体"/>
          <w:sz w:val="28"/>
          <w:szCs w:val="28"/>
        </w:rPr>
      </w:pPr>
    </w:p>
    <w:p w14:paraId="76CA51C9">
      <w:pPr>
        <w:jc w:val="center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color w:val="003366"/>
          <w:sz w:val="52"/>
          <w:szCs w:val="28"/>
        </w:rPr>
        <w:t>专题四：蛋白质稳定性与热稳定性工程</w:t>
      </w:r>
      <w:r>
        <w:rPr>
          <w:rFonts w:ascii="Times New Roman" w:hAnsi="Times New Roman" w:eastAsia="宋体"/>
          <w:b/>
          <w:color w:val="003366"/>
          <w:sz w:val="52"/>
          <w:szCs w:val="28"/>
        </w:rPr>
        <w:br w:type="textWrapping"/>
      </w:r>
      <w:r>
        <w:rPr>
          <w:rFonts w:ascii="Times New Roman" w:hAnsi="Times New Roman" w:eastAsia="宋体"/>
          <w:b/>
          <w:color w:val="003366"/>
          <w:sz w:val="52"/>
          <w:szCs w:val="28"/>
        </w:rPr>
        <w:t>——ΔΔG预测、表面工程与稳定性设计策略</w:t>
      </w:r>
    </w:p>
    <w:p w14:paraId="3E843CF4">
      <w:pPr>
        <w:rPr>
          <w:rFonts w:ascii="Times New Roman" w:hAnsi="Times New Roman" w:eastAsia="宋体"/>
          <w:sz w:val="28"/>
          <w:szCs w:val="28"/>
        </w:rPr>
      </w:pPr>
    </w:p>
    <w:p w14:paraId="009F2AC2">
      <w:pPr>
        <w:jc w:val="center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color w:val="005082"/>
          <w:sz w:val="36"/>
          <w:szCs w:val="28"/>
        </w:rPr>
        <w:t>掌握提升GFP热稳定性的计算方法和实验策略</w:t>
      </w:r>
    </w:p>
    <w:p w14:paraId="0629D6C2">
      <w:pPr>
        <w:rPr>
          <w:rFonts w:ascii="Times New Roman" w:hAnsi="Times New Roman" w:eastAsia="宋体"/>
          <w:sz w:val="28"/>
          <w:szCs w:val="28"/>
        </w:rPr>
      </w:pPr>
    </w:p>
    <w:p w14:paraId="0B522A29">
      <w:pPr>
        <w:jc w:val="center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32"/>
          <w:szCs w:val="28"/>
        </w:rPr>
        <w:t>日期: 2026年05月14日</w:t>
      </w:r>
    </w:p>
    <w:p w14:paraId="35D3B420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br w:type="page"/>
      </w:r>
    </w:p>
    <w:p w14:paraId="785B373E">
      <w:pPr>
        <w:pStyle w:val="3"/>
        <w:rPr>
          <w:rFonts w:ascii="Times New Roman" w:hAnsi="Times New Roman" w:eastAsia="宋体"/>
          <w:sz w:val="36"/>
          <w:szCs w:val="36"/>
        </w:rPr>
      </w:pPr>
      <w:r>
        <w:rPr>
          <w:rFonts w:ascii="Times New Roman" w:hAnsi="Times New Roman" w:eastAsia="宋体"/>
          <w:color w:val="003366"/>
          <w:sz w:val="36"/>
          <w:szCs w:val="36"/>
        </w:rPr>
        <w:t>一、蛋白质稳定性的基础概念</w:t>
      </w:r>
    </w:p>
    <w:p w14:paraId="2D70E44B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 w:val="0"/>
          <w:sz w:val="28"/>
          <w:szCs w:val="28"/>
        </w:rPr>
        <w:t>蛋白质的稳定性可以从多个维度理解：</w:t>
      </w:r>
    </w:p>
    <w:p w14:paraId="5BAFA41B">
      <w:pPr>
        <w:pStyle w:val="4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1.1 热力学稳定性</w:t>
      </w:r>
    </w:p>
    <w:p w14:paraId="57472B32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</w:rPr>
        <w:t>ΔG_folding = G_folded - G_unfolded</w:t>
      </w:r>
      <w:r>
        <w:rPr>
          <w:rFonts w:ascii="Times New Roman" w:hAnsi="Times New Roman" w:eastAsia="宋体"/>
          <w:sz w:val="28"/>
          <w:szCs w:val="28"/>
        </w:rPr>
        <w:t>：折叠态与去折叠态的自由能差</w:t>
      </w:r>
    </w:p>
    <w:p w14:paraId="0AAD186E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</w:rPr>
        <w:t>ΔΔG = ΔG_mutant - ΔG_WT</w:t>
      </w:r>
      <w:r>
        <w:rPr>
          <w:rFonts w:ascii="Times New Roman" w:hAnsi="Times New Roman" w:eastAsia="宋体"/>
          <w:sz w:val="28"/>
          <w:szCs w:val="28"/>
        </w:rPr>
        <w:t>：突变对折叠自由能的改变（负值=稳定，正值=不稳定）</w:t>
      </w:r>
    </w:p>
    <w:p w14:paraId="5C64460D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</w:rPr>
        <w:t>Tm（熔解温度）</w:t>
      </w:r>
      <w:r>
        <w:rPr>
          <w:rFonts w:ascii="Times New Roman" w:hAnsi="Times New Roman" w:eastAsia="宋体"/>
          <w:sz w:val="28"/>
          <w:szCs w:val="28"/>
        </w:rPr>
        <w:t>：50%蛋白去折叠的温度</w:t>
      </w:r>
    </w:p>
    <w:p w14:paraId="5829C483">
      <w:pPr>
        <w:pStyle w:val="16"/>
        <w:rPr>
          <w:rFonts w:ascii="Times New Roman" w:hAnsi="Times New Roman" w:eastAsia="宋体"/>
          <w:color w:val="0000FF"/>
          <w:sz w:val="28"/>
          <w:szCs w:val="28"/>
          <w:u w:val="single"/>
        </w:rPr>
      </w:pPr>
      <w:r>
        <w:rPr>
          <w:rFonts w:ascii="Times New Roman" w:hAnsi="Times New Roman" w:eastAsia="宋体"/>
          <w:sz w:val="28"/>
          <w:szCs w:val="28"/>
          <w:u w:val="single"/>
        </w:rPr>
        <w:t>GFP的典型Tm值：</w:t>
      </w:r>
      <w:r>
        <w:rPr>
          <w:rFonts w:ascii="Times New Roman" w:hAnsi="Times New Roman" w:eastAsia="宋体"/>
          <w:color w:val="0000FF"/>
          <w:sz w:val="28"/>
          <w:szCs w:val="28"/>
          <w:u w:val="single"/>
        </w:rPr>
        <w:t>wtGFP ~78°C, sfGFP ~83°C, TGP &gt;95°C</w:t>
      </w:r>
    </w:p>
    <w:p w14:paraId="0B5D7AEF">
      <w:pPr>
        <w:pStyle w:val="4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1.2 影响GFP稳定性的结构因素</w:t>
      </w:r>
    </w:p>
    <w:p w14:paraId="5735DB7C">
      <w:pPr>
        <w:pStyle w:val="16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  <w:highlight w:val="yellow"/>
        </w:rPr>
        <w:t>疏水核心堆积</w:t>
      </w:r>
      <w:r>
        <w:rPr>
          <w:rFonts w:ascii="Times New Roman" w:hAnsi="Times New Roman" w:eastAsia="宋体"/>
          <w:sz w:val="28"/>
          <w:szCs w:val="28"/>
        </w:rPr>
        <w:t>：紧密的范德华接触→显著的焓贡献。</w:t>
      </w:r>
      <w:r>
        <w:rPr>
          <w:rFonts w:ascii="Times New Roman" w:hAnsi="Times New Roman" w:eastAsia="宋体"/>
          <w:b/>
          <w:bCs/>
          <w:sz w:val="28"/>
          <w:szCs w:val="28"/>
        </w:rPr>
        <w:t>Y145F突变</w:t>
      </w:r>
      <w:r>
        <w:rPr>
          <w:rFonts w:ascii="Times New Roman" w:hAnsi="Times New Roman" w:eastAsia="宋体"/>
          <w:sz w:val="28"/>
          <w:szCs w:val="28"/>
        </w:rPr>
        <w:t>是核心优化的经典案例（移除极性OH→改善堆积→+3-4°C）</w:t>
      </w:r>
    </w:p>
    <w:p w14:paraId="46B73425">
      <w:pPr>
        <w:pStyle w:val="16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/>
          <w:sz w:val="28"/>
          <w:szCs w:val="28"/>
          <w:u w:val="single"/>
        </w:rPr>
      </w:pPr>
      <w:r>
        <w:rPr>
          <w:rFonts w:ascii="Times New Roman" w:hAnsi="Times New Roman" w:eastAsia="宋体"/>
          <w:b/>
          <w:bCs/>
          <w:sz w:val="28"/>
          <w:szCs w:val="28"/>
          <w:highlight w:val="yellow"/>
        </w:rPr>
        <w:t>静电网络</w:t>
      </w:r>
      <w:r>
        <w:rPr>
          <w:rFonts w:ascii="Times New Roman" w:hAnsi="Times New Roman" w:eastAsia="宋体"/>
          <w:sz w:val="28"/>
          <w:szCs w:val="28"/>
        </w:rPr>
        <w:t>：跨β-链的离子对。</w:t>
      </w:r>
      <w:r>
        <w:rPr>
          <w:rFonts w:ascii="Times New Roman" w:hAnsi="Times New Roman" w:eastAsia="宋体"/>
          <w:sz w:val="28"/>
          <w:szCs w:val="28"/>
          <w:u w:val="single"/>
        </w:rPr>
        <w:t>S30R在sfGFP中创建了E32-R30-E17-R122-E115五元网络</w:t>
      </w:r>
    </w:p>
    <w:p w14:paraId="59E954AB">
      <w:pPr>
        <w:pStyle w:val="16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  <w:highlight w:val="yellow"/>
        </w:rPr>
        <w:t>表面电荷</w:t>
      </w:r>
      <w:r>
        <w:rPr>
          <w:rFonts w:ascii="Times New Roman" w:hAnsi="Times New Roman" w:eastAsia="宋体"/>
          <w:sz w:val="28"/>
          <w:szCs w:val="28"/>
        </w:rPr>
        <w:t>：防止热聚集。同性电荷互斥→减少变性后的不可逆聚集</w:t>
      </w:r>
    </w:p>
    <w:p w14:paraId="6A2867CE">
      <w:pPr>
        <w:pStyle w:val="16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  <w:highlight w:val="yellow"/>
        </w:rPr>
        <w:t>β-桶刚性</w:t>
      </w:r>
      <w:r>
        <w:rPr>
          <w:rFonts w:ascii="Times New Roman" w:hAnsi="Times New Roman" w:eastAsia="宋体"/>
          <w:sz w:val="28"/>
          <w:szCs w:val="28"/>
        </w:rPr>
        <w:t>：完整的H-bond网络提供结构完整性</w:t>
      </w:r>
    </w:p>
    <w:p w14:paraId="41DC3CFA">
      <w:pPr>
        <w:pStyle w:val="16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  <w:highlight w:val="yellow"/>
        </w:rPr>
        <w:t>C末端尾巴</w:t>
      </w:r>
      <w:r>
        <w:rPr>
          <w:rFonts w:ascii="Times New Roman" w:hAnsi="Times New Roman" w:eastAsia="宋体"/>
          <w:sz w:val="28"/>
          <w:szCs w:val="28"/>
        </w:rPr>
        <w:t>：非结构化尾部通过动态接触网络远程稳定β-桶（截断→Tm降低~6°C）</w:t>
      </w:r>
    </w:p>
    <w:p w14:paraId="24C52696">
      <w:pPr>
        <w:pStyle w:val="16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  <w:highlight w:val="yellow"/>
        </w:rPr>
        <w:t>发色团环境</w:t>
      </w:r>
      <w:r>
        <w:rPr>
          <w:rFonts w:ascii="Times New Roman" w:hAnsi="Times New Roman" w:eastAsia="宋体"/>
          <w:sz w:val="28"/>
          <w:szCs w:val="28"/>
        </w:rPr>
        <w:t>：</w:t>
      </w:r>
      <w:r>
        <w:rPr>
          <w:rFonts w:ascii="Times New Roman" w:hAnsi="Times New Roman" w:eastAsia="宋体"/>
          <w:b/>
          <w:bCs/>
          <w:color w:val="C00000"/>
          <w:sz w:val="28"/>
          <w:szCs w:val="28"/>
        </w:rPr>
        <w:t>H193Y</w:t>
      </w:r>
      <w:r>
        <w:rPr>
          <w:rFonts w:ascii="Times New Roman" w:hAnsi="Times New Roman" w:eastAsia="宋体"/>
          <w:sz w:val="28"/>
          <w:szCs w:val="28"/>
        </w:rPr>
        <w:t>（TGP中）→π-堆积稳定发色团→99°C仍维持荧光</w:t>
      </w:r>
    </w:p>
    <w:p w14:paraId="06880498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br w:type="page"/>
      </w:r>
    </w:p>
    <w:p w14:paraId="72ACF097">
      <w:pPr>
        <w:pStyle w:val="3"/>
        <w:rPr>
          <w:rFonts w:ascii="Times New Roman" w:hAnsi="Times New Roman" w:eastAsia="宋体"/>
          <w:sz w:val="36"/>
          <w:szCs w:val="36"/>
        </w:rPr>
      </w:pPr>
      <w:r>
        <w:rPr>
          <w:rFonts w:ascii="Times New Roman" w:hAnsi="Times New Roman" w:eastAsia="宋体"/>
          <w:color w:val="003366"/>
          <w:sz w:val="36"/>
          <w:szCs w:val="36"/>
        </w:rPr>
        <w:t>二、ΔΔG预测的计算方法</w:t>
      </w:r>
    </w:p>
    <w:p w14:paraId="35E9661B">
      <w:pPr>
        <w:pStyle w:val="4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2.1 方法对比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980"/>
        <w:gridCol w:w="1881"/>
        <w:gridCol w:w="1881"/>
        <w:gridCol w:w="1881"/>
      </w:tblGrid>
      <w:tr w14:paraId="4124E6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396904E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1"/>
                <w:szCs w:val="28"/>
              </w:rPr>
              <w:t>方法</w:t>
            </w:r>
          </w:p>
        </w:tc>
        <w:tc>
          <w:tcPr>
            <w:tcW w:w="1881" w:type="dxa"/>
          </w:tcPr>
          <w:p w14:paraId="4DA5AD7D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1"/>
                <w:szCs w:val="28"/>
              </w:rPr>
              <w:t>原理</w:t>
            </w:r>
          </w:p>
        </w:tc>
        <w:tc>
          <w:tcPr>
            <w:tcW w:w="1881" w:type="dxa"/>
          </w:tcPr>
          <w:p w14:paraId="49C1DF66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1"/>
                <w:szCs w:val="28"/>
              </w:rPr>
              <w:t>精度/相关性</w:t>
            </w:r>
          </w:p>
        </w:tc>
        <w:tc>
          <w:tcPr>
            <w:tcW w:w="1881" w:type="dxa"/>
          </w:tcPr>
          <w:p w14:paraId="042F66B3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1"/>
                <w:szCs w:val="28"/>
              </w:rPr>
              <w:t>速度</w:t>
            </w:r>
          </w:p>
        </w:tc>
        <w:tc>
          <w:tcPr>
            <w:tcW w:w="1881" w:type="dxa"/>
          </w:tcPr>
          <w:p w14:paraId="53583957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1"/>
                <w:szCs w:val="28"/>
              </w:rPr>
              <w:t>适用场景</w:t>
            </w:r>
          </w:p>
        </w:tc>
      </w:tr>
      <w:tr w14:paraId="03CCD3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8167E42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Rosetta cartesian_ddg</w:t>
            </w:r>
          </w:p>
        </w:tc>
        <w:tc>
          <w:tcPr>
            <w:tcW w:w="1881" w:type="dxa"/>
          </w:tcPr>
          <w:p w14:paraId="0039AEAC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力场+骨架柔性</w:t>
            </w:r>
          </w:p>
        </w:tc>
        <w:tc>
          <w:tcPr>
            <w:tcW w:w="1881" w:type="dxa"/>
          </w:tcPr>
          <w:p w14:paraId="6FD1EF0E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~0.69（单体）</w:t>
            </w:r>
          </w:p>
        </w:tc>
        <w:tc>
          <w:tcPr>
            <w:tcW w:w="1881" w:type="dxa"/>
          </w:tcPr>
          <w:p w14:paraId="4B344284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中等（30-60 min/变体）</w:t>
            </w:r>
          </w:p>
        </w:tc>
        <w:tc>
          <w:tcPr>
            <w:tcW w:w="1881" w:type="dxa"/>
          </w:tcPr>
          <w:p w14:paraId="67A8DE86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结构导向精确设计</w:t>
            </w:r>
          </w:p>
        </w:tc>
      </w:tr>
      <w:tr w14:paraId="28739E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62AAEE9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FoldX</w:t>
            </w:r>
          </w:p>
        </w:tc>
        <w:tc>
          <w:tcPr>
            <w:tcW w:w="1881" w:type="dxa"/>
          </w:tcPr>
          <w:p w14:paraId="0712BD56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经验力场</w:t>
            </w:r>
          </w:p>
        </w:tc>
        <w:tc>
          <w:tcPr>
            <w:tcW w:w="1881" w:type="dxa"/>
          </w:tcPr>
          <w:p w14:paraId="0AF04C3E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~0.5-0.7</w:t>
            </w:r>
          </w:p>
        </w:tc>
        <w:tc>
          <w:tcPr>
            <w:tcW w:w="1881" w:type="dxa"/>
          </w:tcPr>
          <w:p w14:paraId="223A6DDE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快（1-5 min/变体）</w:t>
            </w:r>
          </w:p>
        </w:tc>
        <w:tc>
          <w:tcPr>
            <w:tcW w:w="1881" w:type="dxa"/>
          </w:tcPr>
          <w:p w14:paraId="64DC7FAC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快速扫描大量突变</w:t>
            </w:r>
          </w:p>
        </w:tc>
      </w:tr>
      <w:tr w14:paraId="52C10D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30F855A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ProteinMPNN-ddG</w:t>
            </w:r>
          </w:p>
        </w:tc>
        <w:tc>
          <w:tcPr>
            <w:tcW w:w="1881" w:type="dxa"/>
          </w:tcPr>
          <w:p w14:paraId="25F3EC8B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零样本ML</w:t>
            </w:r>
          </w:p>
        </w:tc>
        <w:tc>
          <w:tcPr>
            <w:tcW w:w="1881" w:type="dxa"/>
          </w:tcPr>
          <w:p w14:paraId="672663CA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~0.77（Megascale）</w:t>
            </w:r>
          </w:p>
        </w:tc>
        <w:tc>
          <w:tcPr>
            <w:tcW w:w="1881" w:type="dxa"/>
          </w:tcPr>
          <w:p w14:paraId="4780E2F0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快（GPU加速）</w:t>
            </w:r>
          </w:p>
        </w:tc>
        <w:tc>
          <w:tcPr>
            <w:tcW w:w="1881" w:type="dxa"/>
          </w:tcPr>
          <w:p w14:paraId="2AB6EC85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高通量稳定性筛选</w:t>
            </w:r>
          </w:p>
        </w:tc>
      </w:tr>
      <w:tr w14:paraId="27246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D7D4B78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SPURS</w:t>
            </w:r>
          </w:p>
        </w:tc>
        <w:tc>
          <w:tcPr>
            <w:tcW w:w="1881" w:type="dxa"/>
          </w:tcPr>
          <w:p w14:paraId="4631B3AA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ProteinMPNN+ESM融合</w:t>
            </w:r>
          </w:p>
        </w:tc>
        <w:tc>
          <w:tcPr>
            <w:tcW w:w="1881" w:type="dxa"/>
          </w:tcPr>
          <w:p w14:paraId="6E8ACE88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~0.83（Megascale）</w:t>
            </w:r>
          </w:p>
        </w:tc>
        <w:tc>
          <w:tcPr>
            <w:tcW w:w="1881" w:type="dxa"/>
          </w:tcPr>
          <w:p w14:paraId="7F530B7D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快（单次前向传播）</w:t>
            </w:r>
          </w:p>
        </w:tc>
        <w:tc>
          <w:tcPr>
            <w:tcW w:w="1881" w:type="dxa"/>
          </w:tcPr>
          <w:p w14:paraId="77B1E0DB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对所有20×L单突变同时预测</w:t>
            </w:r>
          </w:p>
        </w:tc>
      </w:tr>
      <w:tr w14:paraId="088649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0E25FD0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TemBERTure</w:t>
            </w:r>
          </w:p>
        </w:tc>
        <w:tc>
          <w:tcPr>
            <w:tcW w:w="1881" w:type="dxa"/>
          </w:tcPr>
          <w:p w14:paraId="6C9F5025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ProtBERT+适配器</w:t>
            </w:r>
          </w:p>
        </w:tc>
        <w:tc>
          <w:tcPr>
            <w:tcW w:w="1881" w:type="dxa"/>
          </w:tcPr>
          <w:p w14:paraId="5D1D1FEA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分类+回归</w:t>
            </w:r>
          </w:p>
        </w:tc>
        <w:tc>
          <w:tcPr>
            <w:tcW w:w="1881" w:type="dxa"/>
          </w:tcPr>
          <w:p w14:paraId="35D606B0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快</w:t>
            </w:r>
          </w:p>
        </w:tc>
        <w:tc>
          <w:tcPr>
            <w:tcW w:w="1881" w:type="dxa"/>
          </w:tcPr>
          <w:p w14:paraId="440C2821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嗜热/非嗜热分类+Tm预测</w:t>
            </w:r>
          </w:p>
        </w:tc>
      </w:tr>
      <w:tr w14:paraId="000FDF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78FFB47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ThermoMPNN</w:t>
            </w:r>
          </w:p>
        </w:tc>
        <w:tc>
          <w:tcPr>
            <w:tcW w:w="1881" w:type="dxa"/>
          </w:tcPr>
          <w:p w14:paraId="7AEB134A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ProteinMPNN微调</w:t>
            </w:r>
          </w:p>
        </w:tc>
        <w:tc>
          <w:tcPr>
            <w:tcW w:w="1881" w:type="dxa"/>
          </w:tcPr>
          <w:p w14:paraId="5C618807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—</w:t>
            </w:r>
          </w:p>
        </w:tc>
        <w:tc>
          <w:tcPr>
            <w:tcW w:w="1881" w:type="dxa"/>
          </w:tcPr>
          <w:p w14:paraId="24911C80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快</w:t>
            </w:r>
          </w:p>
        </w:tc>
        <w:tc>
          <w:tcPr>
            <w:tcW w:w="1881" w:type="dxa"/>
          </w:tcPr>
          <w:p w14:paraId="2636FFAD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  <w:szCs w:val="28"/>
              </w:rPr>
              <w:t>在Megascale上微调的特化版</w:t>
            </w:r>
          </w:p>
        </w:tc>
      </w:tr>
    </w:tbl>
    <w:p w14:paraId="6AF34AD5">
      <w:pPr>
        <w:rPr>
          <w:rFonts w:ascii="Times New Roman" w:hAnsi="Times New Roman" w:eastAsia="宋体"/>
          <w:sz w:val="28"/>
          <w:szCs w:val="28"/>
        </w:rPr>
      </w:pPr>
    </w:p>
    <w:p w14:paraId="6B3F045E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2"/>
          <w:szCs w:val="28"/>
        </w:rPr>
        <w:t>■ Rosetta cartesian_ddg 文档</w:t>
      </w:r>
      <w:r>
        <w:rPr>
          <w:rFonts w:ascii="Times New Roman" w:hAnsi="Times New Roman" w:eastAsia="宋体"/>
          <w:color w:val="0050A0"/>
          <w:sz w:val="21"/>
          <w:szCs w:val="28"/>
        </w:rPr>
        <w:br w:type="textWrapping"/>
      </w:r>
      <w:r>
        <w:rPr>
          <w:rFonts w:ascii="Times New Roman" w:hAnsi="Times New Roman" w:eastAsia="宋体"/>
          <w:color w:val="0050A0"/>
          <w:sz w:val="21"/>
          <w:szCs w:val="28"/>
        </w:rPr>
        <w:t xml:space="preserve">  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begin"/>
      </w:r>
      <w:r>
        <w:rPr>
          <w:rFonts w:ascii="Times New Roman" w:hAnsi="Times New Roman" w:eastAsia="宋体"/>
          <w:color w:val="0050A0"/>
          <w:sz w:val="21"/>
          <w:szCs w:val="28"/>
        </w:rPr>
        <w:instrText xml:space="preserve"> HYPERLINK "https://docs.rosettacommons.org/docs/latest/cartesian-ddG" </w:instrTex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separate"/>
      </w:r>
      <w:r>
        <w:rPr>
          <w:rStyle w:val="134"/>
          <w:rFonts w:ascii="Times New Roman" w:hAnsi="Times New Roman" w:eastAsia="宋体"/>
          <w:sz w:val="21"/>
          <w:szCs w:val="28"/>
        </w:rPr>
        <w:t>https://docs.rosettacommons.org/docs/latest/cartesian-ddG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end"/>
      </w:r>
      <w:r>
        <w:rPr>
          <w:rFonts w:ascii="Times New Roman" w:hAnsi="Times New Roman" w:eastAsia="宋体"/>
          <w:sz w:val="22"/>
          <w:szCs w:val="28"/>
        </w:rPr>
        <w:br w:type="textWrapping"/>
      </w:r>
      <w:r>
        <w:rPr>
          <w:rFonts w:ascii="Times New Roman" w:hAnsi="Times New Roman" w:eastAsia="宋体"/>
          <w:sz w:val="22"/>
          <w:szCs w:val="28"/>
        </w:rPr>
        <w:t xml:space="preserve">  官方教程，含完整命令行示例</w:t>
      </w:r>
    </w:p>
    <w:p w14:paraId="686341CC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2"/>
          <w:szCs w:val="28"/>
        </w:rPr>
        <w:t>■ ProteinMPNN-ddG GitHub</w:t>
      </w:r>
      <w:r>
        <w:rPr>
          <w:rFonts w:ascii="Times New Roman" w:hAnsi="Times New Roman" w:eastAsia="宋体"/>
          <w:color w:val="0050A0"/>
          <w:sz w:val="21"/>
          <w:szCs w:val="28"/>
        </w:rPr>
        <w:br w:type="textWrapping"/>
      </w:r>
      <w:r>
        <w:rPr>
          <w:rFonts w:ascii="Times New Roman" w:hAnsi="Times New Roman" w:eastAsia="宋体"/>
          <w:color w:val="0050A0"/>
          <w:sz w:val="21"/>
          <w:szCs w:val="28"/>
        </w:rPr>
        <w:t xml:space="preserve">  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begin"/>
      </w:r>
      <w:r>
        <w:rPr>
          <w:rFonts w:ascii="Times New Roman" w:hAnsi="Times New Roman" w:eastAsia="宋体"/>
          <w:color w:val="0050A0"/>
          <w:sz w:val="21"/>
          <w:szCs w:val="28"/>
        </w:rPr>
        <w:instrText xml:space="preserve"> HYPERLINK "https://github.com/PeptoneLtd/proteinmpnn_ddg" </w:instrTex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separate"/>
      </w:r>
      <w:r>
        <w:rPr>
          <w:rStyle w:val="136"/>
          <w:rFonts w:ascii="Times New Roman" w:hAnsi="Times New Roman" w:eastAsia="宋体"/>
          <w:sz w:val="21"/>
          <w:szCs w:val="28"/>
        </w:rPr>
        <w:t>https://github.com/PeptoneLtd/proteinmpnn_ddg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end"/>
      </w:r>
      <w:r>
        <w:rPr>
          <w:rFonts w:ascii="Times New Roman" w:hAnsi="Times New Roman" w:eastAsia="宋体"/>
          <w:sz w:val="22"/>
          <w:szCs w:val="28"/>
        </w:rPr>
        <w:br w:type="textWrapping"/>
      </w:r>
      <w:r>
        <w:rPr>
          <w:rFonts w:ascii="Times New Roman" w:hAnsi="Times New Roman" w:eastAsia="宋体"/>
          <w:sz w:val="22"/>
          <w:szCs w:val="28"/>
        </w:rPr>
        <w:t xml:space="preserve">  零样本ΔΔG预测，含Colab notebook</w:t>
      </w:r>
    </w:p>
    <w:p w14:paraId="7E5E4BFE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2"/>
          <w:szCs w:val="28"/>
        </w:rPr>
        <w:t>■ SPURS GitHub</w:t>
      </w:r>
      <w:r>
        <w:rPr>
          <w:rFonts w:ascii="Times New Roman" w:hAnsi="Times New Roman" w:eastAsia="宋体"/>
          <w:color w:val="0050A0"/>
          <w:sz w:val="21"/>
          <w:szCs w:val="28"/>
        </w:rPr>
        <w:br w:type="textWrapping"/>
      </w:r>
      <w:r>
        <w:rPr>
          <w:rFonts w:ascii="Times New Roman" w:hAnsi="Times New Roman" w:eastAsia="宋体"/>
          <w:color w:val="0050A0"/>
          <w:sz w:val="21"/>
          <w:szCs w:val="28"/>
        </w:rPr>
        <w:t xml:space="preserve">  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begin"/>
      </w:r>
      <w:r>
        <w:rPr>
          <w:rFonts w:ascii="Times New Roman" w:hAnsi="Times New Roman" w:eastAsia="宋体"/>
          <w:color w:val="0050A0"/>
          <w:sz w:val="21"/>
          <w:szCs w:val="28"/>
        </w:rPr>
        <w:instrText xml:space="preserve"> HYPERLINK "https://github.com/luo-group/SPURS" </w:instrTex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separate"/>
      </w:r>
      <w:r>
        <w:rPr>
          <w:rStyle w:val="136"/>
          <w:rFonts w:ascii="Times New Roman" w:hAnsi="Times New Roman" w:eastAsia="宋体"/>
          <w:sz w:val="21"/>
          <w:szCs w:val="28"/>
        </w:rPr>
        <w:t>https://github.com/luo-group/SPURS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end"/>
      </w:r>
      <w:r>
        <w:rPr>
          <w:rFonts w:ascii="Times New Roman" w:hAnsi="Times New Roman" w:eastAsia="宋体"/>
          <w:sz w:val="22"/>
          <w:szCs w:val="28"/>
        </w:rPr>
        <w:br w:type="textWrapping"/>
      </w:r>
      <w:r>
        <w:rPr>
          <w:rFonts w:ascii="Times New Roman" w:hAnsi="Times New Roman" w:eastAsia="宋体"/>
          <w:sz w:val="22"/>
          <w:szCs w:val="28"/>
        </w:rPr>
        <w:t xml:space="preserve">  最新ProteinMPNN+ESM融合方法</w:t>
      </w:r>
    </w:p>
    <w:p w14:paraId="4D758664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2"/>
          <w:szCs w:val="28"/>
        </w:rPr>
        <w:t>■ TemBERTure GitHub</w:t>
      </w:r>
      <w:r>
        <w:rPr>
          <w:rFonts w:ascii="Times New Roman" w:hAnsi="Times New Roman" w:eastAsia="宋体"/>
          <w:color w:val="0050A0"/>
          <w:sz w:val="21"/>
          <w:szCs w:val="28"/>
        </w:rPr>
        <w:br w:type="textWrapping"/>
      </w:r>
      <w:r>
        <w:rPr>
          <w:rFonts w:ascii="Times New Roman" w:hAnsi="Times New Roman" w:eastAsia="宋体"/>
          <w:color w:val="0050A0"/>
          <w:sz w:val="21"/>
          <w:szCs w:val="28"/>
        </w:rPr>
        <w:t xml:space="preserve">  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begin"/>
      </w:r>
      <w:r>
        <w:rPr>
          <w:rFonts w:ascii="Times New Roman" w:hAnsi="Times New Roman" w:eastAsia="宋体"/>
          <w:color w:val="0050A0"/>
          <w:sz w:val="21"/>
          <w:szCs w:val="28"/>
        </w:rPr>
        <w:instrText xml:space="preserve"> HYPERLINK "https://github.com/ibmm-unibe-ch/TemBERTure" </w:instrTex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separate"/>
      </w:r>
      <w:r>
        <w:rPr>
          <w:rStyle w:val="136"/>
          <w:rFonts w:ascii="Times New Roman" w:hAnsi="Times New Roman" w:eastAsia="宋体"/>
          <w:sz w:val="21"/>
          <w:szCs w:val="28"/>
        </w:rPr>
        <w:t>https://github.com/ibmm-unibe-ch/TemBERTure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end"/>
      </w:r>
      <w:r>
        <w:rPr>
          <w:rFonts w:ascii="Times New Roman" w:hAnsi="Times New Roman" w:eastAsia="宋体"/>
          <w:sz w:val="22"/>
          <w:szCs w:val="28"/>
        </w:rPr>
        <w:br w:type="textWrapping"/>
      </w:r>
      <w:r>
        <w:rPr>
          <w:rFonts w:ascii="Times New Roman" w:hAnsi="Times New Roman" w:eastAsia="宋体"/>
          <w:sz w:val="22"/>
          <w:szCs w:val="28"/>
        </w:rPr>
        <w:t xml:space="preserve">  基于ProtBERT的温度稳定性预测</w:t>
      </w:r>
    </w:p>
    <w:p w14:paraId="263FD003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2"/>
          <w:szCs w:val="28"/>
        </w:rPr>
        <w:t>■ PROSS Web Server</w:t>
      </w:r>
      <w:r>
        <w:rPr>
          <w:rFonts w:ascii="Times New Roman" w:hAnsi="Times New Roman" w:eastAsia="宋体"/>
          <w:color w:val="0050A0"/>
          <w:sz w:val="21"/>
          <w:szCs w:val="28"/>
        </w:rPr>
        <w:br w:type="textWrapping"/>
      </w:r>
      <w:r>
        <w:rPr>
          <w:rFonts w:ascii="Times New Roman" w:hAnsi="Times New Roman" w:eastAsia="宋体"/>
          <w:color w:val="0050A0"/>
          <w:sz w:val="21"/>
          <w:szCs w:val="28"/>
        </w:rPr>
        <w:t xml:space="preserve">  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begin"/>
      </w:r>
      <w:r>
        <w:rPr>
          <w:rFonts w:ascii="Times New Roman" w:hAnsi="Times New Roman" w:eastAsia="宋体"/>
          <w:color w:val="0050A0"/>
          <w:sz w:val="21"/>
          <w:szCs w:val="28"/>
        </w:rPr>
        <w:instrText xml:space="preserve"> HYPERLINK "https://pross.weizmann.ac.il" </w:instrTex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separate"/>
      </w:r>
      <w:r>
        <w:rPr>
          <w:rStyle w:val="136"/>
          <w:rFonts w:ascii="Times New Roman" w:hAnsi="Times New Roman" w:eastAsia="宋体"/>
          <w:sz w:val="21"/>
          <w:szCs w:val="28"/>
        </w:rPr>
        <w:t>https://pross.weizmann.ac.il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end"/>
      </w:r>
      <w:r>
        <w:rPr>
          <w:rFonts w:ascii="Times New Roman" w:hAnsi="Times New Roman" w:eastAsia="宋体"/>
          <w:sz w:val="22"/>
          <w:szCs w:val="28"/>
        </w:rPr>
        <w:br w:type="textWrapping"/>
      </w:r>
      <w:r>
        <w:rPr>
          <w:rFonts w:ascii="Times New Roman" w:hAnsi="Times New Roman" w:eastAsia="宋体"/>
          <w:sz w:val="22"/>
          <w:szCs w:val="28"/>
        </w:rPr>
        <w:t xml:space="preserve">  自动化稳定性设计（在线，推荐初学者首选）</w:t>
      </w:r>
    </w:p>
    <w:p w14:paraId="4064CC53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br w:type="page"/>
      </w:r>
    </w:p>
    <w:p w14:paraId="708F5AA2">
      <w:pPr>
        <w:pStyle w:val="3"/>
        <w:rPr>
          <w:rFonts w:ascii="Times New Roman" w:hAnsi="Times New Roman" w:eastAsia="宋体"/>
          <w:sz w:val="36"/>
          <w:szCs w:val="36"/>
        </w:rPr>
      </w:pPr>
      <w:r>
        <w:rPr>
          <w:rFonts w:ascii="Times New Roman" w:hAnsi="Times New Roman" w:eastAsia="宋体"/>
          <w:color w:val="003366"/>
          <w:sz w:val="36"/>
          <w:szCs w:val="36"/>
        </w:rPr>
        <w:t>三、表面工程策略（TGP案例深度解析）</w:t>
      </w:r>
    </w:p>
    <w:p w14:paraId="584B3A09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 w:val="0"/>
          <w:sz w:val="28"/>
          <w:szCs w:val="28"/>
        </w:rPr>
        <w:t>TGP（Thermal Green Protein, Close et al., 2015）提供了结构导向表面工程提升热稳定性的典范案例：</w:t>
      </w:r>
    </w:p>
    <w:p w14:paraId="39B4A735">
      <w:pPr>
        <w:pStyle w:val="4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3.1 两项核心原则</w:t>
      </w:r>
    </w:p>
    <w:p w14:paraId="137A84E2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  <w:highlight w:val="yellow"/>
          <w:u w:val="single"/>
        </w:rPr>
        <w:t>原则一：识别并破坏晶体晶格中的分子间接触界</w:t>
      </w:r>
      <w:r>
        <w:rPr>
          <w:rFonts w:ascii="Times New Roman" w:hAnsi="Times New Roman" w:eastAsia="宋体"/>
          <w:b/>
          <w:bCs/>
          <w:sz w:val="28"/>
          <w:szCs w:val="28"/>
          <w:u w:val="single"/>
        </w:rPr>
        <w:t>面</w:t>
      </w:r>
      <w:r>
        <w:rPr>
          <w:rFonts w:ascii="Times New Roman" w:hAnsi="Times New Roman" w:eastAsia="宋体"/>
          <w:sz w:val="28"/>
          <w:szCs w:val="28"/>
        </w:rPr>
        <w:t>——这些界面在溶液中可能导致聚集</w:t>
      </w:r>
    </w:p>
    <w:p w14:paraId="164E712B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  <w:highlight w:val="yellow"/>
          <w:u w:val="single"/>
        </w:rPr>
        <w:t>原则二：增加表面净负电荷</w:t>
      </w:r>
      <w:r>
        <w:rPr>
          <w:rFonts w:ascii="Times New Roman" w:hAnsi="Times New Roman" w:eastAsia="宋体"/>
          <w:sz w:val="28"/>
          <w:szCs w:val="28"/>
        </w:rPr>
        <w:t>——通过将表面碱性残基替换为谷氨酸（E），电荷排斥减少聚集</w:t>
      </w:r>
    </w:p>
    <w:p w14:paraId="06EB5922">
      <w:pPr>
        <w:pStyle w:val="4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3.2 TGP的具体突变</w:t>
      </w:r>
    </w:p>
    <w:p w14:paraId="5E1E763A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</w:rPr>
        <w:t>K45E, K73E, K117E, R149E, N158E</w:t>
      </w:r>
      <w:r>
        <w:rPr>
          <w:rFonts w:ascii="Times New Roman" w:hAnsi="Times New Roman" w:eastAsia="宋体"/>
          <w:sz w:val="28"/>
          <w:szCs w:val="28"/>
        </w:rPr>
        <w:t>——5个表面正电荷/中性残基→谷氨酸</w:t>
      </w:r>
    </w:p>
    <w:p w14:paraId="5E58E657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</w:rPr>
        <w:t>C末端219-225（MLPSQAK）</w:t>
      </w:r>
      <w:r>
        <w:rPr>
          <w:rFonts w:ascii="Times New Roman" w:hAnsi="Times New Roman" w:eastAsia="宋体"/>
          <w:sz w:val="28"/>
          <w:szCs w:val="28"/>
        </w:rPr>
        <w:t>→GGGSGGG柔性连接序列——去除C末端介导的分子间接触</w:t>
      </w:r>
    </w:p>
    <w:p w14:paraId="67081351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结果：90°C下半衰期从175分钟（eCGP123）提升到380分钟（TGP）→约2.2倍提升</w:t>
      </w:r>
    </w:p>
    <w:p w14:paraId="6305450D">
      <w:pPr>
        <w:pStyle w:val="4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3.3 对GFP竞赛设计的启示</w:t>
      </w:r>
    </w:p>
    <w:p w14:paraId="0FBF1B5B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8"/>
          <w:szCs w:val="28"/>
        </w:rPr>
        <w:t>在sfGFP上应用类似策略：</w:t>
      </w:r>
    </w:p>
    <w:p w14:paraId="3A27DE8A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检查sfGFP（2B3P）的晶体堆积——识别分子间接触热点</w:t>
      </w:r>
    </w:p>
    <w:p w14:paraId="6E79D7E4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在不破坏S30R静电网络的前提下，优化β-桶外表面电荷</w:t>
      </w:r>
    </w:p>
    <w:p w14:paraId="3AE53F47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考虑在sfGFP的C末端区域引入有利修饰（但不删除——C末端有助于稳定性！）</w:t>
      </w:r>
    </w:p>
    <w:p w14:paraId="795B7E45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br w:type="page"/>
      </w:r>
    </w:p>
    <w:p w14:paraId="6D4CBAB4">
      <w:pPr>
        <w:pStyle w:val="3"/>
        <w:rPr>
          <w:rFonts w:ascii="Times New Roman" w:hAnsi="Times New Roman" w:eastAsia="宋体"/>
          <w:sz w:val="36"/>
          <w:szCs w:val="36"/>
          <w:highlight w:val="yellow"/>
        </w:rPr>
      </w:pPr>
      <w:r>
        <w:rPr>
          <w:rFonts w:ascii="Times New Roman" w:hAnsi="Times New Roman" w:eastAsia="宋体"/>
          <w:color w:val="003366"/>
          <w:sz w:val="36"/>
          <w:szCs w:val="36"/>
        </w:rPr>
        <w:t>四、</w:t>
      </w:r>
      <w:r>
        <w:rPr>
          <w:rFonts w:ascii="Times New Roman" w:hAnsi="Times New Roman" w:eastAsia="宋体"/>
          <w:color w:val="003366"/>
          <w:sz w:val="36"/>
          <w:szCs w:val="36"/>
          <w:highlight w:val="yellow"/>
        </w:rPr>
        <w:t>已知的GFP稳定化突变汇总</w:t>
      </w:r>
    </w:p>
    <w:p w14:paraId="3AC30287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8"/>
          <w:szCs w:val="28"/>
        </w:rPr>
        <w:t>以下是已知的GFP热稳定性提升突变（按来源蛋白分类）：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017B0F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4AC20B0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0"/>
                <w:szCs w:val="28"/>
              </w:rPr>
              <w:t>突变</w:t>
            </w:r>
          </w:p>
        </w:tc>
        <w:tc>
          <w:tcPr>
            <w:tcW w:w="1881" w:type="dxa"/>
          </w:tcPr>
          <w:p w14:paraId="6CE904DD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0"/>
                <w:szCs w:val="28"/>
              </w:rPr>
              <w:t>来源</w:t>
            </w:r>
          </w:p>
        </w:tc>
        <w:tc>
          <w:tcPr>
            <w:tcW w:w="1881" w:type="dxa"/>
          </w:tcPr>
          <w:p w14:paraId="3C574E03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0"/>
                <w:szCs w:val="28"/>
              </w:rPr>
              <w:t>机制</w:t>
            </w:r>
          </w:p>
        </w:tc>
        <w:tc>
          <w:tcPr>
            <w:tcW w:w="1881" w:type="dxa"/>
          </w:tcPr>
          <w:p w14:paraId="52B989D4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0"/>
                <w:szCs w:val="28"/>
              </w:rPr>
              <w:t>效果</w:t>
            </w:r>
          </w:p>
        </w:tc>
        <w:tc>
          <w:tcPr>
            <w:tcW w:w="1881" w:type="dxa"/>
          </w:tcPr>
          <w:p w14:paraId="1B0E166F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sz w:val="20"/>
                <w:szCs w:val="28"/>
              </w:rPr>
              <w:t>可迁移性</w:t>
            </w:r>
          </w:p>
        </w:tc>
      </w:tr>
      <w:tr w14:paraId="795B49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F9E455E">
            <w:pPr>
              <w:spacing w:after="0" w:line="240" w:lineRule="auto"/>
              <w:rPr>
                <w:rFonts w:ascii="Times New Roman" w:hAnsi="Times New Roman" w:eastAsia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sz w:val="20"/>
                <w:szCs w:val="28"/>
              </w:rPr>
              <w:t>S30R</w:t>
            </w:r>
          </w:p>
        </w:tc>
        <w:tc>
          <w:tcPr>
            <w:tcW w:w="1881" w:type="dxa"/>
          </w:tcPr>
          <w:p w14:paraId="15B33F49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sfGFP</w:t>
            </w:r>
          </w:p>
        </w:tc>
        <w:tc>
          <w:tcPr>
            <w:tcW w:w="1881" w:type="dxa"/>
          </w:tcPr>
          <w:p w14:paraId="1AB1B324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在S1/S2/S5/S6间形成五元静电网络</w:t>
            </w:r>
          </w:p>
        </w:tc>
        <w:tc>
          <w:tcPr>
            <w:tcW w:w="1881" w:type="dxa"/>
          </w:tcPr>
          <w:p w14:paraId="3410B39A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+显著（折叠和稳定性）</w:t>
            </w:r>
          </w:p>
        </w:tc>
        <w:tc>
          <w:tcPr>
            <w:tcW w:w="1881" w:type="dxa"/>
          </w:tcPr>
          <w:p w14:paraId="763AEBA0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最关键的sfGFP突变，不可逆改</w:t>
            </w:r>
          </w:p>
        </w:tc>
      </w:tr>
      <w:tr w14:paraId="0C9FD5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388861F">
            <w:pPr>
              <w:spacing w:after="0" w:line="240" w:lineRule="auto"/>
              <w:rPr>
                <w:rFonts w:ascii="Times New Roman" w:hAnsi="Times New Roman" w:eastAsia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sz w:val="20"/>
                <w:szCs w:val="28"/>
              </w:rPr>
              <w:t>Y39N</w:t>
            </w:r>
          </w:p>
        </w:tc>
        <w:tc>
          <w:tcPr>
            <w:tcW w:w="1881" w:type="dxa"/>
          </w:tcPr>
          <w:p w14:paraId="77872EF1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sfGFP</w:t>
            </w:r>
          </w:p>
        </w:tc>
        <w:tc>
          <w:tcPr>
            <w:tcW w:w="1881" w:type="dxa"/>
          </w:tcPr>
          <w:p w14:paraId="7DD8B3BB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表面极性优化</w:t>
            </w:r>
          </w:p>
        </w:tc>
        <w:tc>
          <w:tcPr>
            <w:tcW w:w="1881" w:type="dxa"/>
          </w:tcPr>
          <w:p w14:paraId="38328AEF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+适度</w:t>
            </w:r>
          </w:p>
        </w:tc>
        <w:tc>
          <w:tcPr>
            <w:tcW w:w="1881" w:type="dxa"/>
          </w:tcPr>
          <w:p w14:paraId="096B9A0F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改善溶解性</w:t>
            </w:r>
          </w:p>
        </w:tc>
      </w:tr>
      <w:tr w14:paraId="1DFC2F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6E0949F">
            <w:pPr>
              <w:spacing w:after="0" w:line="240" w:lineRule="auto"/>
              <w:rPr>
                <w:rFonts w:ascii="Times New Roman" w:hAnsi="Times New Roman" w:eastAsia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sz w:val="20"/>
                <w:szCs w:val="28"/>
              </w:rPr>
              <w:t>N105T</w:t>
            </w:r>
          </w:p>
        </w:tc>
        <w:tc>
          <w:tcPr>
            <w:tcW w:w="1881" w:type="dxa"/>
          </w:tcPr>
          <w:p w14:paraId="049A29DA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sfGFP</w:t>
            </w:r>
          </w:p>
        </w:tc>
        <w:tc>
          <w:tcPr>
            <w:tcW w:w="1881" w:type="dxa"/>
          </w:tcPr>
          <w:p w14:paraId="688FCB4C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可能影响β链间H-bond</w:t>
            </w:r>
          </w:p>
        </w:tc>
        <w:tc>
          <w:tcPr>
            <w:tcW w:w="1881" w:type="dxa"/>
          </w:tcPr>
          <w:p w14:paraId="4053D363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+适度</w:t>
            </w:r>
          </w:p>
        </w:tc>
        <w:tc>
          <w:tcPr>
            <w:tcW w:w="1881" w:type="dxa"/>
          </w:tcPr>
          <w:p w14:paraId="2C920BEF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改善折叠动力学</w:t>
            </w:r>
          </w:p>
        </w:tc>
      </w:tr>
      <w:tr w14:paraId="1AB888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D602E4D">
            <w:pPr>
              <w:spacing w:after="0" w:line="240" w:lineRule="auto"/>
              <w:rPr>
                <w:rFonts w:ascii="Times New Roman" w:hAnsi="Times New Roman" w:eastAsia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sz w:val="20"/>
                <w:szCs w:val="28"/>
              </w:rPr>
              <w:t>Y145F</w:t>
            </w:r>
          </w:p>
        </w:tc>
        <w:tc>
          <w:tcPr>
            <w:tcW w:w="1881" w:type="dxa"/>
          </w:tcPr>
          <w:p w14:paraId="3B39A311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sfGFP</w:t>
            </w:r>
          </w:p>
        </w:tc>
        <w:tc>
          <w:tcPr>
            <w:tcW w:w="1881" w:type="dxa"/>
          </w:tcPr>
          <w:p w14:paraId="5E00CD19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移除OH改善核心疏水堆积</w:t>
            </w:r>
          </w:p>
        </w:tc>
        <w:tc>
          <w:tcPr>
            <w:tcW w:w="1881" w:type="dxa"/>
          </w:tcPr>
          <w:p w14:paraId="35C78F35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+3-4°C</w:t>
            </w:r>
          </w:p>
        </w:tc>
        <w:tc>
          <w:tcPr>
            <w:tcW w:w="1881" w:type="dxa"/>
          </w:tcPr>
          <w:p w14:paraId="3D2A932F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可在其他骨架中独立迁移</w:t>
            </w:r>
          </w:p>
        </w:tc>
      </w:tr>
      <w:tr w14:paraId="39BDDD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0E71E1B">
            <w:pPr>
              <w:spacing w:after="0" w:line="240" w:lineRule="auto"/>
              <w:rPr>
                <w:rFonts w:ascii="Times New Roman" w:hAnsi="Times New Roman" w:eastAsia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sz w:val="20"/>
                <w:szCs w:val="28"/>
              </w:rPr>
              <w:t>I171V</w:t>
            </w:r>
          </w:p>
        </w:tc>
        <w:tc>
          <w:tcPr>
            <w:tcW w:w="1881" w:type="dxa"/>
          </w:tcPr>
          <w:p w14:paraId="2506402E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sfGFP</w:t>
            </w:r>
          </w:p>
        </w:tc>
        <w:tc>
          <w:tcPr>
            <w:tcW w:w="1881" w:type="dxa"/>
          </w:tcPr>
          <w:p w14:paraId="2CB8CC78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核心堆积微调</w:t>
            </w:r>
          </w:p>
        </w:tc>
        <w:tc>
          <w:tcPr>
            <w:tcW w:w="1881" w:type="dxa"/>
          </w:tcPr>
          <w:p w14:paraId="57C25D28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+轻微</w:t>
            </w:r>
          </w:p>
        </w:tc>
        <w:tc>
          <w:tcPr>
            <w:tcW w:w="1881" w:type="dxa"/>
          </w:tcPr>
          <w:p w14:paraId="16FACEDF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与Y145F协同</w:t>
            </w:r>
          </w:p>
        </w:tc>
      </w:tr>
      <w:tr w14:paraId="051438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F577320">
            <w:pPr>
              <w:spacing w:after="0" w:line="240" w:lineRule="auto"/>
              <w:rPr>
                <w:rFonts w:ascii="Times New Roman" w:hAnsi="Times New Roman" w:eastAsia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sz w:val="20"/>
                <w:szCs w:val="28"/>
              </w:rPr>
              <w:t>A206V</w:t>
            </w:r>
          </w:p>
        </w:tc>
        <w:tc>
          <w:tcPr>
            <w:tcW w:w="1881" w:type="dxa"/>
          </w:tcPr>
          <w:p w14:paraId="13D57876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sfGFP</w:t>
            </w:r>
          </w:p>
        </w:tc>
        <w:tc>
          <w:tcPr>
            <w:tcW w:w="1881" w:type="dxa"/>
          </w:tcPr>
          <w:p w14:paraId="4120613F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减少二聚化</w:t>
            </w:r>
          </w:p>
        </w:tc>
        <w:tc>
          <w:tcPr>
            <w:tcW w:w="1881" w:type="dxa"/>
          </w:tcPr>
          <w:p w14:paraId="5A2EA5F9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+轻微</w:t>
            </w:r>
          </w:p>
        </w:tc>
        <w:tc>
          <w:tcPr>
            <w:tcW w:w="1881" w:type="dxa"/>
          </w:tcPr>
          <w:p w14:paraId="4EB3E90C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改善单体性</w:t>
            </w:r>
          </w:p>
        </w:tc>
      </w:tr>
      <w:tr w14:paraId="294914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A9018E0">
            <w:pPr>
              <w:spacing w:after="0" w:line="240" w:lineRule="auto"/>
              <w:rPr>
                <w:rFonts w:ascii="Times New Roman" w:hAnsi="Times New Roman" w:eastAsia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sz w:val="20"/>
                <w:szCs w:val="28"/>
              </w:rPr>
              <w:t>H193Y</w:t>
            </w:r>
          </w:p>
        </w:tc>
        <w:tc>
          <w:tcPr>
            <w:tcW w:w="1881" w:type="dxa"/>
          </w:tcPr>
          <w:p w14:paraId="376D6269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TGP</w:t>
            </w:r>
          </w:p>
        </w:tc>
        <w:tc>
          <w:tcPr>
            <w:tcW w:w="1881" w:type="dxa"/>
          </w:tcPr>
          <w:p w14:paraId="4E3224FA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π-堆积稳定发色团</w:t>
            </w:r>
          </w:p>
        </w:tc>
        <w:tc>
          <w:tcPr>
            <w:tcW w:w="1881" w:type="dxa"/>
          </w:tcPr>
          <w:p w14:paraId="77D77E13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+显著（Tm和化学稳定性）</w:t>
            </w:r>
          </w:p>
        </w:tc>
        <w:tc>
          <w:tcPr>
            <w:tcW w:w="1881" w:type="dxa"/>
          </w:tcPr>
          <w:p w14:paraId="1B1BDB25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可迁移至sfGFP</w:t>
            </w:r>
          </w:p>
        </w:tc>
      </w:tr>
      <w:tr w14:paraId="227D17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149378A">
            <w:pPr>
              <w:spacing w:after="0" w:line="240" w:lineRule="auto"/>
              <w:rPr>
                <w:rFonts w:ascii="Times New Roman" w:hAnsi="Times New Roman" w:eastAsia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sz w:val="20"/>
                <w:szCs w:val="28"/>
              </w:rPr>
              <w:t>Q66E</w:t>
            </w:r>
          </w:p>
        </w:tc>
        <w:tc>
          <w:tcPr>
            <w:tcW w:w="1881" w:type="dxa"/>
          </w:tcPr>
          <w:p w14:paraId="418FB7E2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TGP</w:t>
            </w:r>
          </w:p>
        </w:tc>
        <w:tc>
          <w:tcPr>
            <w:tcW w:w="1881" w:type="dxa"/>
          </w:tcPr>
          <w:p w14:paraId="6B6394AD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发色团环境优化</w:t>
            </w:r>
          </w:p>
        </w:tc>
        <w:tc>
          <w:tcPr>
            <w:tcW w:w="1881" w:type="dxa"/>
          </w:tcPr>
          <w:p w14:paraId="5CA13B54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+化学稳定性和pH稳定性</w:t>
            </w:r>
          </w:p>
        </w:tc>
        <w:tc>
          <w:tcPr>
            <w:tcW w:w="1881" w:type="dxa"/>
          </w:tcPr>
          <w:p w14:paraId="2EF296B0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改善耐酸性</w:t>
            </w:r>
          </w:p>
        </w:tc>
      </w:tr>
      <w:tr w14:paraId="159B47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2D83BD6">
            <w:pPr>
              <w:spacing w:after="0" w:line="240" w:lineRule="auto"/>
              <w:rPr>
                <w:rFonts w:ascii="Times New Roman" w:hAnsi="Times New Roman" w:eastAsia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sz w:val="20"/>
                <w:szCs w:val="28"/>
              </w:rPr>
              <w:t>C165Y</w:t>
            </w:r>
          </w:p>
        </w:tc>
        <w:tc>
          <w:tcPr>
            <w:tcW w:w="1881" w:type="dxa"/>
          </w:tcPr>
          <w:p w14:paraId="23EB54E5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mBaoJin</w:t>
            </w:r>
          </w:p>
        </w:tc>
        <w:tc>
          <w:tcPr>
            <w:tcW w:w="1881" w:type="dxa"/>
          </w:tcPr>
          <w:p w14:paraId="1A79CC12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单体化+局部结构</w:t>
            </w:r>
          </w:p>
        </w:tc>
        <w:tc>
          <w:tcPr>
            <w:tcW w:w="1881" w:type="dxa"/>
          </w:tcPr>
          <w:p w14:paraId="76152871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+光稳定性和单体性</w:t>
            </w:r>
          </w:p>
        </w:tc>
        <w:tc>
          <w:tcPr>
            <w:tcW w:w="1881" w:type="dxa"/>
          </w:tcPr>
          <w:p w14:paraId="7858AE6C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减少二聚化倾向</w:t>
            </w:r>
          </w:p>
        </w:tc>
      </w:tr>
      <w:tr w14:paraId="5A53F3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6402DB5">
            <w:pPr>
              <w:spacing w:after="0" w:line="240" w:lineRule="auto"/>
              <w:rPr>
                <w:rFonts w:ascii="Times New Roman" w:hAnsi="Times New Roman" w:eastAsia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b/>
                <w:bCs/>
                <w:sz w:val="20"/>
                <w:szCs w:val="28"/>
              </w:rPr>
              <w:t>H148S</w:t>
            </w:r>
          </w:p>
        </w:tc>
        <w:tc>
          <w:tcPr>
            <w:tcW w:w="1881" w:type="dxa"/>
          </w:tcPr>
          <w:p w14:paraId="4A590B65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YuzuFP</w:t>
            </w:r>
          </w:p>
        </w:tc>
        <w:tc>
          <w:tcPr>
            <w:tcW w:w="1881" w:type="dxa"/>
          </w:tcPr>
          <w:p w14:paraId="6EBD32F4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改善与发色团和W1水的H-bond</w:t>
            </w:r>
          </w:p>
        </w:tc>
        <w:tc>
          <w:tcPr>
            <w:tcW w:w="1881" w:type="dxa"/>
          </w:tcPr>
          <w:p w14:paraId="5EE7C660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亮度↑1.5倍+光稳定性↑3倍</w:t>
            </w:r>
          </w:p>
        </w:tc>
        <w:tc>
          <w:tcPr>
            <w:tcW w:w="1881" w:type="dxa"/>
          </w:tcPr>
          <w:p w14:paraId="7889F601">
            <w:pPr>
              <w:spacing w:after="0" w:line="240" w:lineRule="auto"/>
              <w:rPr>
                <w:rFonts w:ascii="Times New Roman" w:hAnsi="Times New Roman" w:eastAsia="宋体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0"/>
                <w:szCs w:val="28"/>
              </w:rPr>
              <w:t>MD引导理性设计</w:t>
            </w:r>
          </w:p>
        </w:tc>
      </w:tr>
    </w:tbl>
    <w:p w14:paraId="621A8226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br w:type="page"/>
      </w:r>
    </w:p>
    <w:p w14:paraId="3B3ECA38">
      <w:pPr>
        <w:pStyle w:val="3"/>
        <w:rPr>
          <w:rFonts w:ascii="Times New Roman" w:hAnsi="Times New Roman" w:eastAsia="宋体"/>
          <w:sz w:val="36"/>
          <w:szCs w:val="36"/>
        </w:rPr>
      </w:pPr>
      <w:r>
        <w:rPr>
          <w:rFonts w:ascii="Times New Roman" w:hAnsi="Times New Roman" w:eastAsia="宋体"/>
          <w:color w:val="003366"/>
          <w:sz w:val="36"/>
          <w:szCs w:val="36"/>
        </w:rPr>
        <w:t>五、GFP适应度景观与上位效应——设计中的"陷阱"</w:t>
      </w:r>
    </w:p>
    <w:p w14:paraId="69C35F95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 w:val="0"/>
          <w:sz w:val="28"/>
          <w:szCs w:val="28"/>
        </w:rPr>
        <w:t>这是参加GFP竞赛必须理解的核心概念。Sarkisyan等人（Nature 2016）的研究提供了系统性证据：</w:t>
      </w:r>
    </w:p>
    <w:p w14:paraId="617A3C0F">
      <w:pPr>
        <w:pStyle w:val="4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5.1 关键数字</w:t>
      </w:r>
    </w:p>
    <w:p w14:paraId="2EB02B13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75%的单突变导致荧光降低——GFP对突变高度敏感</w:t>
      </w:r>
    </w:p>
    <w:p w14:paraId="27F767ED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仅约23%的单突变是中性的</w:t>
      </w:r>
    </w:p>
    <w:p w14:paraId="412BEF17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50%的含4个突变的基因型完全丧失荧光</w:t>
      </w:r>
    </w:p>
    <w:p w14:paraId="7FDBEC1D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30%的多突变基因型呈现显著负上位效应（epistasis）</w:t>
      </w:r>
    </w:p>
    <w:p w14:paraId="51A076E7">
      <w:pPr>
        <w:pStyle w:val="4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5.2 上位效应是什么？</w:t>
      </w:r>
    </w:p>
    <w:p w14:paraId="79703189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 w:val="0"/>
          <w:sz w:val="28"/>
          <w:szCs w:val="28"/>
        </w:rPr>
        <w:t>上位效应指：多个突变组合在一起的效应不等于单个突变效应的简单加和。</w:t>
      </w:r>
    </w:p>
    <w:p w14:paraId="5FDCCE57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8"/>
          <w:szCs w:val="28"/>
        </w:rPr>
        <w:t>GFP中主要是负上位效应：两个各自中性的突变组合在一起可能导致荧光丧失。机制是：</w:t>
      </w:r>
    </w:p>
    <w:p w14:paraId="3AEC1023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 w:val="0"/>
          <w:sz w:val="28"/>
          <w:szCs w:val="28"/>
        </w:rPr>
        <w:t>单个突变略微降低蛋白质稳定性（仍在折叠阈值之上）→多个微失稳突变累积→总稳定性低于折叠阈值→蛋白质去折叠→发色团无法成熟→荧光丧失。</w:t>
      </w:r>
    </w:p>
    <w:p w14:paraId="1660AB12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 w:val="0"/>
          <w:sz w:val="28"/>
          <w:szCs w:val="28"/>
        </w:rPr>
        <w:t>适应度景观可用</w:t>
      </w:r>
      <w:r>
        <w:rPr>
          <w:rFonts w:ascii="Times New Roman" w:hAnsi="Times New Roman" w:eastAsia="宋体"/>
          <w:b/>
          <w:bCs/>
          <w:color w:val="C00000"/>
          <w:sz w:val="28"/>
          <w:szCs w:val="28"/>
        </w:rPr>
        <w:t>Sigmoid截断函数</w:t>
      </w:r>
      <w:r>
        <w:rPr>
          <w:rFonts w:ascii="Times New Roman" w:hAnsi="Times New Roman" w:eastAsia="宋体"/>
          <w:b w:val="0"/>
          <w:sz w:val="28"/>
          <w:szCs w:val="28"/>
        </w:rPr>
        <w:t>描述：简单</w:t>
      </w:r>
      <w:bookmarkStart w:id="0" w:name="_GoBack"/>
      <w:bookmarkEnd w:id="0"/>
      <w:r>
        <w:rPr>
          <w:rFonts w:ascii="Times New Roman" w:hAnsi="Times New Roman" w:eastAsia="宋体"/>
          <w:b w:val="0"/>
          <w:sz w:val="28"/>
          <w:szCs w:val="28"/>
        </w:rPr>
        <w:t>线性非上位模型仅解释70%方差；引入Sigmoid函数后解释率85%。</w:t>
      </w:r>
    </w:p>
    <w:p w14:paraId="39827DA0">
      <w:pPr>
        <w:pStyle w:val="4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color w:val="003366"/>
          <w:sz w:val="32"/>
          <w:szCs w:val="32"/>
        </w:rPr>
        <w:t>5.3 对设计的启示</w:t>
      </w:r>
    </w:p>
    <w:p w14:paraId="536DB9AF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不能简单组合"好的"单点突变——需要全局评估每个组合</w:t>
      </w:r>
    </w:p>
    <w:p w14:paraId="22B43372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利用</w:t>
      </w:r>
      <w:r>
        <w:rPr>
          <w:rFonts w:ascii="Times New Roman" w:hAnsi="Times New Roman" w:eastAsia="宋体"/>
          <w:sz w:val="28"/>
          <w:szCs w:val="28"/>
          <w:highlight w:val="yellow"/>
        </w:rPr>
        <w:t>超稳定骨架（如sfGFP, TGP）</w:t>
      </w:r>
      <w:r>
        <w:rPr>
          <w:rFonts w:ascii="Times New Roman" w:hAnsi="Times New Roman" w:eastAsia="宋体"/>
          <w:sz w:val="28"/>
          <w:szCs w:val="28"/>
        </w:rPr>
        <w:t>作为"突变缓冲器"吸收多突变的影响</w:t>
      </w:r>
    </w:p>
    <w:p w14:paraId="11C3E20B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设计时使用</w:t>
      </w:r>
      <w:r>
        <w:rPr>
          <w:rFonts w:ascii="Times New Roman" w:hAnsi="Times New Roman" w:eastAsia="宋体"/>
          <w:sz w:val="28"/>
          <w:szCs w:val="28"/>
          <w:highlight w:val="yellow"/>
        </w:rPr>
        <w:t>计算工具（FoldX, Rosetta ddG, SPURS）</w:t>
      </w:r>
      <w:r>
        <w:rPr>
          <w:rFonts w:ascii="Times New Roman" w:hAnsi="Times New Roman" w:eastAsia="宋体"/>
          <w:sz w:val="28"/>
          <w:szCs w:val="28"/>
        </w:rPr>
        <w:t>评估</w:t>
      </w:r>
      <w:r>
        <w:rPr>
          <w:rFonts w:ascii="Times New Roman" w:hAnsi="Times New Roman" w:eastAsia="宋体"/>
          <w:b/>
          <w:bCs/>
          <w:color w:val="C00000"/>
          <w:sz w:val="28"/>
          <w:szCs w:val="28"/>
        </w:rPr>
        <w:t>全局ΔΔG</w:t>
      </w:r>
    </w:p>
    <w:p w14:paraId="0FDCD0FF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bCs/>
          <w:sz w:val="28"/>
          <w:szCs w:val="28"/>
        </w:rPr>
        <w:t>保守策略</w:t>
      </w:r>
      <w:r>
        <w:rPr>
          <w:rFonts w:ascii="Times New Roman" w:hAnsi="Times New Roman" w:eastAsia="宋体"/>
          <w:sz w:val="28"/>
          <w:szCs w:val="28"/>
        </w:rPr>
        <w:t>：每次引入1-2个突变，验证后再叠加（迭代式设计）</w:t>
      </w:r>
    </w:p>
    <w:p w14:paraId="467C1D79">
      <w:pPr>
        <w:pStyle w:val="16"/>
        <w:rPr>
          <w:rFonts w:ascii="Times New Roman" w:hAnsi="Times New Roman" w:eastAsia="宋体"/>
          <w:sz w:val="28"/>
          <w:szCs w:val="28"/>
          <w:highlight w:val="yellow"/>
        </w:rPr>
      </w:pPr>
      <w:r>
        <w:rPr>
          <w:rFonts w:ascii="Times New Roman" w:hAnsi="Times New Roman" w:eastAsia="宋体"/>
          <w:sz w:val="28"/>
          <w:szCs w:val="28"/>
          <w:highlight w:val="yellow"/>
        </w:rPr>
        <w:t>在序列空间中搜索时，使用能显式建模上位效应的方法（交叉熵蒙特卡洛、贝叶斯优化）</w:t>
      </w:r>
    </w:p>
    <w:p w14:paraId="25B56E46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2"/>
          <w:szCs w:val="28"/>
        </w:rPr>
        <w:t>■ Sarkisyan et al. (2016) Nature</w:t>
      </w:r>
      <w:r>
        <w:rPr>
          <w:rFonts w:ascii="Times New Roman" w:hAnsi="Times New Roman" w:eastAsia="宋体"/>
          <w:color w:val="0050A0"/>
          <w:sz w:val="21"/>
          <w:szCs w:val="28"/>
        </w:rPr>
        <w:br w:type="textWrapping"/>
      </w:r>
      <w:r>
        <w:rPr>
          <w:rFonts w:ascii="Times New Roman" w:hAnsi="Times New Roman" w:eastAsia="宋体"/>
          <w:color w:val="0050A0"/>
          <w:sz w:val="21"/>
          <w:szCs w:val="28"/>
        </w:rPr>
        <w:t xml:space="preserve">  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begin"/>
      </w:r>
      <w:r>
        <w:rPr>
          <w:rFonts w:ascii="Times New Roman" w:hAnsi="Times New Roman" w:eastAsia="宋体"/>
          <w:color w:val="0050A0"/>
          <w:sz w:val="21"/>
          <w:szCs w:val="28"/>
        </w:rPr>
        <w:instrText xml:space="preserve"> HYPERLINK "https://doi.org/10.1038/nature17995" </w:instrTex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separate"/>
      </w:r>
      <w:r>
        <w:rPr>
          <w:rStyle w:val="136"/>
          <w:rFonts w:ascii="Times New Roman" w:hAnsi="Times New Roman" w:eastAsia="宋体"/>
          <w:sz w:val="21"/>
          <w:szCs w:val="28"/>
        </w:rPr>
        <w:t>https://doi.org/10.1038/nature17995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end"/>
      </w:r>
      <w:r>
        <w:rPr>
          <w:rFonts w:ascii="Times New Roman" w:hAnsi="Times New Roman" w:eastAsia="宋体"/>
          <w:sz w:val="22"/>
          <w:szCs w:val="28"/>
        </w:rPr>
        <w:br w:type="textWrapping"/>
      </w:r>
      <w:r>
        <w:rPr>
          <w:rFonts w:ascii="Times New Roman" w:hAnsi="Times New Roman" w:eastAsia="宋体"/>
          <w:sz w:val="22"/>
          <w:szCs w:val="28"/>
        </w:rPr>
        <w:t xml:space="preserve">  GFP适应度景观经典研究</w:t>
      </w:r>
    </w:p>
    <w:p w14:paraId="514AB865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2"/>
          <w:szCs w:val="28"/>
        </w:rPr>
        <w:t>■ eLife Digest: Lighting up protein design</w:t>
      </w:r>
      <w:r>
        <w:rPr>
          <w:rFonts w:ascii="Times New Roman" w:hAnsi="Times New Roman" w:eastAsia="宋体"/>
          <w:color w:val="0050A0"/>
          <w:sz w:val="21"/>
          <w:szCs w:val="28"/>
        </w:rPr>
        <w:br w:type="textWrapping"/>
      </w:r>
      <w:r>
        <w:rPr>
          <w:rFonts w:ascii="Times New Roman" w:hAnsi="Times New Roman" w:eastAsia="宋体"/>
          <w:color w:val="0050A0"/>
          <w:sz w:val="21"/>
          <w:szCs w:val="28"/>
        </w:rPr>
        <w:t xml:space="preserve">  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begin"/>
      </w:r>
      <w:r>
        <w:rPr>
          <w:rFonts w:ascii="Times New Roman" w:hAnsi="Times New Roman" w:eastAsia="宋体"/>
          <w:color w:val="0050A0"/>
          <w:sz w:val="21"/>
          <w:szCs w:val="28"/>
        </w:rPr>
        <w:instrText xml:space="preserve"> HYPERLINK "https://elifesciences.org/articles/79310" </w:instrTex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separate"/>
      </w:r>
      <w:r>
        <w:rPr>
          <w:rStyle w:val="134"/>
          <w:rFonts w:ascii="Times New Roman" w:hAnsi="Times New Roman" w:eastAsia="宋体"/>
          <w:sz w:val="21"/>
          <w:szCs w:val="28"/>
        </w:rPr>
        <w:t>https://elifesciences.org/articles/79310</w:t>
      </w:r>
      <w:r>
        <w:rPr>
          <w:rFonts w:ascii="Times New Roman" w:hAnsi="Times New Roman" w:eastAsia="宋体"/>
          <w:color w:val="0050A0"/>
          <w:sz w:val="21"/>
          <w:szCs w:val="28"/>
        </w:rPr>
        <w:fldChar w:fldCharType="end"/>
      </w:r>
      <w:r>
        <w:rPr>
          <w:rFonts w:ascii="Times New Roman" w:hAnsi="Times New Roman" w:eastAsia="宋体"/>
          <w:sz w:val="22"/>
          <w:szCs w:val="28"/>
        </w:rPr>
        <w:br w:type="textWrapping"/>
      </w:r>
      <w:r>
        <w:rPr>
          <w:rFonts w:ascii="Times New Roman" w:hAnsi="Times New Roman" w:eastAsia="宋体"/>
          <w:sz w:val="22"/>
          <w:szCs w:val="28"/>
        </w:rPr>
        <w:t xml:space="preserve">  Gonzalez Somermeyer 2022研究的科普解读</w:t>
      </w:r>
    </w:p>
    <w:p w14:paraId="340F4D96">
      <w:pPr>
        <w:pStyle w:val="3"/>
        <w:rPr>
          <w:rFonts w:ascii="Times New Roman" w:hAnsi="Times New Roman" w:eastAsia="宋体"/>
          <w:sz w:val="36"/>
          <w:szCs w:val="36"/>
        </w:rPr>
      </w:pPr>
      <w:r>
        <w:rPr>
          <w:rFonts w:ascii="Times New Roman" w:hAnsi="Times New Roman" w:eastAsia="宋体"/>
          <w:color w:val="003366"/>
          <w:sz w:val="36"/>
          <w:szCs w:val="36"/>
        </w:rPr>
        <w:t>六、竞赛热稳定性设计策略总结</w:t>
      </w:r>
    </w:p>
    <w:p w14:paraId="5744F504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 w:val="0"/>
          <w:sz w:val="28"/>
          <w:szCs w:val="28"/>
        </w:rPr>
        <w:t>基于以上所有知识，以下是为合成生物学创新赛蛋白设计赛道推荐的热稳定性优化策略：</w:t>
      </w:r>
    </w:p>
    <w:p w14:paraId="03C1E947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8"/>
          <w:szCs w:val="28"/>
        </w:rPr>
        <w:t>策略A：保守优化路径（低风险）</w:t>
      </w:r>
    </w:p>
    <w:p w14:paraId="147282F6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以sfGFP为模板，保留其6个关键突变（S30R等）</w:t>
      </w:r>
    </w:p>
    <w:p w14:paraId="5A846011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在β-桶表面引入TGP风格的电荷优化（K/R→E替换）</w:t>
      </w:r>
    </w:p>
    <w:p w14:paraId="7FE098C2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引入H193Y（π-堆积）和Q66E（化学稳定性）增强发色团环境</w:t>
      </w:r>
    </w:p>
    <w:p w14:paraId="105973EF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使用FoldX/SPURS验证每个突变的ΔΔG，确保单独和累积稳定性</w:t>
      </w:r>
    </w:p>
    <w:p w14:paraId="7F04F8B4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最终突变数控制在8-12个以内（减少上位效应风险）</w:t>
      </w:r>
    </w:p>
    <w:p w14:paraId="4E47B7D4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8"/>
          <w:szCs w:val="28"/>
        </w:rPr>
        <w:t>策略B：数据驱动路径（中风险）</w:t>
      </w:r>
    </w:p>
    <w:p w14:paraId="6749FFC5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利用竞赛提供的GFP_data.xlsx训练数据训练ML亮度预测模型（如GLEAM式架构）</w:t>
      </w:r>
    </w:p>
    <w:p w14:paraId="3197D0D7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使用TemBERTure/SPURS为每条训练序列标注</w:t>
      </w:r>
      <w:r>
        <w:rPr>
          <w:rFonts w:ascii="Times New Roman" w:hAnsi="Times New Roman" w:eastAsia="宋体"/>
          <w:b/>
          <w:bCs/>
          <w:sz w:val="28"/>
          <w:szCs w:val="28"/>
        </w:rPr>
        <w:t>预测Tm/稳定性</w:t>
      </w:r>
    </w:p>
    <w:p w14:paraId="4F8FDF26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多目标优化：联合搜索高亮度+高稳定性的序列空间</w:t>
      </w:r>
    </w:p>
    <w:p w14:paraId="5C3DE122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使用交叉熵蒙特卡洛或贝叶斯优化处理上位效应</w:t>
      </w:r>
    </w:p>
    <w:p w14:paraId="28F9D8CD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最终通过AlphaFold2结构验证+Rosetta ddG确认</w:t>
      </w:r>
    </w:p>
    <w:p w14:paraId="4A23D50A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8"/>
          <w:szCs w:val="28"/>
        </w:rPr>
        <w:t>策略C：生成式设计路径（高风险·高回报）</w:t>
      </w:r>
    </w:p>
    <w:p w14:paraId="01DBE3B1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使用ESM3或GeoEvoBuilder在GFP结构条件下生成大量候选序列</w:t>
      </w:r>
    </w:p>
    <w:p w14:paraId="29D5FD01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使用ProteinMPNN+固定发色团约束生成序列变体</w:t>
      </w:r>
    </w:p>
    <w:p w14:paraId="2909F853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通过ColabFold+稳定性评分工具进行多轮迭代筛选</w:t>
      </w:r>
    </w:p>
    <w:p w14:paraId="1CA97802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可能发现超越现有GFP家族的全新功能序列</w:t>
      </w:r>
    </w:p>
    <w:p w14:paraId="2CA2C207">
      <w:pPr>
        <w:pStyle w:val="16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风险：生成序列的折叠和功能不确定性更高，需要更多验证</w:t>
      </w:r>
    </w:p>
    <w:p w14:paraId="56DB996F"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b/>
          <w:sz w:val="28"/>
          <w:szCs w:val="28"/>
        </w:rPr>
        <w:t>无论选择哪条路径，最终提交的6条序列应具有</w:t>
      </w:r>
      <w:r>
        <w:rPr>
          <w:rFonts w:ascii="Times New Roman" w:hAnsi="Times New Roman" w:eastAsia="宋体"/>
          <w:b/>
          <w:bCs w:val="0"/>
          <w:color w:val="C00000"/>
          <w:sz w:val="32"/>
          <w:szCs w:val="32"/>
          <w:highlight w:val="yellow"/>
        </w:rPr>
        <w:t>互补性</w:t>
      </w:r>
      <w:r>
        <w:rPr>
          <w:rFonts w:ascii="Times New Roman" w:hAnsi="Times New Roman" w:eastAsia="宋体"/>
          <w:b/>
          <w:sz w:val="28"/>
          <w:szCs w:val="28"/>
        </w:rPr>
        <w:t>——</w:t>
      </w:r>
      <w:r>
        <w:rPr>
          <w:rFonts w:ascii="Times New Roman" w:hAnsi="Times New Roman" w:eastAsia="宋体"/>
          <w:b/>
          <w:sz w:val="28"/>
          <w:szCs w:val="28"/>
          <w:highlight w:val="yellow"/>
        </w:rPr>
        <w:t>覆盖不同的突变策略和序列多样性</w:t>
      </w:r>
      <w:r>
        <w:rPr>
          <w:rFonts w:ascii="Times New Roman" w:hAnsi="Times New Roman" w:eastAsia="宋体"/>
          <w:b/>
          <w:sz w:val="28"/>
          <w:szCs w:val="28"/>
        </w:rPr>
        <w:t>——以最大化至少一条序列获得高分的概率。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C50B9"/>
    <w:multiLevelType w:val="singleLevel"/>
    <w:tmpl w:val="E5EC50B9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A0303"/>
    <w:rsid w:val="2C386BDF"/>
    <w:rsid w:val="4BCF5981"/>
    <w:rsid w:val="7BAB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1024</Words>
  <Characters>1791</Characters>
  <Lines>0</Lines>
  <Paragraphs>0</Paragraphs>
  <TotalTime>52</TotalTime>
  <ScaleCrop>false</ScaleCrop>
  <LinksUpToDate>false</LinksUpToDate>
  <CharactersWithSpaces>1857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仰望天空</cp:lastModifiedBy>
  <dcterms:modified xsi:type="dcterms:W3CDTF">2026-05-22T11:21:26Z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0BF67D17BD8F43D1A0FAAB4057DC034F_12</vt:lpwstr>
  </property>
</Properties>
</file>