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467E7">
      <w:pPr>
        <w:rPr>
          <w:rFonts w:ascii="Times New Roman" w:hAnsi="Times New Roman" w:eastAsia="宋体"/>
          <w:sz w:val="24"/>
          <w:szCs w:val="24"/>
        </w:rPr>
      </w:pPr>
    </w:p>
    <w:p w14:paraId="6590E399">
      <w:pPr>
        <w:jc w:val="center"/>
        <w:rPr>
          <w:rFonts w:ascii="Times New Roman" w:hAnsi="Times New Roman" w:eastAsia="宋体"/>
          <w:sz w:val="24"/>
          <w:szCs w:val="24"/>
        </w:rPr>
      </w:pPr>
      <w:r>
        <w:rPr>
          <w:rFonts w:ascii="Times New Roman" w:hAnsi="Times New Roman" w:eastAsia="宋体"/>
          <w:b/>
          <w:color w:val="003366"/>
          <w:sz w:val="48"/>
          <w:szCs w:val="24"/>
        </w:rPr>
        <w:t>绿色荧光蛋白（GFP）</w:t>
      </w:r>
      <w:r>
        <w:rPr>
          <w:rFonts w:ascii="Times New Roman" w:hAnsi="Times New Roman" w:eastAsia="宋体"/>
          <w:b/>
          <w:color w:val="003366"/>
          <w:sz w:val="48"/>
          <w:szCs w:val="24"/>
        </w:rPr>
        <w:br w:type="textWrapping"/>
      </w:r>
      <w:r>
        <w:rPr>
          <w:rFonts w:ascii="Times New Roman" w:hAnsi="Times New Roman" w:eastAsia="宋体"/>
          <w:b/>
          <w:color w:val="003366"/>
          <w:sz w:val="48"/>
          <w:szCs w:val="24"/>
        </w:rPr>
        <w:t>发光机制、荧光强度与热稳定性详解</w:t>
      </w:r>
    </w:p>
    <w:p w14:paraId="3EBF89C1">
      <w:pPr>
        <w:rPr>
          <w:rFonts w:ascii="Times New Roman" w:hAnsi="Times New Roman" w:eastAsia="宋体"/>
          <w:sz w:val="24"/>
          <w:szCs w:val="24"/>
        </w:rPr>
      </w:pPr>
    </w:p>
    <w:p w14:paraId="7B30AC01">
      <w:pPr>
        <w:jc w:val="center"/>
        <w:rPr>
          <w:rFonts w:ascii="Times New Roman" w:hAnsi="Times New Roman" w:eastAsia="宋体"/>
          <w:sz w:val="24"/>
          <w:szCs w:val="24"/>
        </w:rPr>
      </w:pPr>
      <w:r>
        <w:rPr>
          <w:rFonts w:ascii="Times New Roman" w:hAnsi="Times New Roman" w:eastAsia="宋体"/>
          <w:color w:val="005082"/>
          <w:sz w:val="32"/>
          <w:szCs w:val="24"/>
        </w:rPr>
        <w:t>——从分子机理到蛋白质工程应用</w:t>
      </w:r>
    </w:p>
    <w:p w14:paraId="488DD28F">
      <w:pPr>
        <w:rPr>
          <w:rFonts w:ascii="Times New Roman" w:hAnsi="Times New Roman" w:eastAsia="宋体"/>
          <w:sz w:val="24"/>
          <w:szCs w:val="24"/>
        </w:rPr>
      </w:pPr>
    </w:p>
    <w:p w14:paraId="49F939E4">
      <w:pPr>
        <w:jc w:val="center"/>
        <w:rPr>
          <w:rFonts w:ascii="Times New Roman" w:hAnsi="Times New Roman" w:eastAsia="宋体"/>
          <w:sz w:val="24"/>
          <w:szCs w:val="24"/>
        </w:rPr>
      </w:pPr>
      <w:r>
        <w:rPr>
          <w:rFonts w:ascii="Times New Roman" w:hAnsi="Times New Roman" w:eastAsia="宋体"/>
          <w:sz w:val="28"/>
          <w:szCs w:val="24"/>
        </w:rPr>
        <w:t>生成日期: 2026年05月13日</w:t>
      </w:r>
    </w:p>
    <w:p w14:paraId="324FC88D">
      <w:pPr>
        <w:rPr>
          <w:rFonts w:ascii="Times New Roman" w:hAnsi="Times New Roman" w:eastAsia="宋体"/>
          <w:sz w:val="24"/>
          <w:szCs w:val="24"/>
        </w:rPr>
      </w:pPr>
      <w:r>
        <w:rPr>
          <w:rFonts w:ascii="Times New Roman" w:hAnsi="Times New Roman" w:eastAsia="宋体"/>
          <w:sz w:val="24"/>
          <w:szCs w:val="24"/>
        </w:rPr>
        <w:br w:type="page"/>
      </w:r>
    </w:p>
    <w:p w14:paraId="41527B19">
      <w:pPr>
        <w:pStyle w:val="3"/>
        <w:spacing w:line="240" w:lineRule="auto"/>
        <w:rPr>
          <w:rFonts w:ascii="Times New Roman" w:hAnsi="Times New Roman" w:eastAsia="宋体"/>
          <w:sz w:val="32"/>
          <w:szCs w:val="32"/>
        </w:rPr>
      </w:pPr>
      <w:r>
        <w:rPr>
          <w:rFonts w:ascii="Times New Roman" w:hAnsi="Times New Roman" w:eastAsia="宋体"/>
          <w:color w:val="003366"/>
          <w:sz w:val="32"/>
          <w:szCs w:val="32"/>
        </w:rPr>
        <w:t>目录</w:t>
      </w:r>
    </w:p>
    <w:p w14:paraId="41F9713E">
      <w:pPr>
        <w:spacing w:line="240" w:lineRule="auto"/>
        <w:rPr>
          <w:rFonts w:ascii="Times New Roman" w:hAnsi="Times New Roman" w:eastAsia="宋体"/>
          <w:b/>
          <w:bCs/>
          <w:sz w:val="24"/>
          <w:szCs w:val="24"/>
        </w:rPr>
      </w:pPr>
      <w:r>
        <w:rPr>
          <w:rFonts w:ascii="Times New Roman" w:hAnsi="Times New Roman" w:eastAsia="宋体"/>
          <w:b/>
          <w:bCs/>
          <w:sz w:val="24"/>
          <w:szCs w:val="24"/>
        </w:rPr>
        <w:t>第一章  GFP为什么发光——荧光机制详解</w:t>
      </w:r>
    </w:p>
    <w:p w14:paraId="1DE42B02">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1.1 GFP的整体结构：β-桶包裹的发色团</w:t>
      </w:r>
    </w:p>
    <w:p w14:paraId="5DA9BE1B">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1.2 发色团的自催化成熟过程</w:t>
      </w:r>
    </w:p>
    <w:p w14:paraId="04ED8E87">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1.3 荧光光物理：吸收、发射和激发态质子转移</w:t>
      </w:r>
    </w:p>
    <w:p w14:paraId="133BCEE5">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1.4 发色团质子化状态与光谱性质</w:t>
      </w:r>
    </w:p>
    <w:p w14:paraId="160C64CE">
      <w:pPr>
        <w:spacing w:line="240" w:lineRule="auto"/>
        <w:rPr>
          <w:rFonts w:ascii="Times New Roman" w:hAnsi="Times New Roman" w:eastAsia="宋体"/>
          <w:b/>
          <w:bCs/>
          <w:sz w:val="24"/>
          <w:szCs w:val="24"/>
        </w:rPr>
      </w:pPr>
      <w:r>
        <w:rPr>
          <w:rFonts w:ascii="Times New Roman" w:hAnsi="Times New Roman" w:eastAsia="宋体"/>
          <w:b/>
          <w:bCs/>
          <w:sz w:val="24"/>
          <w:szCs w:val="24"/>
        </w:rPr>
        <w:t>第二章  影响GFP荧光强度的因素</w:t>
      </w:r>
    </w:p>
    <w:p w14:paraId="02E1FB85">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2.1 消光系数（ε）的决定因素</w:t>
      </w:r>
    </w:p>
    <w:p w14:paraId="4A29F5CF">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2.2 量子产率（Φ）的决定因素</w:t>
      </w:r>
    </w:p>
    <w:p w14:paraId="441C79DE">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2.3 发色团微环境的关键残基</w:t>
      </w:r>
    </w:p>
    <w:p w14:paraId="2DC0D42F">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2.4 pH依赖性与pKa</w:t>
      </w:r>
    </w:p>
    <w:p w14:paraId="44D572C5">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2.5 亮度-光稳定性权衡</w:t>
      </w:r>
    </w:p>
    <w:p w14:paraId="3AF0C17C">
      <w:pPr>
        <w:spacing w:line="240" w:lineRule="auto"/>
        <w:rPr>
          <w:rFonts w:ascii="Times New Roman" w:hAnsi="Times New Roman" w:eastAsia="宋体"/>
          <w:b/>
          <w:bCs/>
          <w:sz w:val="24"/>
          <w:szCs w:val="24"/>
        </w:rPr>
      </w:pPr>
      <w:r>
        <w:rPr>
          <w:rFonts w:ascii="Times New Roman" w:hAnsi="Times New Roman" w:eastAsia="宋体"/>
          <w:b/>
          <w:bCs/>
          <w:sz w:val="24"/>
          <w:szCs w:val="24"/>
        </w:rPr>
        <w:t>第三章  影响GFP热稳定性的因素</w:t>
      </w:r>
    </w:p>
    <w:p w14:paraId="1D298C14">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3.1 β-桶结构的稳定性</w:t>
      </w:r>
    </w:p>
    <w:p w14:paraId="21B6BA7C">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3.2 疏水核心的堆积</w:t>
      </w:r>
    </w:p>
    <w:p w14:paraId="28903EF4">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3.3 关键稳定突变及其机制</w:t>
      </w:r>
    </w:p>
    <w:p w14:paraId="288C5862">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3.4 表面电荷与溶解性</w:t>
      </w:r>
    </w:p>
    <w:p w14:paraId="2D1CCBAC">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3.5 折叠动力学</w:t>
      </w:r>
    </w:p>
    <w:p w14:paraId="208AC329">
      <w:pPr>
        <w:spacing w:line="240" w:lineRule="auto"/>
        <w:rPr>
          <w:rFonts w:ascii="Times New Roman" w:hAnsi="Times New Roman" w:eastAsia="宋体"/>
          <w:b/>
          <w:bCs/>
          <w:sz w:val="24"/>
          <w:szCs w:val="24"/>
        </w:rPr>
      </w:pPr>
      <w:r>
        <w:rPr>
          <w:rFonts w:ascii="Times New Roman" w:hAnsi="Times New Roman" w:eastAsia="宋体"/>
          <w:b/>
          <w:bCs/>
          <w:sz w:val="24"/>
          <w:szCs w:val="24"/>
        </w:rPr>
        <w:t>第四章  为什么要提高GFP的荧光强度和热稳定性</w:t>
      </w:r>
    </w:p>
    <w:p w14:paraId="7904F3CE">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4.1 超分辨显微成像的需求</w:t>
      </w:r>
    </w:p>
    <w:p w14:paraId="539C1112">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4.2 长时间活细胞成像</w:t>
      </w:r>
    </w:p>
    <w:p w14:paraId="68A4BCC2">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4.3 生物传感器开发</w:t>
      </w:r>
    </w:p>
    <w:p w14:paraId="66863668">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4.4 极端环境应用</w:t>
      </w:r>
    </w:p>
    <w:p w14:paraId="0618BB51">
      <w:pPr>
        <w:spacing w:line="240" w:lineRule="auto"/>
        <w:ind w:firstLine="720" w:firstLineChars="0"/>
        <w:rPr>
          <w:rFonts w:ascii="Times New Roman" w:hAnsi="Times New Roman" w:eastAsia="宋体"/>
          <w:sz w:val="24"/>
          <w:szCs w:val="24"/>
        </w:rPr>
      </w:pPr>
      <w:r>
        <w:rPr>
          <w:rFonts w:ascii="Times New Roman" w:hAnsi="Times New Roman" w:eastAsia="宋体"/>
          <w:b w:val="0"/>
          <w:sz w:val="24"/>
          <w:szCs w:val="24"/>
        </w:rPr>
        <w:t xml:space="preserve">  4.5 蛋白质工程与合成生物学</w:t>
      </w:r>
    </w:p>
    <w:p w14:paraId="3219DBD6">
      <w:pPr>
        <w:spacing w:line="240" w:lineRule="auto"/>
        <w:rPr>
          <w:rFonts w:ascii="Times New Roman" w:hAnsi="Times New Roman" w:eastAsia="宋体"/>
          <w:sz w:val="24"/>
          <w:szCs w:val="24"/>
        </w:rPr>
      </w:pPr>
      <w:r>
        <w:rPr>
          <w:rFonts w:ascii="Times New Roman" w:hAnsi="Times New Roman" w:eastAsia="宋体"/>
          <w:b w:val="0"/>
          <w:sz w:val="24"/>
          <w:szCs w:val="24"/>
        </w:rPr>
        <w:t>第五章  关键参考文献与PDB资源</w:t>
      </w:r>
    </w:p>
    <w:p w14:paraId="6BC8F32E">
      <w:pPr>
        <w:rPr>
          <w:rFonts w:ascii="Times New Roman" w:hAnsi="Times New Roman" w:eastAsia="宋体"/>
          <w:sz w:val="24"/>
          <w:szCs w:val="24"/>
        </w:rPr>
      </w:pPr>
      <w:r>
        <w:rPr>
          <w:rFonts w:ascii="Times New Roman" w:hAnsi="Times New Roman" w:eastAsia="宋体"/>
          <w:sz w:val="24"/>
          <w:szCs w:val="24"/>
        </w:rPr>
        <w:br w:type="page"/>
      </w:r>
    </w:p>
    <w:p w14:paraId="1892EC8E">
      <w:pPr>
        <w:pStyle w:val="3"/>
        <w:rPr>
          <w:rFonts w:ascii="Times New Roman" w:hAnsi="Times New Roman" w:eastAsia="宋体"/>
          <w:sz w:val="32"/>
          <w:szCs w:val="32"/>
        </w:rPr>
      </w:pPr>
      <w:r>
        <w:rPr>
          <w:rFonts w:ascii="Times New Roman" w:hAnsi="Times New Roman" w:eastAsia="宋体"/>
          <w:color w:val="003366"/>
          <w:sz w:val="32"/>
          <w:szCs w:val="32"/>
        </w:rPr>
        <w:t>第一章  GFP为什么发光——荧光机制详解</w:t>
      </w:r>
    </w:p>
    <w:p w14:paraId="4D5D4432">
      <w:pPr>
        <w:pStyle w:val="4"/>
        <w:rPr>
          <w:rFonts w:ascii="Times New Roman" w:hAnsi="Times New Roman" w:eastAsia="宋体"/>
          <w:sz w:val="28"/>
          <w:szCs w:val="28"/>
        </w:rPr>
      </w:pPr>
      <w:r>
        <w:rPr>
          <w:rFonts w:ascii="Times New Roman" w:hAnsi="Times New Roman" w:eastAsia="宋体"/>
          <w:color w:val="003366"/>
          <w:sz w:val="28"/>
          <w:szCs w:val="28"/>
        </w:rPr>
        <w:t>1.1 GFP的整体结构：β-桶包裹的发色团</w:t>
      </w:r>
    </w:p>
    <w:p w14:paraId="4CA4C669">
      <w:pPr>
        <w:rPr>
          <w:rFonts w:ascii="Times New Roman" w:hAnsi="Times New Roman" w:eastAsia="宋体"/>
          <w:sz w:val="24"/>
          <w:szCs w:val="24"/>
        </w:rPr>
      </w:pPr>
      <w:r>
        <w:rPr>
          <w:rFonts w:ascii="Times New Roman" w:hAnsi="Times New Roman" w:eastAsia="宋体"/>
          <w:b w:val="0"/>
          <w:sz w:val="24"/>
          <w:szCs w:val="24"/>
        </w:rPr>
        <w:t>绿色荧光蛋白（Green Fluorescent Protein, GFP）来源于水母Aequorea victoria，由238个氨基酸组成，分子量约27 kDa。其晶体结构最早由Yang等人（1996）和Ormö等人（1996）解析，揭示了一个极其精巧的蛋白质折叠——"β-罐"（β-can）结构。</w:t>
      </w:r>
    </w:p>
    <w:p w14:paraId="01DD334B">
      <w:pPr>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4911090" cy="62865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11090" cy="6286500"/>
                    </a:xfrm>
                    <a:prstGeom prst="rect">
                      <a:avLst/>
                    </a:prstGeom>
                  </pic:spPr>
                </pic:pic>
              </a:graphicData>
            </a:graphic>
          </wp:inline>
        </w:drawing>
      </w:r>
    </w:p>
    <w:p w14:paraId="27684DB5">
      <w:pPr>
        <w:jc w:val="center"/>
        <w:rPr>
          <w:rFonts w:ascii="Times New Roman" w:hAnsi="Times New Roman" w:eastAsia="宋体"/>
          <w:sz w:val="24"/>
          <w:szCs w:val="24"/>
        </w:rPr>
      </w:pPr>
      <w:r>
        <w:rPr>
          <w:rFonts w:ascii="Times New Roman" w:hAnsi="Times New Roman" w:eastAsia="宋体"/>
          <w:color w:val="646464"/>
          <w:sz w:val="20"/>
          <w:szCs w:val="24"/>
        </w:rPr>
        <w:t>图1: GFP整体结构示意图——11条β链围成的桶状结构包裹中心α螺旋和发色团</w:t>
      </w:r>
    </w:p>
    <w:p w14:paraId="6BF29713">
      <w:pPr>
        <w:rPr>
          <w:rFonts w:ascii="Times New Roman" w:hAnsi="Times New Roman" w:eastAsia="宋体"/>
          <w:sz w:val="24"/>
          <w:szCs w:val="24"/>
        </w:rPr>
      </w:pPr>
      <w:r>
        <w:rPr>
          <w:rFonts w:ascii="Times New Roman" w:hAnsi="Times New Roman" w:eastAsia="宋体"/>
          <w:b/>
          <w:sz w:val="24"/>
          <w:szCs w:val="24"/>
        </w:rPr>
        <w:t>GFP的核心结构特征包括：</w:t>
      </w:r>
    </w:p>
    <w:p w14:paraId="25EB3C30">
      <w:pPr>
        <w:pStyle w:val="16"/>
        <w:rPr>
          <w:rFonts w:ascii="Times New Roman" w:hAnsi="Times New Roman" w:eastAsia="宋体"/>
          <w:sz w:val="24"/>
          <w:szCs w:val="24"/>
        </w:rPr>
      </w:pPr>
      <w:r>
        <w:rPr>
          <w:rFonts w:ascii="Times New Roman" w:hAnsi="Times New Roman" w:eastAsia="宋体"/>
          <w:sz w:val="24"/>
          <w:szCs w:val="24"/>
        </w:rPr>
        <w:t>11条反平行β链围成近完美的圆柱形桶状结构（β-barrel），直径约24 Å，高度约42 Å</w:t>
      </w:r>
    </w:p>
    <w:p w14:paraId="5C8A8BF5">
      <w:pPr>
        <w:pStyle w:val="16"/>
        <w:rPr>
          <w:rFonts w:ascii="Times New Roman" w:hAnsi="Times New Roman" w:eastAsia="宋体"/>
          <w:sz w:val="24"/>
          <w:szCs w:val="24"/>
        </w:rPr>
      </w:pPr>
      <w:r>
        <w:rPr>
          <w:rFonts w:ascii="Times New Roman" w:hAnsi="Times New Roman" w:eastAsia="宋体"/>
          <w:sz w:val="24"/>
          <w:szCs w:val="24"/>
        </w:rPr>
        <w:t>一条短的α螺旋贯穿桶中心轴线，发色团附着在该螺旋中部</w:t>
      </w:r>
    </w:p>
    <w:p w14:paraId="5EE68A92">
      <w:pPr>
        <w:pStyle w:val="16"/>
        <w:rPr>
          <w:rFonts w:ascii="Times New Roman" w:hAnsi="Times New Roman" w:eastAsia="宋体"/>
          <w:sz w:val="24"/>
          <w:szCs w:val="24"/>
        </w:rPr>
      </w:pPr>
      <w:r>
        <w:rPr>
          <w:rFonts w:ascii="Times New Roman" w:hAnsi="Times New Roman" w:eastAsia="宋体"/>
          <w:sz w:val="24"/>
          <w:szCs w:val="24"/>
        </w:rPr>
        <w:t>发色团被深埋在β-桶内部，受到严密的溶剂屏蔽——这是GFP高量子产率的物理基础</w:t>
      </w:r>
    </w:p>
    <w:p w14:paraId="29E2F835">
      <w:pPr>
        <w:pStyle w:val="16"/>
        <w:rPr>
          <w:rFonts w:ascii="Times New Roman" w:hAnsi="Times New Roman" w:eastAsia="宋体"/>
          <w:sz w:val="24"/>
          <w:szCs w:val="24"/>
        </w:rPr>
      </w:pPr>
      <w:r>
        <w:rPr>
          <w:rFonts w:ascii="Times New Roman" w:hAnsi="Times New Roman" w:eastAsia="宋体"/>
          <w:sz w:val="24"/>
          <w:szCs w:val="24"/>
        </w:rPr>
        <w:t>桶的顶部由若干"盖残基"（lid residues，如Y145、H148、T203等）部分封闭，进一步保护发色团</w:t>
      </w:r>
    </w:p>
    <w:p w14:paraId="2DCCEDE2">
      <w:pPr>
        <w:pStyle w:val="16"/>
        <w:rPr>
          <w:rFonts w:ascii="Times New Roman" w:hAnsi="Times New Roman" w:eastAsia="宋体"/>
          <w:sz w:val="24"/>
          <w:szCs w:val="24"/>
        </w:rPr>
      </w:pPr>
      <w:r>
        <w:rPr>
          <w:rFonts w:ascii="Times New Roman" w:hAnsi="Times New Roman" w:eastAsia="宋体"/>
          <w:sz w:val="24"/>
          <w:szCs w:val="24"/>
        </w:rPr>
        <w:t>发色团完全通过自催化翻译后修饰形成——无需任何外源酶或辅因子，仅需分子氧（O₂）</w:t>
      </w:r>
    </w:p>
    <w:p w14:paraId="733F3256">
      <w:pPr>
        <w:pStyle w:val="16"/>
        <w:rPr>
          <w:rFonts w:ascii="Times New Roman" w:hAnsi="Times New Roman" w:eastAsia="宋体"/>
          <w:sz w:val="24"/>
          <w:szCs w:val="24"/>
        </w:rPr>
      </w:pPr>
      <w:r>
        <w:rPr>
          <w:rFonts w:ascii="Times New Roman" w:hAnsi="Times New Roman" w:eastAsia="宋体"/>
          <w:sz w:val="24"/>
          <w:szCs w:val="24"/>
        </w:rPr>
        <w:t>GFP在晶体中以二聚体形式存在（通过疏水和极性界面相互作用）</w:t>
      </w:r>
    </w:p>
    <w:p w14:paraId="76294B94">
      <w:pPr>
        <w:rPr>
          <w:rFonts w:ascii="Times New Roman" w:hAnsi="Times New Roman" w:eastAsia="宋体"/>
          <w:sz w:val="24"/>
          <w:szCs w:val="24"/>
        </w:rPr>
      </w:pPr>
      <w:r>
        <w:rPr>
          <w:rFonts w:ascii="Times New Roman" w:hAnsi="Times New Roman" w:eastAsia="宋体"/>
          <w:b w:val="0"/>
          <w:sz w:val="24"/>
          <w:szCs w:val="24"/>
        </w:rPr>
        <w:t>关键PDB结构：1GFL（野生型GFP, 1.9 Å）、2B3P/2B3Q（超折叠sfGFP）、1EMA（EGFP, S65T/F64L）、8q79（mBaoJin, 单体超高光稳定性GFP）。</w:t>
      </w:r>
    </w:p>
    <w:p w14:paraId="673C0239">
      <w:pPr>
        <w:pStyle w:val="4"/>
        <w:rPr>
          <w:rFonts w:ascii="Times New Roman" w:hAnsi="Times New Roman" w:eastAsia="宋体"/>
          <w:sz w:val="28"/>
          <w:szCs w:val="28"/>
        </w:rPr>
      </w:pPr>
      <w:r>
        <w:rPr>
          <w:rFonts w:ascii="Times New Roman" w:hAnsi="Times New Roman" w:eastAsia="宋体"/>
          <w:color w:val="003366"/>
          <w:sz w:val="28"/>
          <w:szCs w:val="28"/>
        </w:rPr>
        <w:t>1.2 发色团的自催化成熟过程</w:t>
      </w:r>
    </w:p>
    <w:p w14:paraId="13976DFA">
      <w:pPr>
        <w:rPr>
          <w:rFonts w:ascii="Times New Roman" w:hAnsi="Times New Roman" w:eastAsia="宋体"/>
          <w:sz w:val="24"/>
          <w:szCs w:val="24"/>
        </w:rPr>
      </w:pPr>
      <w:r>
        <w:rPr>
          <w:rFonts w:ascii="Times New Roman" w:hAnsi="Times New Roman" w:eastAsia="宋体"/>
          <w:b w:val="0"/>
          <w:sz w:val="24"/>
          <w:szCs w:val="24"/>
        </w:rPr>
        <w:t>GFP最令人惊叹的特征是其发色团完全由蛋白质自身的三个连续残基通过自催化反应形成。这是一个不需要任何外源酶或辅因子的翻译后修饰过程，唯一需要的外源小分子是分子氧（O₂）。</w:t>
      </w:r>
    </w:p>
    <w:p w14:paraId="2D544BDC">
      <w:pPr>
        <w:rPr>
          <w:rFonts w:ascii="Times New Roman" w:hAnsi="Times New Roman" w:eastAsia="宋体"/>
          <w:sz w:val="24"/>
          <w:szCs w:val="24"/>
        </w:rPr>
      </w:pPr>
      <w:r>
        <w:rPr>
          <w:rFonts w:ascii="Times New Roman" w:hAnsi="Times New Roman" w:eastAsia="宋体"/>
          <w:b/>
          <w:sz w:val="24"/>
          <w:szCs w:val="24"/>
        </w:rPr>
        <w:t>发色团形成涉及三个连续氨基酸：</w:t>
      </w:r>
    </w:p>
    <w:p w14:paraId="159F0309">
      <w:pPr>
        <w:rPr>
          <w:rFonts w:ascii="Times New Roman" w:hAnsi="Times New Roman" w:eastAsia="宋体"/>
          <w:sz w:val="24"/>
          <w:szCs w:val="24"/>
        </w:rPr>
      </w:pPr>
      <w:r>
        <w:rPr>
          <w:rFonts w:ascii="Times New Roman" w:hAnsi="Times New Roman" w:eastAsia="宋体"/>
          <w:b w:val="0"/>
          <w:sz w:val="24"/>
          <w:szCs w:val="24"/>
        </w:rPr>
        <w:t>Ser65–Tyr66–Gly67（在EGFP中为Thr65–Tyr66–Gly67）— 即经典的XZG基序（X=可变，Z=芳香族，G=甘氨酸）</w:t>
      </w:r>
    </w:p>
    <w:p w14:paraId="77F62B3C">
      <w:pPr>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6466205" cy="1928495"/>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466205" cy="1928495"/>
                    </a:xfrm>
                    <a:prstGeom prst="rect">
                      <a:avLst/>
                    </a:prstGeom>
                  </pic:spPr>
                </pic:pic>
              </a:graphicData>
            </a:graphic>
          </wp:inline>
        </w:drawing>
      </w:r>
    </w:p>
    <w:p w14:paraId="484677FA">
      <w:pPr>
        <w:jc w:val="center"/>
        <w:rPr>
          <w:rFonts w:ascii="Times New Roman" w:hAnsi="Times New Roman" w:eastAsia="宋体"/>
          <w:sz w:val="24"/>
          <w:szCs w:val="24"/>
        </w:rPr>
      </w:pPr>
      <w:r>
        <w:rPr>
          <w:rFonts w:ascii="Times New Roman" w:hAnsi="Times New Roman" w:eastAsia="宋体"/>
          <w:color w:val="646464"/>
          <w:sz w:val="20"/>
          <w:szCs w:val="24"/>
        </w:rPr>
        <w:t>图2: GFP发色团自催化成熟过程——环化→脱水→氧化的三步反应</w:t>
      </w:r>
    </w:p>
    <w:p w14:paraId="47AD50A7">
      <w:pPr>
        <w:rPr>
          <w:rFonts w:ascii="Times New Roman" w:hAnsi="Times New Roman" w:eastAsia="宋体"/>
          <w:sz w:val="24"/>
          <w:szCs w:val="24"/>
        </w:rPr>
      </w:pPr>
      <w:r>
        <w:rPr>
          <w:rFonts w:ascii="Times New Roman" w:hAnsi="Times New Roman" w:eastAsia="宋体"/>
          <w:b/>
          <w:sz w:val="24"/>
          <w:szCs w:val="24"/>
        </w:rPr>
        <w:t>成熟过程包含三个关键化学步骤：</w:t>
      </w:r>
    </w:p>
    <w:p w14:paraId="65FDF989">
      <w:pPr>
        <w:rPr>
          <w:rFonts w:ascii="Times New Roman" w:hAnsi="Times New Roman" w:eastAsia="宋体"/>
          <w:sz w:val="24"/>
          <w:szCs w:val="24"/>
        </w:rPr>
      </w:pPr>
      <w:r>
        <w:rPr>
          <w:rFonts w:ascii="Times New Roman" w:hAnsi="Times New Roman" w:eastAsia="宋体"/>
          <w:b/>
          <w:sz w:val="24"/>
          <w:szCs w:val="24"/>
        </w:rPr>
        <w:t>步骤1 — 环化（Cyclization, t₁/₂ ~1.5 min）：</w:t>
      </w:r>
    </w:p>
    <w:p w14:paraId="3DF6FAD2">
      <w:pPr>
        <w:rPr>
          <w:rFonts w:ascii="Times New Roman" w:hAnsi="Times New Roman" w:eastAsia="宋体"/>
          <w:sz w:val="24"/>
          <w:szCs w:val="24"/>
        </w:rPr>
      </w:pPr>
      <w:r>
        <w:rPr>
          <w:rFonts w:ascii="Times New Roman" w:hAnsi="Times New Roman" w:eastAsia="宋体"/>
          <w:b w:val="0"/>
          <w:sz w:val="24"/>
          <w:szCs w:val="24"/>
        </w:rPr>
        <w:t>蛋白质折叠后，中心螺旋在Gly67附近产生约80°的弯折（kink），这使得Ser65的羰基碳（C=O）与Gly67的酰胺氮（NH₂）在空间上靠近。Arg96的正电荷通过静电效应稳定螺旋弯折，并增强Gly67酰胺氮的亲核性。Gly67的酰胺氮（蛋白质骨架中最佳的亲核位点，因其空间位阻最小）对Ser65的羰基碳进行亲核攻击，形成共价C–N键，产生五元咪唑啉酮（imidazolidinone）杂环。该环化在酸性变性条件下可逆。R96A突变使成熟速度从分钟级减慢到月级。</w:t>
      </w:r>
    </w:p>
    <w:p w14:paraId="1C6C4026">
      <w:pPr>
        <w:rPr>
          <w:rFonts w:ascii="Times New Roman" w:hAnsi="Times New Roman" w:eastAsia="宋体"/>
          <w:sz w:val="24"/>
          <w:szCs w:val="24"/>
        </w:rPr>
      </w:pPr>
      <w:r>
        <w:rPr>
          <w:rFonts w:ascii="Times New Roman" w:hAnsi="Times New Roman" w:eastAsia="宋体"/>
          <w:b/>
          <w:sz w:val="24"/>
          <w:szCs w:val="24"/>
        </w:rPr>
        <w:t>步骤2 — 脱水（Dehydration, t₁/₂ ~10.6 min）：</w:t>
      </w:r>
    </w:p>
    <w:p w14:paraId="78DBEF75">
      <w:pPr>
        <w:rPr>
          <w:rFonts w:ascii="Times New Roman" w:hAnsi="Times New Roman" w:eastAsia="宋体"/>
          <w:sz w:val="24"/>
          <w:szCs w:val="24"/>
        </w:rPr>
      </w:pPr>
      <w:r>
        <w:rPr>
          <w:rFonts w:ascii="Times New Roman" w:hAnsi="Times New Roman" w:eastAsia="宋体"/>
          <w:b w:val="0"/>
          <w:sz w:val="24"/>
          <w:szCs w:val="24"/>
        </w:rPr>
        <w:t>Ser65的羰基氧以水分子形式消除（–H₂O）。Arg96使Tyr66的Cα质子酸性增强（活化），Glu222稳定脱水过渡态。活性位点内的保守水分子W1辅助质子转移。计算化学（Grigorenko, Krylov, Nemukhin, JACS 2017）估算脱水能垒约17 kcal/mol。脱水后形成共轭咪唑酮环中间体——烯醇式中间体（enolate intermediate）。Getzoff研究组在厌氧条件下用连二亚硫酸钠还原GFP，成功捕获并解析了该中间体的晶体结构（PDB: 2FZU）。</w:t>
      </w:r>
    </w:p>
    <w:p w14:paraId="3AE10022">
      <w:pPr>
        <w:rPr>
          <w:rFonts w:ascii="Times New Roman" w:hAnsi="Times New Roman" w:eastAsia="宋体"/>
          <w:sz w:val="24"/>
          <w:szCs w:val="24"/>
        </w:rPr>
      </w:pPr>
      <w:r>
        <w:rPr>
          <w:rFonts w:ascii="Times New Roman" w:hAnsi="Times New Roman" w:eastAsia="宋体"/>
          <w:b/>
          <w:sz w:val="24"/>
          <w:szCs w:val="24"/>
        </w:rPr>
        <w:t>步骤3 — 氧化（Oxidation, t₁/₂ ~34 min, 限速步骤）：</w:t>
      </w:r>
    </w:p>
    <w:p w14:paraId="6F2A1B8B">
      <w:pPr>
        <w:rPr>
          <w:rFonts w:ascii="Times New Roman" w:hAnsi="Times New Roman" w:eastAsia="宋体"/>
          <w:sz w:val="24"/>
          <w:szCs w:val="24"/>
        </w:rPr>
      </w:pPr>
      <w:r>
        <w:rPr>
          <w:rFonts w:ascii="Times New Roman" w:hAnsi="Times New Roman" w:eastAsia="宋体"/>
          <w:b w:val="0"/>
          <w:sz w:val="24"/>
          <w:szCs w:val="24"/>
        </w:rPr>
        <w:t>分子氧（O₂）氧化Tyr66的Cα–Cβ键，将其从单键转变为双键（外亚甲基桥，exo-methylene bridge）。该步骤创造完整的共轭π体系——连接咪唑酮环与Tyr66酚环，使分子能够在可见光区吸收。自由基机理被提出：烯醇中间体向O₂发生单电子转移 → 自由基中间体 → 消除H₂O₂ → 形成双键。Glu222的质子化状态（中性vs阴离子）控制氧化与裂解途径之间的分配。反应消耗O₂并产生H₂O₂作为副产物（1:1化学计量比，Wachter等人验证）。E222Q突变显著减缓质子转移步骤。</w:t>
      </w:r>
    </w:p>
    <w:p w14:paraId="2CA4EACD">
      <w:pPr>
        <w:rPr>
          <w:rFonts w:ascii="Times New Roman" w:hAnsi="Times New Roman" w:eastAsia="宋体"/>
          <w:sz w:val="24"/>
          <w:szCs w:val="24"/>
        </w:rPr>
      </w:pPr>
      <w:r>
        <w:rPr>
          <w:rFonts w:ascii="Times New Roman" w:hAnsi="Times New Roman" w:eastAsia="宋体"/>
          <w:b/>
          <w:sz w:val="24"/>
          <w:szCs w:val="24"/>
        </w:rPr>
        <w:t>两种机制模型的讨论：</w:t>
      </w:r>
    </w:p>
    <w:p w14:paraId="4269598C">
      <w:pPr>
        <w:rPr>
          <w:rFonts w:ascii="Times New Roman" w:hAnsi="Times New Roman" w:eastAsia="宋体"/>
          <w:sz w:val="24"/>
          <w:szCs w:val="24"/>
        </w:rPr>
      </w:pPr>
      <w:r>
        <w:rPr>
          <w:rFonts w:ascii="Times New Roman" w:hAnsi="Times New Roman" w:eastAsia="宋体"/>
          <w:b w:val="0"/>
          <w:sz w:val="24"/>
          <w:szCs w:val="24"/>
        </w:rPr>
        <w:t>关于三个步骤的确切顺序，学术界长期存在"Getzoff路径"（环化→脱水→氧化）与"Wachter路径"（环化→氧化→脱水）的争论。2017年Grigorenko等人的完整QM/MM计算支持Getzoff路径，但当前共识倾向于两种路径都可能发生，优势路径取决于具体条件（O₂浓度、突变、蛋白质环境）。</w:t>
      </w:r>
    </w:p>
    <w:p w14:paraId="747E7E04">
      <w:pPr>
        <w:rPr>
          <w:rFonts w:ascii="Times New Roman" w:hAnsi="Times New Roman" w:eastAsia="宋体"/>
          <w:sz w:val="24"/>
          <w:szCs w:val="24"/>
        </w:rPr>
      </w:pPr>
      <w:r>
        <w:rPr>
          <w:rFonts w:ascii="Times New Roman" w:hAnsi="Times New Roman" w:eastAsia="宋体"/>
          <w:b/>
          <w:sz w:val="24"/>
          <w:szCs w:val="24"/>
        </w:rPr>
        <w:t>关键催化残基总结：</w:t>
      </w:r>
    </w:p>
    <w:p w14:paraId="61D44100">
      <w:pPr>
        <w:rPr>
          <w:rFonts w:ascii="Times New Roman" w:hAnsi="Times New Roman" w:eastAsia="宋体"/>
          <w:sz w:val="24"/>
          <w:szCs w:val="24"/>
        </w:rPr>
      </w:pPr>
      <w:r>
        <w:rPr>
          <w:rFonts w:ascii="Times New Roman" w:hAnsi="Times New Roman" w:eastAsia="宋体"/>
          <w:b w:val="0"/>
          <w:sz w:val="24"/>
          <w:szCs w:val="24"/>
        </w:rPr>
        <w:t>• Tyr66 — 提供酚环；其Cα–Cβ键被氧化形成π共轭体系</w:t>
      </w:r>
      <w:r>
        <w:rPr>
          <w:rFonts w:ascii="Times New Roman" w:hAnsi="Times New Roman" w:eastAsia="宋体"/>
          <w:b w:val="0"/>
          <w:sz w:val="24"/>
          <w:szCs w:val="24"/>
        </w:rPr>
        <w:br w:type="textWrapping"/>
      </w:r>
      <w:r>
        <w:rPr>
          <w:rFonts w:ascii="Times New Roman" w:hAnsi="Times New Roman" w:eastAsia="宋体"/>
          <w:b w:val="0"/>
          <w:sz w:val="24"/>
          <w:szCs w:val="24"/>
        </w:rPr>
        <w:t>• Gly67 — 酰胺氮作为亲核体攻击Ser65羰基碳</w:t>
      </w:r>
      <w:r>
        <w:rPr>
          <w:rFonts w:ascii="Times New Roman" w:hAnsi="Times New Roman" w:eastAsia="宋体"/>
          <w:b w:val="0"/>
          <w:sz w:val="24"/>
          <w:szCs w:val="24"/>
        </w:rPr>
        <w:br w:type="textWrapping"/>
      </w:r>
      <w:r>
        <w:rPr>
          <w:rFonts w:ascii="Times New Roman" w:hAnsi="Times New Roman" w:eastAsia="宋体"/>
          <w:b w:val="0"/>
          <w:sz w:val="24"/>
          <w:szCs w:val="24"/>
        </w:rPr>
        <w:t>• Arg96 — 正电荷稳定螺旋弯折、增强Gly67亲核性、稳定烯醇中间体</w:t>
      </w:r>
      <w:r>
        <w:rPr>
          <w:rFonts w:ascii="Times New Roman" w:hAnsi="Times New Roman" w:eastAsia="宋体"/>
          <w:b w:val="0"/>
          <w:sz w:val="24"/>
          <w:szCs w:val="24"/>
        </w:rPr>
        <w:br w:type="textWrapping"/>
      </w:r>
      <w:r>
        <w:rPr>
          <w:rFonts w:ascii="Times New Roman" w:hAnsi="Times New Roman" w:eastAsia="宋体"/>
          <w:b w:val="0"/>
          <w:sz w:val="24"/>
          <w:szCs w:val="24"/>
        </w:rPr>
        <w:t>• Glu222 — 作为广义碱进行质子抽取、控制氧化vs裂解途径分支</w:t>
      </w:r>
    </w:p>
    <w:p w14:paraId="08732C1F">
      <w:pPr>
        <w:pStyle w:val="4"/>
        <w:rPr>
          <w:rFonts w:ascii="Times New Roman" w:hAnsi="Times New Roman" w:eastAsia="宋体"/>
          <w:sz w:val="28"/>
          <w:szCs w:val="28"/>
        </w:rPr>
      </w:pPr>
      <w:r>
        <w:rPr>
          <w:rFonts w:ascii="Times New Roman" w:hAnsi="Times New Roman" w:eastAsia="宋体"/>
          <w:color w:val="003366"/>
          <w:sz w:val="28"/>
          <w:szCs w:val="28"/>
        </w:rPr>
        <w:t>1.3 荧光光物理：吸收、发射和激发态质子转移 (ESPT)</w:t>
      </w:r>
    </w:p>
    <w:p w14:paraId="55360353">
      <w:pPr>
        <w:rPr>
          <w:rFonts w:ascii="Times New Roman" w:hAnsi="Times New Roman" w:eastAsia="宋体"/>
          <w:sz w:val="24"/>
          <w:szCs w:val="24"/>
        </w:rPr>
      </w:pPr>
      <w:r>
        <w:rPr>
          <w:rFonts w:ascii="Times New Roman" w:hAnsi="Times New Roman" w:eastAsia="宋体"/>
          <w:b w:val="0"/>
          <w:sz w:val="24"/>
          <w:szCs w:val="24"/>
        </w:rPr>
        <w:t>一旦成熟的发色团（4-(p-羟基苯亚甲基)-5-咪唑啉酮，即p-HBDI）形成，GFP即具备荧光活性。其光物理过程涉及多个独特的机制。</w:t>
      </w:r>
    </w:p>
    <w:p w14:paraId="0E4FC90F">
      <w:pPr>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6548755" cy="287274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548755" cy="2872740"/>
                    </a:xfrm>
                    <a:prstGeom prst="rect">
                      <a:avLst/>
                    </a:prstGeom>
                  </pic:spPr>
                </pic:pic>
              </a:graphicData>
            </a:graphic>
          </wp:inline>
        </w:drawing>
      </w:r>
    </w:p>
    <w:p w14:paraId="1D68468A">
      <w:pPr>
        <w:jc w:val="center"/>
        <w:rPr>
          <w:rFonts w:ascii="Times New Roman" w:hAnsi="Times New Roman" w:eastAsia="宋体"/>
          <w:sz w:val="24"/>
          <w:szCs w:val="24"/>
        </w:rPr>
      </w:pPr>
      <w:r>
        <w:rPr>
          <w:rFonts w:ascii="Times New Roman" w:hAnsi="Times New Roman" w:eastAsia="宋体"/>
          <w:color w:val="646464"/>
          <w:sz w:val="20"/>
          <w:szCs w:val="24"/>
        </w:rPr>
        <w:t>图3: 激发态质子转移（ESPT）机理——基态的质子化-去质子化平衡与激发态的超快质子传递</w:t>
      </w:r>
    </w:p>
    <w:p w14:paraId="7B832881">
      <w:pPr>
        <w:rPr>
          <w:rFonts w:ascii="Times New Roman" w:hAnsi="Times New Roman" w:eastAsia="宋体"/>
          <w:sz w:val="24"/>
          <w:szCs w:val="24"/>
        </w:rPr>
      </w:pPr>
      <w:r>
        <w:rPr>
          <w:rFonts w:ascii="Times New Roman" w:hAnsi="Times New Roman" w:eastAsia="宋体"/>
          <w:b/>
          <w:sz w:val="24"/>
          <w:szCs w:val="24"/>
        </w:rPr>
        <w:t>发色团的两种基态形式：</w:t>
      </w:r>
    </w:p>
    <w:p w14:paraId="44414443">
      <w:pPr>
        <w:rPr>
          <w:rFonts w:ascii="Times New Roman" w:hAnsi="Times New Roman" w:eastAsia="宋体"/>
          <w:sz w:val="24"/>
          <w:szCs w:val="24"/>
        </w:rPr>
      </w:pPr>
      <w:r>
        <w:rPr>
          <w:rFonts w:ascii="Times New Roman" w:hAnsi="Times New Roman" w:eastAsia="宋体"/>
          <w:b w:val="0"/>
          <w:sz w:val="24"/>
          <w:szCs w:val="24"/>
        </w:rPr>
        <w:t>• A态（中性形式）：酚羟基质子化（Cro-OH），吸收峰在~395–400 nm（近紫外），发出弱蓝色荧光（~460 nm）</w:t>
      </w:r>
      <w:r>
        <w:rPr>
          <w:rFonts w:ascii="Times New Roman" w:hAnsi="Times New Roman" w:eastAsia="宋体"/>
          <w:b w:val="0"/>
          <w:sz w:val="24"/>
          <w:szCs w:val="24"/>
        </w:rPr>
        <w:br w:type="textWrapping"/>
      </w:r>
      <w:r>
        <w:rPr>
          <w:rFonts w:ascii="Times New Roman" w:hAnsi="Times New Roman" w:eastAsia="宋体"/>
          <w:b w:val="0"/>
          <w:sz w:val="24"/>
          <w:szCs w:val="24"/>
        </w:rPr>
        <w:t>• B态（阴离子形式）：酚羟基去质子化（Cro-O⁻），吸收峰在~475–490 nm（蓝光），发出明亮的绿色荧光（~508–510 nm）</w:t>
      </w:r>
      <w:r>
        <w:rPr>
          <w:rFonts w:ascii="Times New Roman" w:hAnsi="Times New Roman" w:eastAsia="宋体"/>
          <w:b w:val="0"/>
          <w:sz w:val="24"/>
          <w:szCs w:val="24"/>
        </w:rPr>
        <w:br w:type="textWrapping"/>
      </w:r>
      <w:r>
        <w:rPr>
          <w:rFonts w:ascii="Times New Roman" w:hAnsi="Times New Roman" w:eastAsia="宋体"/>
          <w:b w:val="0"/>
          <w:sz w:val="24"/>
          <w:szCs w:val="24"/>
        </w:rPr>
        <w:t>• 两种形式在基态处于动态平衡，比例由蛋白质微环境的pKa和溶液pH决定</w:t>
      </w:r>
    </w:p>
    <w:p w14:paraId="697D2E41">
      <w:pPr>
        <w:rPr>
          <w:rFonts w:ascii="Times New Roman" w:hAnsi="Times New Roman" w:eastAsia="宋体"/>
          <w:sz w:val="24"/>
          <w:szCs w:val="24"/>
        </w:rPr>
      </w:pPr>
      <w:r>
        <w:rPr>
          <w:rFonts w:ascii="Times New Roman" w:hAnsi="Times New Roman" w:eastAsia="宋体"/>
          <w:b/>
          <w:sz w:val="24"/>
          <w:szCs w:val="24"/>
        </w:rPr>
        <w:t>激发态质子转移（ESPT）——GFP的独特光物理特征：</w:t>
      </w:r>
    </w:p>
    <w:p w14:paraId="1B0F5F57">
      <w:pPr>
        <w:rPr>
          <w:rFonts w:ascii="Times New Roman" w:hAnsi="Times New Roman" w:eastAsia="宋体"/>
          <w:sz w:val="24"/>
          <w:szCs w:val="24"/>
        </w:rPr>
      </w:pPr>
      <w:r>
        <w:rPr>
          <w:rFonts w:ascii="Times New Roman" w:hAnsi="Times New Roman" w:eastAsia="宋体"/>
          <w:b w:val="0"/>
          <w:sz w:val="24"/>
          <w:szCs w:val="24"/>
        </w:rPr>
        <w:t>当A态（中性）发色团吸收一个光子（~395 nm）后，激发态的发色团pKa急剧下降（从~7降至~3），变成一个"光酸"（photoacid）。在皮秒级时间尺度上，酚羟基上的质子通过一条精密的"质子线"（proton wire）传递至蛋白质内部：</w:t>
      </w:r>
      <w:r>
        <w:rPr>
          <w:rFonts w:ascii="Times New Roman" w:hAnsi="Times New Roman" w:eastAsia="宋体"/>
          <w:b w:val="0"/>
          <w:sz w:val="24"/>
          <w:szCs w:val="24"/>
        </w:rPr>
        <w:br w:type="textWrapping"/>
      </w:r>
      <w:r>
        <w:rPr>
          <w:rFonts w:ascii="Times New Roman" w:hAnsi="Times New Roman" w:eastAsia="宋体"/>
          <w:b w:val="0"/>
          <w:sz w:val="24"/>
          <w:szCs w:val="24"/>
        </w:rPr>
        <w:br w:type="textWrapping"/>
      </w:r>
      <w:r>
        <w:rPr>
          <w:rFonts w:ascii="Times New Roman" w:hAnsi="Times New Roman" w:eastAsia="宋体"/>
          <w:b w:val="0"/>
          <w:sz w:val="24"/>
          <w:szCs w:val="24"/>
        </w:rPr>
        <w:t xml:space="preserve">    发色团-OH* → 水分子(Wat) → Ser205 → Glu222</w:t>
      </w:r>
      <w:r>
        <w:rPr>
          <w:rFonts w:ascii="Times New Roman" w:hAnsi="Times New Roman" w:eastAsia="宋体"/>
          <w:b w:val="0"/>
          <w:sz w:val="24"/>
          <w:szCs w:val="24"/>
        </w:rPr>
        <w:br w:type="textWrapping"/>
      </w:r>
      <w:r>
        <w:rPr>
          <w:rFonts w:ascii="Times New Roman" w:hAnsi="Times New Roman" w:eastAsia="宋体"/>
          <w:b w:val="0"/>
          <w:sz w:val="24"/>
          <w:szCs w:val="24"/>
        </w:rPr>
        <w:br w:type="textWrapping"/>
      </w:r>
      <w:r>
        <w:rPr>
          <w:rFonts w:ascii="Times New Roman" w:hAnsi="Times New Roman" w:eastAsia="宋体"/>
          <w:b w:val="0"/>
          <w:sz w:val="24"/>
          <w:szCs w:val="24"/>
        </w:rPr>
        <w:t>质子传递后产生的激发态阴离子中间体I*发出绿色荧光（~508 nm）。随后在基态发生反向质子传递（Glu222 → Ser205 → Wat → 发色团-O⁻），再生中性基态A态。这一过程解释了野生型GFP看似巨大的表观Stokes位移（~100 nm），实际上发射来自阴离子物种。</w:t>
      </w:r>
    </w:p>
    <w:p w14:paraId="1B65DC3F">
      <w:pPr>
        <w:rPr>
          <w:rFonts w:ascii="Times New Roman" w:hAnsi="Times New Roman" w:eastAsia="宋体"/>
          <w:sz w:val="24"/>
          <w:szCs w:val="24"/>
        </w:rPr>
      </w:pPr>
      <w:r>
        <w:rPr>
          <w:rFonts w:ascii="Times New Roman" w:hAnsi="Times New Roman" w:eastAsia="宋体"/>
          <w:b/>
          <w:sz w:val="24"/>
          <w:szCs w:val="24"/>
        </w:rPr>
        <w:t>S205V突变的关键发现：</w:t>
      </w:r>
    </w:p>
    <w:p w14:paraId="022944D1">
      <w:pPr>
        <w:rPr>
          <w:rFonts w:ascii="Times New Roman" w:hAnsi="Times New Roman" w:eastAsia="宋体"/>
          <w:sz w:val="24"/>
          <w:szCs w:val="24"/>
        </w:rPr>
      </w:pPr>
      <w:r>
        <w:rPr>
          <w:rFonts w:ascii="Times New Roman" w:hAnsi="Times New Roman" w:eastAsia="宋体"/>
          <w:b w:val="0"/>
          <w:sz w:val="24"/>
          <w:szCs w:val="24"/>
        </w:rPr>
        <w:t>Ser205→Val突变并未消除绿色荧光（仅使ESPT减慢约30倍），而S205V/T203V双突变完全消除ESPT，仅发出蓝色荧光。这揭示了质子线具有适应性——蛋白质可通过E222和T203的重排形成替代H-bond通路绕过缺失的Ser205。</w:t>
      </w:r>
    </w:p>
    <w:p w14:paraId="24358BAA">
      <w:pPr>
        <w:rPr>
          <w:rFonts w:ascii="Times New Roman" w:hAnsi="Times New Roman" w:eastAsia="宋体"/>
          <w:sz w:val="24"/>
          <w:szCs w:val="24"/>
        </w:rPr>
      </w:pPr>
      <w:r>
        <w:rPr>
          <w:rFonts w:ascii="Times New Roman" w:hAnsi="Times New Roman" w:eastAsia="宋体"/>
          <w:b/>
          <w:sz w:val="24"/>
          <w:szCs w:val="24"/>
        </w:rPr>
        <w:t>发色团的平面性与量子产率：</w:t>
      </w:r>
    </w:p>
    <w:p w14:paraId="04A198C5">
      <w:pPr>
        <w:rPr>
          <w:rFonts w:ascii="Times New Roman" w:hAnsi="Times New Roman" w:eastAsia="宋体"/>
          <w:sz w:val="24"/>
          <w:szCs w:val="24"/>
        </w:rPr>
      </w:pPr>
      <w:r>
        <w:rPr>
          <w:rFonts w:ascii="Times New Roman" w:hAnsi="Times New Roman" w:eastAsia="宋体"/>
          <w:b w:val="0"/>
          <w:sz w:val="24"/>
          <w:szCs w:val="24"/>
        </w:rPr>
        <w:t>β-桶结构迫使发色团维持刚性平面构象：</w:t>
      </w:r>
      <w:r>
        <w:rPr>
          <w:rFonts w:ascii="Times New Roman" w:hAnsi="Times New Roman" w:eastAsia="宋体"/>
          <w:b w:val="0"/>
          <w:sz w:val="24"/>
          <w:szCs w:val="24"/>
        </w:rPr>
        <w:br w:type="textWrapping"/>
      </w:r>
      <w:r>
        <w:rPr>
          <w:rFonts w:ascii="Times New Roman" w:hAnsi="Times New Roman" w:eastAsia="宋体"/>
          <w:b w:val="0"/>
          <w:sz w:val="24"/>
          <w:szCs w:val="24"/>
        </w:rPr>
        <w:t>• 最大化p轨道重叠以实现高效π共轭</w:t>
      </w:r>
      <w:r>
        <w:rPr>
          <w:rFonts w:ascii="Times New Roman" w:hAnsi="Times New Roman" w:eastAsia="宋体"/>
          <w:b w:val="0"/>
          <w:sz w:val="24"/>
          <w:szCs w:val="24"/>
        </w:rPr>
        <w:br w:type="textWrapping"/>
      </w:r>
      <w:r>
        <w:rPr>
          <w:rFonts w:ascii="Times New Roman" w:hAnsi="Times New Roman" w:eastAsia="宋体"/>
          <w:b w:val="0"/>
          <w:sz w:val="24"/>
          <w:szCs w:val="24"/>
        </w:rPr>
        <w:t>• 限制非辐射衰变途径（如C=C键扭转导致的顺反异构化）</w:t>
      </w:r>
      <w:r>
        <w:rPr>
          <w:rFonts w:ascii="Times New Roman" w:hAnsi="Times New Roman" w:eastAsia="宋体"/>
          <w:b w:val="0"/>
          <w:sz w:val="24"/>
          <w:szCs w:val="24"/>
        </w:rPr>
        <w:br w:type="textWrapping"/>
      </w:r>
      <w:r>
        <w:rPr>
          <w:rFonts w:ascii="Times New Roman" w:hAnsi="Times New Roman" w:eastAsia="宋体"/>
          <w:b w:val="0"/>
          <w:sz w:val="24"/>
          <w:szCs w:val="24"/>
        </w:rPr>
        <w:t>• 这是GFP在溶液中具有高荧光量子产率（~0.79 for EGFP）而分离的发色团几乎不发光的根本原因</w:t>
      </w:r>
      <w:r>
        <w:rPr>
          <w:rFonts w:ascii="Times New Roman" w:hAnsi="Times New Roman" w:eastAsia="宋体"/>
          <w:b w:val="0"/>
          <w:sz w:val="24"/>
          <w:szCs w:val="24"/>
        </w:rPr>
        <w:br w:type="textWrapping"/>
      </w:r>
      <w:r>
        <w:rPr>
          <w:rFonts w:ascii="Times New Roman" w:hAnsi="Times New Roman" w:eastAsia="宋体"/>
          <w:b w:val="0"/>
          <w:sz w:val="24"/>
          <w:szCs w:val="24"/>
        </w:rPr>
        <w:t>• 分子内运动受限（RIM）机制——类似于AIE（聚集诱导发光）原理</w:t>
      </w:r>
    </w:p>
    <w:p w14:paraId="35808C10">
      <w:pPr>
        <w:pStyle w:val="4"/>
        <w:rPr>
          <w:rFonts w:ascii="Times New Roman" w:hAnsi="Times New Roman" w:eastAsia="宋体"/>
          <w:sz w:val="28"/>
          <w:szCs w:val="28"/>
        </w:rPr>
      </w:pPr>
      <w:r>
        <w:rPr>
          <w:rFonts w:ascii="Times New Roman" w:hAnsi="Times New Roman" w:eastAsia="宋体"/>
          <w:color w:val="003366"/>
          <w:sz w:val="28"/>
          <w:szCs w:val="28"/>
        </w:rPr>
        <w:t>1.4 发色团质子化状态与光谱性质</w:t>
      </w:r>
    </w:p>
    <w:p w14:paraId="5CC14E7C">
      <w:pPr>
        <w:rPr>
          <w:rFonts w:ascii="Times New Roman" w:hAnsi="Times New Roman" w:eastAsia="宋体"/>
          <w:sz w:val="24"/>
          <w:szCs w:val="24"/>
        </w:rPr>
      </w:pPr>
      <w:r>
        <w:rPr>
          <w:rFonts w:ascii="Times New Roman" w:hAnsi="Times New Roman" w:eastAsia="宋体"/>
          <w:b w:val="0"/>
          <w:sz w:val="24"/>
          <w:szCs w:val="24"/>
        </w:rPr>
        <w:t>发色团的质子化状态决定了GFP的光谱性质，而质子化状态由发色团微环境的精细调控。</w:t>
      </w:r>
    </w:p>
    <w:p w14:paraId="7EDE74F9">
      <w:pPr>
        <w:rPr>
          <w:rFonts w:ascii="Times New Roman" w:hAnsi="Times New Roman" w:eastAsia="宋体"/>
          <w:sz w:val="24"/>
          <w:szCs w:val="24"/>
        </w:rPr>
      </w:pPr>
      <w:r>
        <w:rPr>
          <w:rFonts w:ascii="Times New Roman" w:hAnsi="Times New Roman" w:eastAsia="宋体"/>
          <w:b/>
          <w:sz w:val="24"/>
          <w:szCs w:val="24"/>
        </w:rPr>
        <w:t>代表性GFP变体的光物理参数：</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39FE1D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0B4DEA18">
            <w:pPr>
              <w:spacing w:after="0" w:line="240" w:lineRule="auto"/>
              <w:rPr>
                <w:rFonts w:ascii="Times New Roman" w:hAnsi="Times New Roman" w:eastAsia="宋体"/>
                <w:sz w:val="24"/>
                <w:szCs w:val="24"/>
              </w:rPr>
            </w:pPr>
            <w:r>
              <w:rPr>
                <w:rFonts w:ascii="Times New Roman" w:hAnsi="Times New Roman" w:eastAsia="宋体"/>
                <w:b/>
                <w:sz w:val="20"/>
                <w:szCs w:val="24"/>
              </w:rPr>
              <w:t>变体</w:t>
            </w:r>
          </w:p>
        </w:tc>
        <w:tc>
          <w:tcPr>
            <w:tcW w:w="1568" w:type="dxa"/>
          </w:tcPr>
          <w:p w14:paraId="5989CEEC">
            <w:pPr>
              <w:spacing w:after="0" w:line="240" w:lineRule="auto"/>
              <w:rPr>
                <w:rFonts w:ascii="Times New Roman" w:hAnsi="Times New Roman" w:eastAsia="宋体"/>
                <w:sz w:val="24"/>
                <w:szCs w:val="24"/>
              </w:rPr>
            </w:pPr>
            <w:r>
              <w:rPr>
                <w:rFonts w:ascii="Times New Roman" w:hAnsi="Times New Roman" w:eastAsia="宋体"/>
                <w:b/>
                <w:sz w:val="20"/>
                <w:szCs w:val="24"/>
              </w:rPr>
              <w:t>ε (M⁻¹cm⁻¹)</w:t>
            </w:r>
          </w:p>
        </w:tc>
        <w:tc>
          <w:tcPr>
            <w:tcW w:w="1568" w:type="dxa"/>
          </w:tcPr>
          <w:p w14:paraId="413C4A4C">
            <w:pPr>
              <w:spacing w:after="0" w:line="240" w:lineRule="auto"/>
              <w:rPr>
                <w:rFonts w:ascii="Times New Roman" w:hAnsi="Times New Roman" w:eastAsia="宋体"/>
                <w:sz w:val="24"/>
                <w:szCs w:val="24"/>
              </w:rPr>
            </w:pPr>
            <w:r>
              <w:rPr>
                <w:rFonts w:ascii="Times New Roman" w:hAnsi="Times New Roman" w:eastAsia="宋体"/>
                <w:b/>
                <w:sz w:val="20"/>
                <w:szCs w:val="24"/>
              </w:rPr>
              <w:t>Φ (量子产率)</w:t>
            </w:r>
          </w:p>
        </w:tc>
        <w:tc>
          <w:tcPr>
            <w:tcW w:w="1568" w:type="dxa"/>
          </w:tcPr>
          <w:p w14:paraId="0DDC9F7C">
            <w:pPr>
              <w:spacing w:after="0" w:line="240" w:lineRule="auto"/>
              <w:rPr>
                <w:rFonts w:ascii="Times New Roman" w:hAnsi="Times New Roman" w:eastAsia="宋体"/>
                <w:sz w:val="24"/>
                <w:szCs w:val="24"/>
              </w:rPr>
            </w:pPr>
            <w:r>
              <w:rPr>
                <w:rFonts w:ascii="Times New Roman" w:hAnsi="Times New Roman" w:eastAsia="宋体"/>
                <w:b/>
                <w:sz w:val="20"/>
                <w:szCs w:val="24"/>
              </w:rPr>
              <w:t>pKa</w:t>
            </w:r>
          </w:p>
        </w:tc>
        <w:tc>
          <w:tcPr>
            <w:tcW w:w="1568" w:type="dxa"/>
          </w:tcPr>
          <w:p w14:paraId="73737E09">
            <w:pPr>
              <w:spacing w:after="0" w:line="240" w:lineRule="auto"/>
              <w:rPr>
                <w:rFonts w:ascii="Times New Roman" w:hAnsi="Times New Roman" w:eastAsia="宋体"/>
                <w:sz w:val="24"/>
                <w:szCs w:val="24"/>
              </w:rPr>
            </w:pPr>
            <w:r>
              <w:rPr>
                <w:rFonts w:ascii="Times New Roman" w:hAnsi="Times New Roman" w:eastAsia="宋体"/>
                <w:b/>
                <w:sz w:val="20"/>
                <w:szCs w:val="24"/>
              </w:rPr>
              <w:t>λabs (nm)</w:t>
            </w:r>
          </w:p>
        </w:tc>
        <w:tc>
          <w:tcPr>
            <w:tcW w:w="1568" w:type="dxa"/>
          </w:tcPr>
          <w:p w14:paraId="58C6D155">
            <w:pPr>
              <w:spacing w:after="0" w:line="240" w:lineRule="auto"/>
              <w:rPr>
                <w:rFonts w:ascii="Times New Roman" w:hAnsi="Times New Roman" w:eastAsia="宋体"/>
                <w:sz w:val="24"/>
                <w:szCs w:val="24"/>
              </w:rPr>
            </w:pPr>
            <w:r>
              <w:rPr>
                <w:rFonts w:ascii="Times New Roman" w:hAnsi="Times New Roman" w:eastAsia="宋体"/>
                <w:b/>
                <w:sz w:val="20"/>
                <w:szCs w:val="24"/>
              </w:rPr>
              <w:t>λem (nm)</w:t>
            </w:r>
          </w:p>
        </w:tc>
      </w:tr>
      <w:tr w14:paraId="522286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04D69770">
            <w:pPr>
              <w:spacing w:after="0" w:line="240" w:lineRule="auto"/>
              <w:rPr>
                <w:rFonts w:ascii="Times New Roman" w:hAnsi="Times New Roman" w:eastAsia="宋体"/>
                <w:sz w:val="24"/>
                <w:szCs w:val="24"/>
              </w:rPr>
            </w:pPr>
            <w:r>
              <w:rPr>
                <w:rFonts w:ascii="Times New Roman" w:hAnsi="Times New Roman" w:eastAsia="宋体"/>
                <w:sz w:val="20"/>
                <w:szCs w:val="24"/>
              </w:rPr>
              <w:t>wtGFP</w:t>
            </w:r>
          </w:p>
        </w:tc>
        <w:tc>
          <w:tcPr>
            <w:tcW w:w="1568" w:type="dxa"/>
          </w:tcPr>
          <w:p w14:paraId="721FB5A1">
            <w:pPr>
              <w:spacing w:after="0" w:line="240" w:lineRule="auto"/>
              <w:rPr>
                <w:rFonts w:ascii="Times New Roman" w:hAnsi="Times New Roman" w:eastAsia="宋体"/>
                <w:sz w:val="24"/>
                <w:szCs w:val="24"/>
              </w:rPr>
            </w:pPr>
            <w:r>
              <w:rPr>
                <w:rFonts w:ascii="Times New Roman" w:hAnsi="Times New Roman" w:eastAsia="宋体"/>
                <w:sz w:val="20"/>
                <w:szCs w:val="24"/>
              </w:rPr>
              <w:t>30,000-37,000</w:t>
            </w:r>
          </w:p>
        </w:tc>
        <w:tc>
          <w:tcPr>
            <w:tcW w:w="1568" w:type="dxa"/>
          </w:tcPr>
          <w:p w14:paraId="640EBCC9">
            <w:pPr>
              <w:spacing w:after="0" w:line="240" w:lineRule="auto"/>
              <w:rPr>
                <w:rFonts w:ascii="Times New Roman" w:hAnsi="Times New Roman" w:eastAsia="宋体"/>
                <w:sz w:val="24"/>
                <w:szCs w:val="24"/>
              </w:rPr>
            </w:pPr>
            <w:r>
              <w:rPr>
                <w:rFonts w:ascii="Times New Roman" w:hAnsi="Times New Roman" w:eastAsia="宋体"/>
                <w:sz w:val="20"/>
                <w:szCs w:val="24"/>
              </w:rPr>
              <w:t>0.65</w:t>
            </w:r>
          </w:p>
        </w:tc>
        <w:tc>
          <w:tcPr>
            <w:tcW w:w="1568" w:type="dxa"/>
          </w:tcPr>
          <w:p w14:paraId="07ACDC05">
            <w:pPr>
              <w:spacing w:after="0" w:line="240" w:lineRule="auto"/>
              <w:rPr>
                <w:rFonts w:ascii="Times New Roman" w:hAnsi="Times New Roman" w:eastAsia="宋体"/>
                <w:sz w:val="24"/>
                <w:szCs w:val="24"/>
              </w:rPr>
            </w:pPr>
            <w:r>
              <w:rPr>
                <w:rFonts w:ascii="Times New Roman" w:hAnsi="Times New Roman" w:eastAsia="宋体"/>
                <w:sz w:val="20"/>
                <w:szCs w:val="24"/>
              </w:rPr>
              <w:t>~6.0</w:t>
            </w:r>
          </w:p>
        </w:tc>
        <w:tc>
          <w:tcPr>
            <w:tcW w:w="1568" w:type="dxa"/>
          </w:tcPr>
          <w:p w14:paraId="37671E3C">
            <w:pPr>
              <w:spacing w:after="0" w:line="240" w:lineRule="auto"/>
              <w:rPr>
                <w:rFonts w:ascii="Times New Roman" w:hAnsi="Times New Roman" w:eastAsia="宋体"/>
                <w:sz w:val="24"/>
                <w:szCs w:val="24"/>
              </w:rPr>
            </w:pPr>
            <w:r>
              <w:rPr>
                <w:rFonts w:ascii="Times New Roman" w:hAnsi="Times New Roman" w:eastAsia="宋体"/>
                <w:sz w:val="20"/>
                <w:szCs w:val="24"/>
              </w:rPr>
              <w:t>395/475</w:t>
            </w:r>
          </w:p>
        </w:tc>
        <w:tc>
          <w:tcPr>
            <w:tcW w:w="1568" w:type="dxa"/>
          </w:tcPr>
          <w:p w14:paraId="6D0D652E">
            <w:pPr>
              <w:spacing w:after="0" w:line="240" w:lineRule="auto"/>
              <w:rPr>
                <w:rFonts w:ascii="Times New Roman" w:hAnsi="Times New Roman" w:eastAsia="宋体"/>
                <w:sz w:val="24"/>
                <w:szCs w:val="24"/>
              </w:rPr>
            </w:pPr>
            <w:r>
              <w:rPr>
                <w:rFonts w:ascii="Times New Roman" w:hAnsi="Times New Roman" w:eastAsia="宋体"/>
                <w:sz w:val="20"/>
                <w:szCs w:val="24"/>
              </w:rPr>
              <w:t>508</w:t>
            </w:r>
          </w:p>
        </w:tc>
      </w:tr>
      <w:tr w14:paraId="597762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2612E0FE">
            <w:pPr>
              <w:spacing w:after="0" w:line="240" w:lineRule="auto"/>
              <w:rPr>
                <w:rFonts w:ascii="Times New Roman" w:hAnsi="Times New Roman" w:eastAsia="宋体"/>
                <w:sz w:val="24"/>
                <w:szCs w:val="24"/>
              </w:rPr>
            </w:pPr>
            <w:r>
              <w:rPr>
                <w:rFonts w:ascii="Times New Roman" w:hAnsi="Times New Roman" w:eastAsia="宋体"/>
                <w:sz w:val="20"/>
                <w:szCs w:val="24"/>
              </w:rPr>
              <w:t>EGFP (S65T/F64L)</w:t>
            </w:r>
          </w:p>
        </w:tc>
        <w:tc>
          <w:tcPr>
            <w:tcW w:w="1568" w:type="dxa"/>
          </w:tcPr>
          <w:p w14:paraId="53CC6B25">
            <w:pPr>
              <w:spacing w:after="0" w:line="240" w:lineRule="auto"/>
              <w:rPr>
                <w:rFonts w:ascii="Times New Roman" w:hAnsi="Times New Roman" w:eastAsia="宋体"/>
                <w:sz w:val="24"/>
                <w:szCs w:val="24"/>
              </w:rPr>
            </w:pPr>
            <w:r>
              <w:rPr>
                <w:rFonts w:ascii="Times New Roman" w:hAnsi="Times New Roman" w:eastAsia="宋体"/>
                <w:sz w:val="20"/>
                <w:szCs w:val="24"/>
              </w:rPr>
              <w:t>56,000</w:t>
            </w:r>
          </w:p>
        </w:tc>
        <w:tc>
          <w:tcPr>
            <w:tcW w:w="1568" w:type="dxa"/>
          </w:tcPr>
          <w:p w14:paraId="263A35C7">
            <w:pPr>
              <w:spacing w:after="0" w:line="240" w:lineRule="auto"/>
              <w:rPr>
                <w:rFonts w:ascii="Times New Roman" w:hAnsi="Times New Roman" w:eastAsia="宋体"/>
                <w:sz w:val="24"/>
                <w:szCs w:val="24"/>
              </w:rPr>
            </w:pPr>
            <w:r>
              <w:rPr>
                <w:rFonts w:ascii="Times New Roman" w:hAnsi="Times New Roman" w:eastAsia="宋体"/>
                <w:sz w:val="20"/>
                <w:szCs w:val="24"/>
              </w:rPr>
              <w:t>0.60</w:t>
            </w:r>
          </w:p>
        </w:tc>
        <w:tc>
          <w:tcPr>
            <w:tcW w:w="1568" w:type="dxa"/>
          </w:tcPr>
          <w:p w14:paraId="1C456676">
            <w:pPr>
              <w:spacing w:after="0" w:line="240" w:lineRule="auto"/>
              <w:rPr>
                <w:rFonts w:ascii="Times New Roman" w:hAnsi="Times New Roman" w:eastAsia="宋体"/>
                <w:sz w:val="24"/>
                <w:szCs w:val="24"/>
              </w:rPr>
            </w:pPr>
            <w:r>
              <w:rPr>
                <w:rFonts w:ascii="Times New Roman" w:hAnsi="Times New Roman" w:eastAsia="宋体"/>
                <w:sz w:val="20"/>
                <w:szCs w:val="24"/>
              </w:rPr>
              <w:t>5.6-6.0</w:t>
            </w:r>
          </w:p>
        </w:tc>
        <w:tc>
          <w:tcPr>
            <w:tcW w:w="1568" w:type="dxa"/>
          </w:tcPr>
          <w:p w14:paraId="0AD23D65">
            <w:pPr>
              <w:spacing w:after="0" w:line="240" w:lineRule="auto"/>
              <w:rPr>
                <w:rFonts w:ascii="Times New Roman" w:hAnsi="Times New Roman" w:eastAsia="宋体"/>
                <w:sz w:val="24"/>
                <w:szCs w:val="24"/>
              </w:rPr>
            </w:pPr>
            <w:r>
              <w:rPr>
                <w:rFonts w:ascii="Times New Roman" w:hAnsi="Times New Roman" w:eastAsia="宋体"/>
                <w:sz w:val="20"/>
                <w:szCs w:val="24"/>
              </w:rPr>
              <w:t>488</w:t>
            </w:r>
          </w:p>
        </w:tc>
        <w:tc>
          <w:tcPr>
            <w:tcW w:w="1568" w:type="dxa"/>
          </w:tcPr>
          <w:p w14:paraId="3417ABE8">
            <w:pPr>
              <w:spacing w:after="0" w:line="240" w:lineRule="auto"/>
              <w:rPr>
                <w:rFonts w:ascii="Times New Roman" w:hAnsi="Times New Roman" w:eastAsia="宋体"/>
                <w:sz w:val="24"/>
                <w:szCs w:val="24"/>
              </w:rPr>
            </w:pPr>
            <w:r>
              <w:rPr>
                <w:rFonts w:ascii="Times New Roman" w:hAnsi="Times New Roman" w:eastAsia="宋体"/>
                <w:sz w:val="20"/>
                <w:szCs w:val="24"/>
              </w:rPr>
              <w:t>508</w:t>
            </w:r>
          </w:p>
        </w:tc>
      </w:tr>
      <w:tr w14:paraId="148D26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05548908">
            <w:pPr>
              <w:spacing w:after="0" w:line="240" w:lineRule="auto"/>
              <w:rPr>
                <w:rFonts w:ascii="Times New Roman" w:hAnsi="Times New Roman" w:eastAsia="宋体"/>
                <w:sz w:val="24"/>
                <w:szCs w:val="24"/>
              </w:rPr>
            </w:pPr>
            <w:r>
              <w:rPr>
                <w:rFonts w:ascii="Times New Roman" w:hAnsi="Times New Roman" w:eastAsia="宋体"/>
                <w:sz w:val="20"/>
                <w:szCs w:val="24"/>
              </w:rPr>
              <w:t>sfGFP</w:t>
            </w:r>
          </w:p>
        </w:tc>
        <w:tc>
          <w:tcPr>
            <w:tcW w:w="1568" w:type="dxa"/>
          </w:tcPr>
          <w:p w14:paraId="78189AB8">
            <w:pPr>
              <w:spacing w:after="0" w:line="240" w:lineRule="auto"/>
              <w:rPr>
                <w:rFonts w:ascii="Times New Roman" w:hAnsi="Times New Roman" w:eastAsia="宋体"/>
                <w:sz w:val="24"/>
                <w:szCs w:val="24"/>
              </w:rPr>
            </w:pPr>
            <w:r>
              <w:rPr>
                <w:rFonts w:ascii="Times New Roman" w:hAnsi="Times New Roman" w:eastAsia="宋体"/>
                <w:sz w:val="20"/>
                <w:szCs w:val="24"/>
              </w:rPr>
              <w:t>54,000-63,100</w:t>
            </w:r>
          </w:p>
        </w:tc>
        <w:tc>
          <w:tcPr>
            <w:tcW w:w="1568" w:type="dxa"/>
          </w:tcPr>
          <w:p w14:paraId="29F05503">
            <w:pPr>
              <w:spacing w:after="0" w:line="240" w:lineRule="auto"/>
              <w:rPr>
                <w:rFonts w:ascii="Times New Roman" w:hAnsi="Times New Roman" w:eastAsia="宋体"/>
                <w:sz w:val="24"/>
                <w:szCs w:val="24"/>
              </w:rPr>
            </w:pPr>
            <w:r>
              <w:rPr>
                <w:rFonts w:ascii="Times New Roman" w:hAnsi="Times New Roman" w:eastAsia="宋体"/>
                <w:sz w:val="20"/>
                <w:szCs w:val="24"/>
              </w:rPr>
              <w:t>0.65</w:t>
            </w:r>
          </w:p>
        </w:tc>
        <w:tc>
          <w:tcPr>
            <w:tcW w:w="1568" w:type="dxa"/>
          </w:tcPr>
          <w:p w14:paraId="64074BE9">
            <w:pPr>
              <w:spacing w:after="0" w:line="240" w:lineRule="auto"/>
              <w:rPr>
                <w:rFonts w:ascii="Times New Roman" w:hAnsi="Times New Roman" w:eastAsia="宋体"/>
                <w:sz w:val="24"/>
                <w:szCs w:val="24"/>
              </w:rPr>
            </w:pPr>
            <w:r>
              <w:rPr>
                <w:rFonts w:ascii="Times New Roman" w:hAnsi="Times New Roman" w:eastAsia="宋体"/>
                <w:sz w:val="20"/>
                <w:szCs w:val="24"/>
              </w:rPr>
              <w:t>5.4</w:t>
            </w:r>
          </w:p>
        </w:tc>
        <w:tc>
          <w:tcPr>
            <w:tcW w:w="1568" w:type="dxa"/>
          </w:tcPr>
          <w:p w14:paraId="7841EE44">
            <w:pPr>
              <w:spacing w:after="0" w:line="240" w:lineRule="auto"/>
              <w:rPr>
                <w:rFonts w:ascii="Times New Roman" w:hAnsi="Times New Roman" w:eastAsia="宋体"/>
                <w:sz w:val="24"/>
                <w:szCs w:val="24"/>
              </w:rPr>
            </w:pPr>
            <w:r>
              <w:rPr>
                <w:rFonts w:ascii="Times New Roman" w:hAnsi="Times New Roman" w:eastAsia="宋体"/>
                <w:sz w:val="20"/>
                <w:szCs w:val="24"/>
              </w:rPr>
              <w:t>485</w:t>
            </w:r>
          </w:p>
        </w:tc>
        <w:tc>
          <w:tcPr>
            <w:tcW w:w="1568" w:type="dxa"/>
          </w:tcPr>
          <w:p w14:paraId="609D5F88">
            <w:pPr>
              <w:spacing w:after="0" w:line="240" w:lineRule="auto"/>
              <w:rPr>
                <w:rFonts w:ascii="Times New Roman" w:hAnsi="Times New Roman" w:eastAsia="宋体"/>
                <w:sz w:val="24"/>
                <w:szCs w:val="24"/>
              </w:rPr>
            </w:pPr>
            <w:r>
              <w:rPr>
                <w:rFonts w:ascii="Times New Roman" w:hAnsi="Times New Roman" w:eastAsia="宋体"/>
                <w:sz w:val="20"/>
                <w:szCs w:val="24"/>
              </w:rPr>
              <w:t>510</w:t>
            </w:r>
          </w:p>
        </w:tc>
      </w:tr>
      <w:tr w14:paraId="2E6C66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50CF28BC">
            <w:pPr>
              <w:spacing w:after="0" w:line="240" w:lineRule="auto"/>
              <w:rPr>
                <w:rFonts w:ascii="Times New Roman" w:hAnsi="Times New Roman" w:eastAsia="宋体"/>
                <w:sz w:val="24"/>
                <w:szCs w:val="24"/>
              </w:rPr>
            </w:pPr>
            <w:r>
              <w:rPr>
                <w:rFonts w:ascii="Times New Roman" w:hAnsi="Times New Roman" w:eastAsia="宋体"/>
                <w:sz w:val="20"/>
                <w:szCs w:val="24"/>
              </w:rPr>
              <w:t>SGFP2</w:t>
            </w:r>
          </w:p>
        </w:tc>
        <w:tc>
          <w:tcPr>
            <w:tcW w:w="1568" w:type="dxa"/>
          </w:tcPr>
          <w:p w14:paraId="13B9C709">
            <w:pPr>
              <w:spacing w:after="0" w:line="240" w:lineRule="auto"/>
              <w:rPr>
                <w:rFonts w:ascii="Times New Roman" w:hAnsi="Times New Roman" w:eastAsia="宋体"/>
                <w:sz w:val="24"/>
                <w:szCs w:val="24"/>
              </w:rPr>
            </w:pPr>
            <w:r>
              <w:rPr>
                <w:rFonts w:ascii="Times New Roman" w:hAnsi="Times New Roman" w:eastAsia="宋体"/>
                <w:sz w:val="20"/>
                <w:szCs w:val="24"/>
              </w:rPr>
              <w:t>46,000</w:t>
            </w:r>
          </w:p>
        </w:tc>
        <w:tc>
          <w:tcPr>
            <w:tcW w:w="1568" w:type="dxa"/>
          </w:tcPr>
          <w:p w14:paraId="6A959F83">
            <w:pPr>
              <w:spacing w:after="0" w:line="240" w:lineRule="auto"/>
              <w:rPr>
                <w:rFonts w:ascii="Times New Roman" w:hAnsi="Times New Roman" w:eastAsia="宋体"/>
                <w:sz w:val="24"/>
                <w:szCs w:val="24"/>
              </w:rPr>
            </w:pPr>
            <w:r>
              <w:rPr>
                <w:rFonts w:ascii="Times New Roman" w:hAnsi="Times New Roman" w:eastAsia="宋体"/>
                <w:sz w:val="20"/>
                <w:szCs w:val="24"/>
              </w:rPr>
              <w:t>0.70</w:t>
            </w:r>
          </w:p>
        </w:tc>
        <w:tc>
          <w:tcPr>
            <w:tcW w:w="1568" w:type="dxa"/>
          </w:tcPr>
          <w:p w14:paraId="54D7BDEE">
            <w:pPr>
              <w:spacing w:after="0" w:line="240" w:lineRule="auto"/>
              <w:rPr>
                <w:rFonts w:ascii="Times New Roman" w:hAnsi="Times New Roman" w:eastAsia="宋体"/>
                <w:sz w:val="24"/>
                <w:szCs w:val="24"/>
              </w:rPr>
            </w:pPr>
            <w:r>
              <w:rPr>
                <w:rFonts w:ascii="Times New Roman" w:hAnsi="Times New Roman" w:eastAsia="宋体"/>
                <w:sz w:val="20"/>
                <w:szCs w:val="24"/>
              </w:rPr>
              <w:t>5.9</w:t>
            </w:r>
          </w:p>
        </w:tc>
        <w:tc>
          <w:tcPr>
            <w:tcW w:w="1568" w:type="dxa"/>
          </w:tcPr>
          <w:p w14:paraId="40A58845">
            <w:pPr>
              <w:spacing w:after="0" w:line="240" w:lineRule="auto"/>
              <w:rPr>
                <w:rFonts w:ascii="Times New Roman" w:hAnsi="Times New Roman" w:eastAsia="宋体"/>
                <w:sz w:val="24"/>
                <w:szCs w:val="24"/>
              </w:rPr>
            </w:pPr>
            <w:r>
              <w:rPr>
                <w:rFonts w:ascii="Times New Roman" w:hAnsi="Times New Roman" w:eastAsia="宋体"/>
                <w:sz w:val="20"/>
                <w:szCs w:val="24"/>
              </w:rPr>
              <w:t>485</w:t>
            </w:r>
          </w:p>
        </w:tc>
        <w:tc>
          <w:tcPr>
            <w:tcW w:w="1568" w:type="dxa"/>
          </w:tcPr>
          <w:p w14:paraId="6C83F219">
            <w:pPr>
              <w:spacing w:after="0" w:line="240" w:lineRule="auto"/>
              <w:rPr>
                <w:rFonts w:ascii="Times New Roman" w:hAnsi="Times New Roman" w:eastAsia="宋体"/>
                <w:sz w:val="24"/>
                <w:szCs w:val="24"/>
              </w:rPr>
            </w:pPr>
            <w:r>
              <w:rPr>
                <w:rFonts w:ascii="Times New Roman" w:hAnsi="Times New Roman" w:eastAsia="宋体"/>
                <w:sz w:val="20"/>
                <w:szCs w:val="24"/>
              </w:rPr>
              <w:t>508</w:t>
            </w:r>
          </w:p>
        </w:tc>
      </w:tr>
      <w:tr w14:paraId="019978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23B419EF">
            <w:pPr>
              <w:spacing w:after="0" w:line="240" w:lineRule="auto"/>
              <w:rPr>
                <w:rFonts w:ascii="Times New Roman" w:hAnsi="Times New Roman" w:eastAsia="宋体"/>
                <w:sz w:val="24"/>
                <w:szCs w:val="24"/>
              </w:rPr>
            </w:pPr>
            <w:r>
              <w:rPr>
                <w:rFonts w:ascii="Times New Roman" w:hAnsi="Times New Roman" w:eastAsia="宋体"/>
                <w:sz w:val="20"/>
                <w:szCs w:val="24"/>
              </w:rPr>
              <w:t>mBaoJin</w:t>
            </w:r>
          </w:p>
        </w:tc>
        <w:tc>
          <w:tcPr>
            <w:tcW w:w="1568" w:type="dxa"/>
          </w:tcPr>
          <w:p w14:paraId="530D563B">
            <w:pPr>
              <w:spacing w:after="0" w:line="240" w:lineRule="auto"/>
              <w:rPr>
                <w:rFonts w:ascii="Times New Roman" w:hAnsi="Times New Roman" w:eastAsia="宋体"/>
                <w:sz w:val="24"/>
                <w:szCs w:val="24"/>
              </w:rPr>
            </w:pPr>
            <w:r>
              <w:rPr>
                <w:rFonts w:ascii="Times New Roman" w:hAnsi="Times New Roman" w:eastAsia="宋体"/>
                <w:sz w:val="20"/>
                <w:szCs w:val="24"/>
              </w:rPr>
              <w:t>~90,000</w:t>
            </w:r>
          </w:p>
        </w:tc>
        <w:tc>
          <w:tcPr>
            <w:tcW w:w="1568" w:type="dxa"/>
          </w:tcPr>
          <w:p w14:paraId="63926F1D">
            <w:pPr>
              <w:spacing w:after="0" w:line="240" w:lineRule="auto"/>
              <w:rPr>
                <w:rFonts w:ascii="Times New Roman" w:hAnsi="Times New Roman" w:eastAsia="宋体"/>
                <w:sz w:val="24"/>
                <w:szCs w:val="24"/>
              </w:rPr>
            </w:pPr>
            <w:r>
              <w:rPr>
                <w:rFonts w:ascii="Times New Roman" w:hAnsi="Times New Roman" w:eastAsia="宋体"/>
                <w:sz w:val="20"/>
                <w:szCs w:val="24"/>
              </w:rPr>
              <w:t>~0.75</w:t>
            </w:r>
          </w:p>
        </w:tc>
        <w:tc>
          <w:tcPr>
            <w:tcW w:w="1568" w:type="dxa"/>
          </w:tcPr>
          <w:p w14:paraId="60650E55">
            <w:pPr>
              <w:spacing w:after="0" w:line="240" w:lineRule="auto"/>
              <w:rPr>
                <w:rFonts w:ascii="Times New Roman" w:hAnsi="Times New Roman" w:eastAsia="宋体"/>
                <w:sz w:val="24"/>
                <w:szCs w:val="24"/>
              </w:rPr>
            </w:pPr>
            <w:r>
              <w:rPr>
                <w:rFonts w:ascii="Times New Roman" w:hAnsi="Times New Roman" w:eastAsia="宋体"/>
                <w:sz w:val="20"/>
                <w:szCs w:val="24"/>
              </w:rPr>
              <w:t>4.37</w:t>
            </w:r>
          </w:p>
        </w:tc>
        <w:tc>
          <w:tcPr>
            <w:tcW w:w="1568" w:type="dxa"/>
          </w:tcPr>
          <w:p w14:paraId="29D949C0">
            <w:pPr>
              <w:spacing w:after="0" w:line="240" w:lineRule="auto"/>
              <w:rPr>
                <w:rFonts w:ascii="Times New Roman" w:hAnsi="Times New Roman" w:eastAsia="宋体"/>
                <w:sz w:val="24"/>
                <w:szCs w:val="24"/>
              </w:rPr>
            </w:pPr>
            <w:r>
              <w:rPr>
                <w:rFonts w:ascii="Times New Roman" w:hAnsi="Times New Roman" w:eastAsia="宋体"/>
                <w:sz w:val="20"/>
                <w:szCs w:val="24"/>
              </w:rPr>
              <w:t>497</w:t>
            </w:r>
          </w:p>
        </w:tc>
        <w:tc>
          <w:tcPr>
            <w:tcW w:w="1568" w:type="dxa"/>
          </w:tcPr>
          <w:p w14:paraId="7DA39540">
            <w:pPr>
              <w:spacing w:after="0" w:line="240" w:lineRule="auto"/>
              <w:rPr>
                <w:rFonts w:ascii="Times New Roman" w:hAnsi="Times New Roman" w:eastAsia="宋体"/>
                <w:sz w:val="24"/>
                <w:szCs w:val="24"/>
              </w:rPr>
            </w:pPr>
            <w:r>
              <w:rPr>
                <w:rFonts w:ascii="Times New Roman" w:hAnsi="Times New Roman" w:eastAsia="宋体"/>
                <w:sz w:val="20"/>
                <w:szCs w:val="24"/>
              </w:rPr>
              <w:t>512</w:t>
            </w:r>
          </w:p>
        </w:tc>
      </w:tr>
      <w:tr w14:paraId="6D6AC9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26D06164">
            <w:pPr>
              <w:spacing w:after="0" w:line="240" w:lineRule="auto"/>
              <w:rPr>
                <w:rFonts w:ascii="Times New Roman" w:hAnsi="Times New Roman" w:eastAsia="宋体"/>
                <w:sz w:val="24"/>
                <w:szCs w:val="24"/>
              </w:rPr>
            </w:pPr>
            <w:r>
              <w:rPr>
                <w:rFonts w:ascii="Times New Roman" w:hAnsi="Times New Roman" w:eastAsia="宋体"/>
                <w:sz w:val="20"/>
                <w:szCs w:val="24"/>
              </w:rPr>
              <w:t>StayGold (二聚体)</w:t>
            </w:r>
          </w:p>
        </w:tc>
        <w:tc>
          <w:tcPr>
            <w:tcW w:w="1568" w:type="dxa"/>
          </w:tcPr>
          <w:p w14:paraId="39BAC7F3">
            <w:pPr>
              <w:spacing w:after="0" w:line="240" w:lineRule="auto"/>
              <w:rPr>
                <w:rFonts w:ascii="Times New Roman" w:hAnsi="Times New Roman" w:eastAsia="宋体"/>
                <w:sz w:val="24"/>
                <w:szCs w:val="24"/>
              </w:rPr>
            </w:pPr>
            <w:r>
              <w:rPr>
                <w:rFonts w:ascii="Times New Roman" w:hAnsi="Times New Roman" w:eastAsia="宋体"/>
                <w:sz w:val="20"/>
                <w:szCs w:val="24"/>
              </w:rPr>
              <w:t>~100,000</w:t>
            </w:r>
          </w:p>
        </w:tc>
        <w:tc>
          <w:tcPr>
            <w:tcW w:w="1568" w:type="dxa"/>
          </w:tcPr>
          <w:p w14:paraId="49059A3C">
            <w:pPr>
              <w:spacing w:after="0" w:line="240" w:lineRule="auto"/>
              <w:rPr>
                <w:rFonts w:ascii="Times New Roman" w:hAnsi="Times New Roman" w:eastAsia="宋体"/>
                <w:sz w:val="24"/>
                <w:szCs w:val="24"/>
              </w:rPr>
            </w:pPr>
            <w:r>
              <w:rPr>
                <w:rFonts w:ascii="Times New Roman" w:hAnsi="Times New Roman" w:eastAsia="宋体"/>
                <w:sz w:val="20"/>
                <w:szCs w:val="24"/>
              </w:rPr>
              <w:t>~0.80</w:t>
            </w:r>
          </w:p>
        </w:tc>
        <w:tc>
          <w:tcPr>
            <w:tcW w:w="1568" w:type="dxa"/>
          </w:tcPr>
          <w:p w14:paraId="12AB2861">
            <w:pPr>
              <w:spacing w:after="0" w:line="240" w:lineRule="auto"/>
              <w:rPr>
                <w:rFonts w:ascii="Times New Roman" w:hAnsi="Times New Roman" w:eastAsia="宋体"/>
                <w:sz w:val="24"/>
                <w:szCs w:val="24"/>
              </w:rPr>
            </w:pPr>
            <w:r>
              <w:rPr>
                <w:rFonts w:ascii="Times New Roman" w:hAnsi="Times New Roman" w:eastAsia="宋体"/>
                <w:sz w:val="20"/>
                <w:szCs w:val="24"/>
              </w:rPr>
              <w:t>4.5</w:t>
            </w:r>
          </w:p>
        </w:tc>
        <w:tc>
          <w:tcPr>
            <w:tcW w:w="1568" w:type="dxa"/>
          </w:tcPr>
          <w:p w14:paraId="21FE3D82">
            <w:pPr>
              <w:spacing w:after="0" w:line="240" w:lineRule="auto"/>
              <w:rPr>
                <w:rFonts w:ascii="Times New Roman" w:hAnsi="Times New Roman" w:eastAsia="宋体"/>
                <w:sz w:val="24"/>
                <w:szCs w:val="24"/>
              </w:rPr>
            </w:pPr>
            <w:r>
              <w:rPr>
                <w:rFonts w:ascii="Times New Roman" w:hAnsi="Times New Roman" w:eastAsia="宋体"/>
                <w:sz w:val="20"/>
                <w:szCs w:val="24"/>
              </w:rPr>
              <w:t>497</w:t>
            </w:r>
          </w:p>
        </w:tc>
        <w:tc>
          <w:tcPr>
            <w:tcW w:w="1568" w:type="dxa"/>
          </w:tcPr>
          <w:p w14:paraId="17A2249F">
            <w:pPr>
              <w:spacing w:after="0" w:line="240" w:lineRule="auto"/>
              <w:rPr>
                <w:rFonts w:ascii="Times New Roman" w:hAnsi="Times New Roman" w:eastAsia="宋体"/>
                <w:sz w:val="24"/>
                <w:szCs w:val="24"/>
              </w:rPr>
            </w:pPr>
            <w:r>
              <w:rPr>
                <w:rFonts w:ascii="Times New Roman" w:hAnsi="Times New Roman" w:eastAsia="宋体"/>
                <w:sz w:val="20"/>
                <w:szCs w:val="24"/>
              </w:rPr>
              <w:t>512</w:t>
            </w:r>
          </w:p>
        </w:tc>
      </w:tr>
      <w:tr w14:paraId="52FF56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76665662">
            <w:pPr>
              <w:spacing w:after="0" w:line="240" w:lineRule="auto"/>
              <w:rPr>
                <w:rFonts w:ascii="Times New Roman" w:hAnsi="Times New Roman" w:eastAsia="宋体"/>
                <w:sz w:val="24"/>
                <w:szCs w:val="24"/>
              </w:rPr>
            </w:pPr>
            <w:r>
              <w:rPr>
                <w:rFonts w:ascii="Times New Roman" w:hAnsi="Times New Roman" w:eastAsia="宋体"/>
                <w:sz w:val="20"/>
                <w:szCs w:val="24"/>
              </w:rPr>
              <w:t>mNeonGreen</w:t>
            </w:r>
          </w:p>
        </w:tc>
        <w:tc>
          <w:tcPr>
            <w:tcW w:w="1568" w:type="dxa"/>
          </w:tcPr>
          <w:p w14:paraId="04BC4325">
            <w:pPr>
              <w:spacing w:after="0" w:line="240" w:lineRule="auto"/>
              <w:rPr>
                <w:rFonts w:ascii="Times New Roman" w:hAnsi="Times New Roman" w:eastAsia="宋体"/>
                <w:sz w:val="24"/>
                <w:szCs w:val="24"/>
              </w:rPr>
            </w:pPr>
            <w:r>
              <w:rPr>
                <w:rFonts w:ascii="Times New Roman" w:hAnsi="Times New Roman" w:eastAsia="宋体"/>
                <w:sz w:val="20"/>
                <w:szCs w:val="24"/>
              </w:rPr>
              <w:t>~116,000</w:t>
            </w:r>
          </w:p>
        </w:tc>
        <w:tc>
          <w:tcPr>
            <w:tcW w:w="1568" w:type="dxa"/>
          </w:tcPr>
          <w:p w14:paraId="161D8572">
            <w:pPr>
              <w:spacing w:after="0" w:line="240" w:lineRule="auto"/>
              <w:rPr>
                <w:rFonts w:ascii="Times New Roman" w:hAnsi="Times New Roman" w:eastAsia="宋体"/>
                <w:sz w:val="24"/>
                <w:szCs w:val="24"/>
              </w:rPr>
            </w:pPr>
            <w:r>
              <w:rPr>
                <w:rFonts w:ascii="Times New Roman" w:hAnsi="Times New Roman" w:eastAsia="宋体"/>
                <w:sz w:val="20"/>
                <w:szCs w:val="24"/>
              </w:rPr>
              <w:t>~0.80</w:t>
            </w:r>
          </w:p>
        </w:tc>
        <w:tc>
          <w:tcPr>
            <w:tcW w:w="1568" w:type="dxa"/>
          </w:tcPr>
          <w:p w14:paraId="08A6E81E">
            <w:pPr>
              <w:spacing w:after="0" w:line="240" w:lineRule="auto"/>
              <w:rPr>
                <w:rFonts w:ascii="Times New Roman" w:hAnsi="Times New Roman" w:eastAsia="宋体"/>
                <w:sz w:val="24"/>
                <w:szCs w:val="24"/>
              </w:rPr>
            </w:pPr>
            <w:r>
              <w:rPr>
                <w:rFonts w:ascii="Times New Roman" w:hAnsi="Times New Roman" w:eastAsia="宋体"/>
                <w:sz w:val="20"/>
                <w:szCs w:val="24"/>
              </w:rPr>
              <w:t>5.7</w:t>
            </w:r>
          </w:p>
        </w:tc>
        <w:tc>
          <w:tcPr>
            <w:tcW w:w="1568" w:type="dxa"/>
          </w:tcPr>
          <w:p w14:paraId="2B3D1921">
            <w:pPr>
              <w:spacing w:after="0" w:line="240" w:lineRule="auto"/>
              <w:rPr>
                <w:rFonts w:ascii="Times New Roman" w:hAnsi="Times New Roman" w:eastAsia="宋体"/>
                <w:sz w:val="24"/>
                <w:szCs w:val="24"/>
              </w:rPr>
            </w:pPr>
            <w:r>
              <w:rPr>
                <w:rFonts w:ascii="Times New Roman" w:hAnsi="Times New Roman" w:eastAsia="宋体"/>
                <w:sz w:val="20"/>
                <w:szCs w:val="24"/>
              </w:rPr>
              <w:t>506</w:t>
            </w:r>
          </w:p>
        </w:tc>
        <w:tc>
          <w:tcPr>
            <w:tcW w:w="1568" w:type="dxa"/>
          </w:tcPr>
          <w:p w14:paraId="02053ED7">
            <w:pPr>
              <w:spacing w:after="0" w:line="240" w:lineRule="auto"/>
              <w:rPr>
                <w:rFonts w:ascii="Times New Roman" w:hAnsi="Times New Roman" w:eastAsia="宋体"/>
                <w:sz w:val="24"/>
                <w:szCs w:val="24"/>
              </w:rPr>
            </w:pPr>
            <w:r>
              <w:rPr>
                <w:rFonts w:ascii="Times New Roman" w:hAnsi="Times New Roman" w:eastAsia="宋体"/>
                <w:sz w:val="20"/>
                <w:szCs w:val="24"/>
              </w:rPr>
              <w:t>517</w:t>
            </w:r>
          </w:p>
        </w:tc>
      </w:tr>
    </w:tbl>
    <w:p w14:paraId="7A1D20CB">
      <w:pPr>
        <w:rPr>
          <w:rFonts w:ascii="Times New Roman" w:hAnsi="Times New Roman" w:eastAsia="宋体"/>
          <w:sz w:val="24"/>
          <w:szCs w:val="24"/>
        </w:rPr>
      </w:pPr>
    </w:p>
    <w:p w14:paraId="130790BF">
      <w:pPr>
        <w:rPr>
          <w:rFonts w:ascii="Times New Roman" w:hAnsi="Times New Roman" w:eastAsia="宋体"/>
          <w:sz w:val="24"/>
          <w:szCs w:val="24"/>
        </w:rPr>
      </w:pPr>
      <w:r>
        <w:rPr>
          <w:rFonts w:ascii="Times New Roman" w:hAnsi="Times New Roman" w:eastAsia="宋体"/>
          <w:b w:val="0"/>
          <w:sz w:val="24"/>
          <w:szCs w:val="24"/>
        </w:rPr>
        <w:t>注意：mBaoJin和StayGold代表了新一代超高亮度和光稳定性GFP，打破了传统亮度-光稳定性权衡。mBaoJin的低pKa（4.37）意味着在生理pH范围（胞质pH 7.2，内体pH 5.5-6.5）内几乎完全去质子化，确保最大的488 nm激发效率。</w:t>
      </w:r>
    </w:p>
    <w:p w14:paraId="109EC172">
      <w:pPr>
        <w:rPr>
          <w:rFonts w:ascii="Times New Roman" w:hAnsi="Times New Roman" w:eastAsia="宋体"/>
          <w:sz w:val="24"/>
          <w:szCs w:val="24"/>
        </w:rPr>
      </w:pPr>
      <w:r>
        <w:rPr>
          <w:rFonts w:ascii="Times New Roman" w:hAnsi="Times New Roman" w:eastAsia="宋体"/>
          <w:sz w:val="24"/>
          <w:szCs w:val="24"/>
        </w:rPr>
        <w:br w:type="page"/>
      </w:r>
    </w:p>
    <w:p w14:paraId="7876B8EB">
      <w:pPr>
        <w:pStyle w:val="3"/>
        <w:rPr>
          <w:rFonts w:ascii="Times New Roman" w:hAnsi="Times New Roman" w:eastAsia="宋体"/>
          <w:sz w:val="32"/>
          <w:szCs w:val="32"/>
        </w:rPr>
      </w:pPr>
      <w:r>
        <w:rPr>
          <w:rFonts w:ascii="Times New Roman" w:hAnsi="Times New Roman" w:eastAsia="宋体"/>
          <w:color w:val="003366"/>
          <w:sz w:val="32"/>
          <w:szCs w:val="32"/>
        </w:rPr>
        <w:t>第二章  影响GFP荧光强度的因素</w:t>
      </w:r>
    </w:p>
    <w:p w14:paraId="38E04C33">
      <w:pPr>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5029200" cy="2750820"/>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750871"/>
                    </a:xfrm>
                    <a:prstGeom prst="rect">
                      <a:avLst/>
                    </a:prstGeom>
                  </pic:spPr>
                </pic:pic>
              </a:graphicData>
            </a:graphic>
          </wp:inline>
        </w:drawing>
      </w:r>
    </w:p>
    <w:p w14:paraId="7CC40D5C">
      <w:pPr>
        <w:jc w:val="center"/>
        <w:rPr>
          <w:rFonts w:ascii="Times New Roman" w:hAnsi="Times New Roman" w:eastAsia="宋体"/>
          <w:sz w:val="24"/>
          <w:szCs w:val="24"/>
        </w:rPr>
      </w:pPr>
      <w:r>
        <w:rPr>
          <w:rFonts w:ascii="Times New Roman" w:hAnsi="Times New Roman" w:eastAsia="宋体"/>
          <w:color w:val="646464"/>
          <w:sz w:val="20"/>
          <w:szCs w:val="24"/>
        </w:rPr>
        <w:t>图4: 影响GFP荧光亮度的关键因素总览——消光系数(ε) × 量子产率(Φ) = 亮度</w:t>
      </w:r>
    </w:p>
    <w:p w14:paraId="07B94C70">
      <w:pPr>
        <w:pStyle w:val="4"/>
        <w:rPr>
          <w:rFonts w:ascii="Times New Roman" w:hAnsi="Times New Roman" w:eastAsia="宋体"/>
          <w:sz w:val="28"/>
          <w:szCs w:val="28"/>
        </w:rPr>
      </w:pPr>
      <w:r>
        <w:rPr>
          <w:rFonts w:ascii="Times New Roman" w:hAnsi="Times New Roman" w:eastAsia="宋体"/>
          <w:color w:val="003366"/>
          <w:sz w:val="28"/>
          <w:szCs w:val="28"/>
        </w:rPr>
        <w:t>2.1 消光系数（ε）的决定因素</w:t>
      </w:r>
    </w:p>
    <w:p w14:paraId="0CA59DD5">
      <w:pPr>
        <w:rPr>
          <w:rFonts w:ascii="Times New Roman" w:hAnsi="Times New Roman" w:eastAsia="宋体"/>
          <w:sz w:val="24"/>
          <w:szCs w:val="24"/>
        </w:rPr>
      </w:pPr>
      <w:r>
        <w:rPr>
          <w:rFonts w:ascii="Times New Roman" w:hAnsi="Times New Roman" w:eastAsia="宋体"/>
          <w:b w:val="0"/>
          <w:sz w:val="24"/>
          <w:szCs w:val="24"/>
        </w:rPr>
        <w:t>消光系数衡量发色团在特定波长下吸收光子的能力（单位：M⁻¹cm⁻¹）。主要决定因素：</w:t>
      </w:r>
    </w:p>
    <w:p w14:paraId="3548FDB9">
      <w:pPr>
        <w:rPr>
          <w:rFonts w:ascii="Times New Roman" w:hAnsi="Times New Roman" w:eastAsia="宋体"/>
          <w:sz w:val="24"/>
          <w:szCs w:val="24"/>
        </w:rPr>
      </w:pPr>
      <w:r>
        <w:rPr>
          <w:rFonts w:ascii="Times New Roman" w:hAnsi="Times New Roman" w:eastAsia="宋体"/>
          <w:b/>
          <w:sz w:val="24"/>
          <w:szCs w:val="24"/>
        </w:rPr>
        <w:t xml:space="preserve">(a) </w:t>
      </w:r>
      <w:r>
        <w:rPr>
          <w:rFonts w:ascii="Times New Roman" w:hAnsi="Times New Roman" w:eastAsia="宋体"/>
          <w:b/>
          <w:color w:val="C00000"/>
          <w:sz w:val="24"/>
          <w:szCs w:val="24"/>
          <w:highlight w:val="yellow"/>
        </w:rPr>
        <w:t>发色团质子化状态</w:t>
      </w:r>
      <w:r>
        <w:rPr>
          <w:rFonts w:ascii="Times New Roman" w:hAnsi="Times New Roman" w:eastAsia="宋体"/>
          <w:b/>
          <w:sz w:val="24"/>
          <w:szCs w:val="24"/>
        </w:rPr>
        <w:t>：</w:t>
      </w:r>
    </w:p>
    <w:p w14:paraId="75CA4D72">
      <w:pPr>
        <w:rPr>
          <w:rFonts w:ascii="Times New Roman" w:hAnsi="Times New Roman" w:eastAsia="宋体"/>
          <w:sz w:val="24"/>
          <w:szCs w:val="24"/>
        </w:rPr>
      </w:pPr>
      <w:r>
        <w:rPr>
          <w:rFonts w:ascii="Times New Roman" w:hAnsi="Times New Roman" w:eastAsia="宋体"/>
          <w:b w:val="0"/>
          <w:sz w:val="24"/>
          <w:szCs w:val="24"/>
        </w:rPr>
        <w:t>阴离子形式（Cro-O⁻）在~475-490 nm的ε约为54,000-63,000 M⁻¹cm⁻¹，而中性形式（Cro-OH）在~395 nm的ε约为25,000-37,000。由于实验中主要使用488 nm激光激发，提高阴离子形式比例是增强有效亮度的关键。</w:t>
      </w:r>
      <w:r>
        <w:rPr>
          <w:rFonts w:ascii="Times New Roman" w:hAnsi="Times New Roman" w:eastAsia="宋体"/>
          <w:b w:val="0"/>
          <w:color w:val="C00000"/>
          <w:sz w:val="24"/>
          <w:szCs w:val="24"/>
        </w:rPr>
        <w:t>S65T</w:t>
      </w:r>
      <w:r>
        <w:rPr>
          <w:rFonts w:ascii="Times New Roman" w:hAnsi="Times New Roman" w:eastAsia="宋体"/>
          <w:b w:val="0"/>
          <w:sz w:val="24"/>
          <w:szCs w:val="24"/>
        </w:rPr>
        <w:t>突变将发色团平衡向阴离子方向大幅移动，使488 nm处的有效亮度相比野生型GFP提高约</w:t>
      </w:r>
      <w:r>
        <w:rPr>
          <w:rFonts w:ascii="Times New Roman" w:hAnsi="Times New Roman" w:eastAsia="宋体"/>
          <w:b w:val="0"/>
          <w:sz w:val="24"/>
          <w:szCs w:val="24"/>
          <w:highlight w:val="yellow"/>
        </w:rPr>
        <w:t>6倍</w:t>
      </w:r>
      <w:r>
        <w:rPr>
          <w:rFonts w:ascii="Times New Roman" w:hAnsi="Times New Roman" w:eastAsia="宋体"/>
          <w:b w:val="0"/>
          <w:sz w:val="24"/>
          <w:szCs w:val="24"/>
        </w:rPr>
        <w:t>（Patterson et al., 1997）。</w:t>
      </w:r>
    </w:p>
    <w:p w14:paraId="5743FA37">
      <w:pPr>
        <w:rPr>
          <w:rFonts w:ascii="Times New Roman" w:hAnsi="Times New Roman" w:eastAsia="宋体"/>
          <w:sz w:val="24"/>
          <w:szCs w:val="24"/>
        </w:rPr>
      </w:pPr>
      <w:r>
        <w:rPr>
          <w:rFonts w:ascii="Times New Roman" w:hAnsi="Times New Roman" w:eastAsia="宋体"/>
          <w:b/>
          <w:sz w:val="24"/>
          <w:szCs w:val="24"/>
        </w:rPr>
        <w:t>(b) 发色团环境的极性：</w:t>
      </w:r>
    </w:p>
    <w:p w14:paraId="37A49649">
      <w:pPr>
        <w:rPr>
          <w:rFonts w:ascii="Times New Roman" w:hAnsi="Times New Roman" w:eastAsia="宋体"/>
          <w:sz w:val="24"/>
          <w:szCs w:val="24"/>
        </w:rPr>
      </w:pPr>
      <w:r>
        <w:rPr>
          <w:rFonts w:ascii="Times New Roman" w:hAnsi="Times New Roman" w:eastAsia="宋体"/>
          <w:b w:val="0"/>
          <w:sz w:val="24"/>
          <w:szCs w:val="24"/>
        </w:rPr>
        <w:t>发色团周围的局部电场影响其基态偶极矩，进而调节跃迁偶极矩强度。极性/带电残基（如E222、R96）的取向和质子化状态影响ε。</w:t>
      </w:r>
    </w:p>
    <w:p w14:paraId="746B4722">
      <w:pPr>
        <w:rPr>
          <w:rFonts w:ascii="Times New Roman" w:hAnsi="Times New Roman" w:eastAsia="宋体"/>
          <w:sz w:val="24"/>
          <w:szCs w:val="24"/>
        </w:rPr>
      </w:pPr>
      <w:r>
        <w:rPr>
          <w:rFonts w:ascii="Times New Roman" w:hAnsi="Times New Roman" w:eastAsia="宋体"/>
          <w:b/>
          <w:sz w:val="24"/>
          <w:szCs w:val="24"/>
        </w:rPr>
        <w:t>(c) 发色团的共面性：</w:t>
      </w:r>
    </w:p>
    <w:p w14:paraId="245BC451">
      <w:pPr>
        <w:rPr>
          <w:rFonts w:ascii="Times New Roman" w:hAnsi="Times New Roman" w:eastAsia="宋体"/>
          <w:sz w:val="24"/>
          <w:szCs w:val="24"/>
        </w:rPr>
      </w:pPr>
      <w:r>
        <w:rPr>
          <w:rFonts w:ascii="Times New Roman" w:hAnsi="Times New Roman" w:eastAsia="宋体"/>
          <w:b w:val="0"/>
          <w:sz w:val="24"/>
          <w:szCs w:val="24"/>
        </w:rPr>
        <w:t>咪唑酮环与酚环之间的扭转角影响π轨道重叠——越接近平面（dihedral ~0°），共轭越有效，ε越高。某些突变可改变扭转角从而改变吸收特性。</w:t>
      </w:r>
    </w:p>
    <w:p w14:paraId="60A1BD82">
      <w:pPr>
        <w:pStyle w:val="4"/>
        <w:rPr>
          <w:rFonts w:ascii="Times New Roman" w:hAnsi="Times New Roman" w:eastAsia="宋体"/>
          <w:sz w:val="28"/>
          <w:szCs w:val="28"/>
        </w:rPr>
      </w:pPr>
      <w:r>
        <w:rPr>
          <w:rFonts w:ascii="Times New Roman" w:hAnsi="Times New Roman" w:eastAsia="宋体"/>
          <w:color w:val="003366"/>
          <w:sz w:val="28"/>
          <w:szCs w:val="28"/>
        </w:rPr>
        <w:t>2.2 量子产率（Φ）的决定因素</w:t>
      </w:r>
    </w:p>
    <w:p w14:paraId="02B96451">
      <w:pPr>
        <w:rPr>
          <w:rFonts w:ascii="Times New Roman" w:hAnsi="Times New Roman" w:eastAsia="宋体"/>
          <w:sz w:val="24"/>
          <w:szCs w:val="24"/>
        </w:rPr>
      </w:pPr>
      <w:r>
        <w:rPr>
          <w:rFonts w:ascii="Times New Roman" w:hAnsi="Times New Roman" w:eastAsia="宋体"/>
          <w:b w:val="0"/>
          <w:sz w:val="24"/>
          <w:szCs w:val="24"/>
        </w:rPr>
        <w:t>量子产率表示吸收的光子中产生荧光发射的比例。EGFP Φ ≈ 0.60-0.70。</w:t>
      </w:r>
    </w:p>
    <w:p w14:paraId="4EF511D4">
      <w:pPr>
        <w:rPr>
          <w:rFonts w:ascii="Times New Roman" w:hAnsi="Times New Roman" w:eastAsia="宋体"/>
          <w:sz w:val="24"/>
          <w:szCs w:val="24"/>
        </w:rPr>
      </w:pPr>
      <w:r>
        <w:rPr>
          <w:rFonts w:ascii="Times New Roman" w:hAnsi="Times New Roman" w:eastAsia="宋体"/>
          <w:b/>
          <w:sz w:val="24"/>
          <w:szCs w:val="24"/>
        </w:rPr>
        <w:t>(a) 发色团构象刚性：</w:t>
      </w:r>
    </w:p>
    <w:p w14:paraId="229499D6">
      <w:pPr>
        <w:rPr>
          <w:rFonts w:ascii="Times New Roman" w:hAnsi="Times New Roman" w:eastAsia="宋体"/>
          <w:sz w:val="24"/>
          <w:szCs w:val="24"/>
        </w:rPr>
      </w:pPr>
      <w:r>
        <w:rPr>
          <w:rFonts w:ascii="Times New Roman" w:hAnsi="Times New Roman" w:eastAsia="宋体"/>
          <w:b w:val="0"/>
          <w:sz w:val="24"/>
          <w:szCs w:val="24"/>
        </w:rPr>
        <w:t>β-桶限制发色团的分子内运动。在溶液中，分离的p-HBDI发色团因C=C双键的顺反异构化（Z→E光致异构化）而几乎不发光。蛋白质环境通过物理约束抑制该非辐射衰变通道。这就是为什么"发色团环境"比发色团本身对荧光更为关键。</w:t>
      </w:r>
    </w:p>
    <w:p w14:paraId="6C4A4E83">
      <w:pPr>
        <w:rPr>
          <w:rFonts w:ascii="Times New Roman" w:hAnsi="Times New Roman" w:eastAsia="宋体"/>
          <w:sz w:val="24"/>
          <w:szCs w:val="24"/>
        </w:rPr>
      </w:pPr>
      <w:r>
        <w:rPr>
          <w:rFonts w:ascii="Times New Roman" w:hAnsi="Times New Roman" w:eastAsia="宋体"/>
          <w:b/>
          <w:sz w:val="24"/>
          <w:szCs w:val="24"/>
        </w:rPr>
        <w:t>(b) 激发态质子转移效率：</w:t>
      </w:r>
    </w:p>
    <w:p w14:paraId="71A927B6">
      <w:pPr>
        <w:rPr>
          <w:rFonts w:ascii="Times New Roman" w:hAnsi="Times New Roman" w:eastAsia="宋体"/>
          <w:sz w:val="24"/>
          <w:szCs w:val="24"/>
        </w:rPr>
      </w:pPr>
      <w:r>
        <w:rPr>
          <w:rFonts w:ascii="Times New Roman" w:hAnsi="Times New Roman" w:eastAsia="宋体"/>
          <w:b w:val="0"/>
          <w:sz w:val="24"/>
          <w:szCs w:val="24"/>
        </w:rPr>
        <w:t>在wtGFP中，A态→I*的ESPT过程是高效荧光的必要前提。任何破坏质子线完整性的突变（如S205V/T203V双突变）将导致仅发出弱蓝色荧光。</w:t>
      </w:r>
    </w:p>
    <w:p w14:paraId="6D613CE2">
      <w:pPr>
        <w:rPr>
          <w:rFonts w:ascii="Times New Roman" w:hAnsi="Times New Roman" w:eastAsia="宋体"/>
          <w:sz w:val="24"/>
          <w:szCs w:val="24"/>
        </w:rPr>
      </w:pPr>
      <w:r>
        <w:rPr>
          <w:rFonts w:ascii="Times New Roman" w:hAnsi="Times New Roman" w:eastAsia="宋体"/>
          <w:b/>
          <w:sz w:val="24"/>
          <w:szCs w:val="24"/>
        </w:rPr>
        <w:t>(c) 光致电子转移（PET）：</w:t>
      </w:r>
    </w:p>
    <w:p w14:paraId="771185B5">
      <w:pPr>
        <w:rPr>
          <w:rFonts w:ascii="Times New Roman" w:hAnsi="Times New Roman" w:eastAsia="宋体"/>
          <w:sz w:val="24"/>
          <w:szCs w:val="24"/>
        </w:rPr>
      </w:pPr>
      <w:r>
        <w:rPr>
          <w:rFonts w:ascii="Times New Roman" w:hAnsi="Times New Roman" w:eastAsia="宋体"/>
          <w:b w:val="0"/>
          <w:sz w:val="24"/>
          <w:szCs w:val="24"/>
        </w:rPr>
        <w:t>发色团附近富电子残基（如Trp、Tyr、His）可淬灭激发态。某些GFP变体通过光致电子转移至Glu222产生暗态（光致变色副反应，van Thor, 2009）。减少PET可提高Φ。</w:t>
      </w:r>
    </w:p>
    <w:p w14:paraId="583CFE55">
      <w:pPr>
        <w:rPr>
          <w:rFonts w:ascii="Times New Roman" w:hAnsi="Times New Roman" w:eastAsia="宋体"/>
          <w:sz w:val="24"/>
          <w:szCs w:val="24"/>
        </w:rPr>
      </w:pPr>
      <w:r>
        <w:rPr>
          <w:rFonts w:ascii="Times New Roman" w:hAnsi="Times New Roman" w:eastAsia="宋体"/>
          <w:b/>
          <w:sz w:val="24"/>
          <w:szCs w:val="24"/>
        </w:rPr>
        <w:t>(d) 发色团成熟效率：</w:t>
      </w:r>
    </w:p>
    <w:p w14:paraId="41B9AE2D">
      <w:pPr>
        <w:rPr>
          <w:rFonts w:ascii="Times New Roman" w:hAnsi="Times New Roman" w:eastAsia="宋体"/>
          <w:sz w:val="24"/>
          <w:szCs w:val="24"/>
          <w:highlight w:val="yellow"/>
        </w:rPr>
      </w:pPr>
      <w:r>
        <w:rPr>
          <w:rFonts w:ascii="Times New Roman" w:hAnsi="Times New Roman" w:eastAsia="宋体"/>
          <w:b w:val="0"/>
          <w:sz w:val="24"/>
          <w:szCs w:val="24"/>
        </w:rPr>
        <w:t>荧光亮度与成熟发色团的数量成正比。如果折叠或成熟过程中有副反应（如氧化不完全、副产物裂解），会产生非荧光或弱荧光物种。</w:t>
      </w:r>
      <w:r>
        <w:rPr>
          <w:rFonts w:ascii="Times New Roman" w:hAnsi="Times New Roman" w:eastAsia="宋体"/>
          <w:b w:val="0"/>
          <w:sz w:val="24"/>
          <w:szCs w:val="24"/>
          <w:highlight w:val="yellow"/>
        </w:rPr>
        <w:t>某些突变（如F64L、S65T）可提高37°C下的成熟效率。</w:t>
      </w:r>
    </w:p>
    <w:p w14:paraId="575242A6">
      <w:pPr>
        <w:pStyle w:val="4"/>
        <w:rPr>
          <w:rFonts w:ascii="Times New Roman" w:hAnsi="Times New Roman" w:eastAsia="宋体"/>
          <w:color w:val="C00000"/>
          <w:sz w:val="28"/>
          <w:szCs w:val="28"/>
          <w:highlight w:val="yellow"/>
        </w:rPr>
      </w:pPr>
      <w:r>
        <w:rPr>
          <w:rFonts w:ascii="Times New Roman" w:hAnsi="Times New Roman" w:eastAsia="宋体"/>
          <w:color w:val="C00000"/>
          <w:sz w:val="28"/>
          <w:szCs w:val="28"/>
          <w:highlight w:val="yellow"/>
        </w:rPr>
        <w:t>2.3 发色团微环境的关键残基</w:t>
      </w:r>
    </w:p>
    <w:p w14:paraId="01478262">
      <w:pPr>
        <w:rPr>
          <w:rFonts w:ascii="Times New Roman" w:hAnsi="Times New Roman" w:eastAsia="宋体"/>
          <w:sz w:val="24"/>
          <w:szCs w:val="24"/>
        </w:rPr>
      </w:pPr>
      <w:r>
        <w:rPr>
          <w:rFonts w:ascii="Times New Roman" w:hAnsi="Times New Roman" w:eastAsia="宋体"/>
          <w:b w:val="0"/>
          <w:sz w:val="24"/>
          <w:szCs w:val="24"/>
        </w:rPr>
        <w:t>以下残基直接或间接影响发色团的光物理性质：</w:t>
      </w:r>
    </w:p>
    <w:p w14:paraId="77A1B907">
      <w:pPr>
        <w:rPr>
          <w:rFonts w:ascii="Times New Roman" w:hAnsi="Times New Roman" w:eastAsia="宋体"/>
          <w:color w:val="C00000"/>
          <w:sz w:val="24"/>
          <w:szCs w:val="24"/>
        </w:rPr>
      </w:pPr>
      <w:r>
        <w:rPr>
          <w:rFonts w:ascii="Times New Roman" w:hAnsi="Times New Roman" w:eastAsia="宋体"/>
          <w:b/>
          <w:color w:val="C00000"/>
          <w:sz w:val="24"/>
          <w:szCs w:val="24"/>
        </w:rPr>
        <w:t>Glu222 (E222)：</w:t>
      </w:r>
    </w:p>
    <w:p w14:paraId="3E619C2B">
      <w:pPr>
        <w:rPr>
          <w:rFonts w:ascii="Times New Roman" w:hAnsi="Times New Roman" w:eastAsia="宋体"/>
          <w:sz w:val="24"/>
          <w:szCs w:val="24"/>
        </w:rPr>
      </w:pPr>
      <w:r>
        <w:rPr>
          <w:rFonts w:ascii="Times New Roman" w:hAnsi="Times New Roman" w:eastAsia="宋体"/>
          <w:b w:val="0"/>
          <w:sz w:val="24"/>
          <w:szCs w:val="24"/>
        </w:rPr>
        <w:t>终端质子受体（ESPT）、控制发色团pKa、影响氧化vs裂解分支。E222Q突变改变质子化平衡。在mBaoJin中对应E212。</w:t>
      </w:r>
    </w:p>
    <w:p w14:paraId="01D70A6F">
      <w:pPr>
        <w:rPr>
          <w:rFonts w:ascii="Times New Roman" w:hAnsi="Times New Roman" w:eastAsia="宋体"/>
          <w:sz w:val="24"/>
          <w:szCs w:val="24"/>
        </w:rPr>
      </w:pPr>
      <w:r>
        <w:rPr>
          <w:rFonts w:ascii="Times New Roman" w:hAnsi="Times New Roman" w:eastAsia="宋体"/>
          <w:b/>
          <w:sz w:val="24"/>
          <w:szCs w:val="24"/>
        </w:rPr>
        <w:t>Ser205 (S205)：</w:t>
      </w:r>
    </w:p>
    <w:p w14:paraId="541EB50E">
      <w:pPr>
        <w:rPr>
          <w:rFonts w:ascii="Times New Roman" w:hAnsi="Times New Roman" w:eastAsia="宋体"/>
          <w:sz w:val="24"/>
          <w:szCs w:val="24"/>
        </w:rPr>
      </w:pPr>
      <w:r>
        <w:rPr>
          <w:rFonts w:ascii="Times New Roman" w:hAnsi="Times New Roman" w:eastAsia="宋体"/>
          <w:b w:val="0"/>
          <w:sz w:val="24"/>
          <w:szCs w:val="24"/>
        </w:rPr>
        <w:t>质子线中间站。S205V突变使ESPT减慢30倍但不消除。在S205V/T203V双突变中ESPT完全阻断。</w:t>
      </w:r>
    </w:p>
    <w:p w14:paraId="0281387A">
      <w:pPr>
        <w:rPr>
          <w:rFonts w:ascii="Times New Roman" w:hAnsi="Times New Roman" w:eastAsia="宋体"/>
          <w:sz w:val="24"/>
          <w:szCs w:val="24"/>
        </w:rPr>
      </w:pPr>
      <w:r>
        <w:rPr>
          <w:rFonts w:ascii="Times New Roman" w:hAnsi="Times New Roman" w:eastAsia="宋体"/>
          <w:b/>
          <w:sz w:val="24"/>
          <w:szCs w:val="24"/>
        </w:rPr>
        <w:t>Thr203 (T203)：</w:t>
      </w:r>
    </w:p>
    <w:p w14:paraId="43D849EF">
      <w:pPr>
        <w:rPr>
          <w:rFonts w:ascii="Times New Roman" w:hAnsi="Times New Roman" w:eastAsia="宋体"/>
          <w:sz w:val="24"/>
          <w:szCs w:val="24"/>
        </w:rPr>
      </w:pPr>
      <w:r>
        <w:rPr>
          <w:rFonts w:ascii="Times New Roman" w:hAnsi="Times New Roman" w:eastAsia="宋体"/>
          <w:b w:val="0"/>
          <w:sz w:val="24"/>
          <w:szCs w:val="24"/>
        </w:rPr>
        <w:t>与发色团酚羟基形成H-bond，稳定阴离子形式。T203V突变移除H-bond供体，改变pKa。</w:t>
      </w:r>
    </w:p>
    <w:p w14:paraId="00530050">
      <w:pPr>
        <w:rPr>
          <w:rFonts w:ascii="Times New Roman" w:hAnsi="Times New Roman" w:eastAsia="宋体"/>
          <w:sz w:val="24"/>
          <w:szCs w:val="24"/>
        </w:rPr>
      </w:pPr>
      <w:r>
        <w:rPr>
          <w:rFonts w:ascii="Times New Roman" w:hAnsi="Times New Roman" w:eastAsia="宋体"/>
          <w:b/>
          <w:sz w:val="24"/>
          <w:szCs w:val="24"/>
        </w:rPr>
        <w:t>Arg96 (R96)：</w:t>
      </w:r>
    </w:p>
    <w:p w14:paraId="74D51987">
      <w:pPr>
        <w:rPr>
          <w:rFonts w:ascii="Times New Roman" w:hAnsi="Times New Roman" w:eastAsia="宋体"/>
          <w:sz w:val="24"/>
          <w:szCs w:val="24"/>
        </w:rPr>
      </w:pPr>
      <w:r>
        <w:rPr>
          <w:rFonts w:ascii="Times New Roman" w:hAnsi="Times New Roman" w:eastAsia="宋体"/>
          <w:b w:val="0"/>
          <w:sz w:val="24"/>
          <w:szCs w:val="24"/>
        </w:rPr>
        <w:t>催化环化的关键静电催化剂。稳定螺旋kink和烯醇中间体。R96A突变将成熟从分钟级延迟到月级。</w:t>
      </w:r>
    </w:p>
    <w:p w14:paraId="01A988D7">
      <w:pPr>
        <w:rPr>
          <w:rFonts w:ascii="Times New Roman" w:hAnsi="Times New Roman" w:eastAsia="宋体"/>
          <w:color w:val="C00000"/>
          <w:sz w:val="24"/>
          <w:szCs w:val="24"/>
          <w:highlight w:val="yellow"/>
        </w:rPr>
      </w:pPr>
      <w:r>
        <w:rPr>
          <w:rFonts w:ascii="Times New Roman" w:hAnsi="Times New Roman" w:eastAsia="宋体"/>
          <w:b/>
          <w:color w:val="C00000"/>
          <w:sz w:val="24"/>
          <w:szCs w:val="24"/>
          <w:highlight w:val="yellow"/>
        </w:rPr>
        <w:t>His148 (H148)：</w:t>
      </w:r>
    </w:p>
    <w:p w14:paraId="4E01C376">
      <w:pPr>
        <w:rPr>
          <w:rFonts w:ascii="Times New Roman" w:hAnsi="Times New Roman" w:eastAsia="宋体"/>
          <w:sz w:val="24"/>
          <w:szCs w:val="24"/>
        </w:rPr>
      </w:pPr>
      <w:r>
        <w:rPr>
          <w:rFonts w:ascii="Times New Roman" w:hAnsi="Times New Roman" w:eastAsia="宋体"/>
          <w:b w:val="0"/>
          <w:sz w:val="24"/>
          <w:szCs w:val="24"/>
        </w:rPr>
        <w:t>在发色团酚环附近，参与H-bond网络。H148S（YuzuFP）通过改善与发色团和W1水的H-bond提高亮度1.5倍。</w:t>
      </w:r>
    </w:p>
    <w:p w14:paraId="46FBDDE6">
      <w:pPr>
        <w:rPr>
          <w:rFonts w:ascii="Times New Roman" w:hAnsi="Times New Roman" w:eastAsia="宋体"/>
          <w:color w:val="C00000"/>
          <w:sz w:val="24"/>
          <w:szCs w:val="24"/>
          <w:highlight w:val="yellow"/>
        </w:rPr>
      </w:pPr>
      <w:r>
        <w:rPr>
          <w:rFonts w:ascii="Times New Roman" w:hAnsi="Times New Roman" w:eastAsia="宋体"/>
          <w:b/>
          <w:color w:val="C00000"/>
          <w:sz w:val="24"/>
          <w:szCs w:val="24"/>
          <w:highlight w:val="yellow"/>
        </w:rPr>
        <w:t>Tyr145 (Y145)：</w:t>
      </w:r>
    </w:p>
    <w:p w14:paraId="30D44CC0">
      <w:pPr>
        <w:rPr>
          <w:rFonts w:ascii="Times New Roman" w:hAnsi="Times New Roman" w:eastAsia="宋体"/>
          <w:sz w:val="24"/>
          <w:szCs w:val="24"/>
        </w:rPr>
      </w:pPr>
      <w:r>
        <w:rPr>
          <w:rFonts w:ascii="Times New Roman" w:hAnsi="Times New Roman" w:eastAsia="宋体"/>
          <w:b w:val="0"/>
          <w:sz w:val="24"/>
          <w:szCs w:val="24"/>
        </w:rPr>
        <w:t>β-桶"盖"残基。Y145F突变（sfGFP中）缓解疏水核心应变，提高热稳定性但不降低亮度。</w:t>
      </w:r>
      <w:bookmarkStart w:id="0" w:name="_GoBack"/>
      <w:bookmarkEnd w:id="0"/>
    </w:p>
    <w:p w14:paraId="22FFF7CB">
      <w:pPr>
        <w:rPr>
          <w:rFonts w:ascii="Times New Roman" w:hAnsi="Times New Roman" w:eastAsia="宋体"/>
          <w:color w:val="C00000"/>
          <w:sz w:val="24"/>
          <w:szCs w:val="24"/>
          <w:highlight w:val="yellow"/>
        </w:rPr>
      </w:pPr>
      <w:r>
        <w:rPr>
          <w:rFonts w:ascii="Times New Roman" w:hAnsi="Times New Roman" w:eastAsia="宋体"/>
          <w:b/>
          <w:color w:val="C00000"/>
          <w:sz w:val="24"/>
          <w:szCs w:val="24"/>
          <w:highlight w:val="yellow"/>
        </w:rPr>
        <w:t>Gln66 (Q66)：</w:t>
      </w:r>
    </w:p>
    <w:p w14:paraId="20D7B698">
      <w:pPr>
        <w:rPr>
          <w:rFonts w:ascii="Times New Roman" w:hAnsi="Times New Roman" w:eastAsia="宋体"/>
          <w:sz w:val="24"/>
          <w:szCs w:val="24"/>
        </w:rPr>
      </w:pPr>
      <w:r>
        <w:rPr>
          <w:rFonts w:ascii="Times New Roman" w:hAnsi="Times New Roman" w:eastAsia="宋体"/>
          <w:b w:val="0"/>
          <w:sz w:val="24"/>
          <w:szCs w:val="24"/>
        </w:rPr>
        <w:t>在Thermo Green Protein中，Q66E突变改善化学稳定性和pH稳定性。</w:t>
      </w:r>
    </w:p>
    <w:p w14:paraId="146A9320">
      <w:pPr>
        <w:pStyle w:val="4"/>
        <w:rPr>
          <w:rFonts w:ascii="Times New Roman" w:hAnsi="Times New Roman" w:eastAsia="宋体"/>
          <w:sz w:val="28"/>
          <w:szCs w:val="28"/>
        </w:rPr>
      </w:pPr>
      <w:r>
        <w:rPr>
          <w:rFonts w:ascii="Times New Roman" w:hAnsi="Times New Roman" w:eastAsia="宋体"/>
          <w:color w:val="003366"/>
          <w:sz w:val="28"/>
          <w:szCs w:val="28"/>
        </w:rPr>
        <w:t>2.4 pH依赖性与pKa</w:t>
      </w:r>
    </w:p>
    <w:p w14:paraId="0A615C63">
      <w:pPr>
        <w:rPr>
          <w:rFonts w:ascii="Times New Roman" w:hAnsi="Times New Roman" w:eastAsia="宋体"/>
          <w:sz w:val="24"/>
          <w:szCs w:val="24"/>
        </w:rPr>
      </w:pPr>
      <w:r>
        <w:rPr>
          <w:rFonts w:ascii="Times New Roman" w:hAnsi="Times New Roman" w:eastAsia="宋体"/>
          <w:b w:val="0"/>
          <w:sz w:val="24"/>
          <w:szCs w:val="24"/>
        </w:rPr>
        <w:t>发色团的pKa是决定GFP在给定pH条件下"开启"比例的核心参数。pKa被定义为50%发色团处于阴离子荧光状态时的pH值。</w:t>
      </w:r>
    </w:p>
    <w:p w14:paraId="60C4A356">
      <w:pPr>
        <w:rPr>
          <w:rFonts w:ascii="Times New Roman" w:hAnsi="Times New Roman" w:eastAsia="宋体"/>
          <w:sz w:val="24"/>
          <w:szCs w:val="24"/>
        </w:rPr>
      </w:pPr>
      <w:r>
        <w:rPr>
          <w:rFonts w:ascii="Times New Roman" w:hAnsi="Times New Roman" w:eastAsia="宋体"/>
          <w:b w:val="0"/>
          <w:sz w:val="24"/>
          <w:szCs w:val="24"/>
        </w:rPr>
        <w:t>• wtGFP pKa ~6.0：在细胞质（pH 7.2）中约94%为荧光态；但在酸性细胞器（高尔基体pH 6.0-6.7、内体pH 5.5-6.0、溶酶体pH 4.5-5.0）中荧光显著降低</w:t>
      </w:r>
      <w:r>
        <w:rPr>
          <w:rFonts w:ascii="Times New Roman" w:hAnsi="Times New Roman" w:eastAsia="宋体"/>
          <w:b w:val="0"/>
          <w:sz w:val="24"/>
          <w:szCs w:val="24"/>
        </w:rPr>
        <w:br w:type="textWrapping"/>
      </w:r>
      <w:r>
        <w:rPr>
          <w:rFonts w:ascii="Times New Roman" w:hAnsi="Times New Roman" w:eastAsia="宋体"/>
          <w:b w:val="0"/>
          <w:sz w:val="24"/>
          <w:szCs w:val="24"/>
        </w:rPr>
        <w:t>• EGFP pKa ~5.6-6.0：中等的pH敏感性</w:t>
      </w:r>
      <w:r>
        <w:rPr>
          <w:rFonts w:ascii="Times New Roman" w:hAnsi="Times New Roman" w:eastAsia="宋体"/>
          <w:b w:val="0"/>
          <w:sz w:val="24"/>
          <w:szCs w:val="24"/>
        </w:rPr>
        <w:br w:type="textWrapping"/>
      </w:r>
      <w:r>
        <w:rPr>
          <w:rFonts w:ascii="Times New Roman" w:hAnsi="Times New Roman" w:eastAsia="宋体"/>
          <w:b w:val="0"/>
          <w:sz w:val="24"/>
          <w:szCs w:val="24"/>
        </w:rPr>
        <w:t>• sfGFP pKa ~5.4：略优于EGFP</w:t>
      </w:r>
      <w:r>
        <w:rPr>
          <w:rFonts w:ascii="Times New Roman" w:hAnsi="Times New Roman" w:eastAsia="宋体"/>
          <w:b w:val="0"/>
          <w:sz w:val="24"/>
          <w:szCs w:val="24"/>
        </w:rPr>
        <w:br w:type="textWrapping"/>
      </w:r>
      <w:r>
        <w:rPr>
          <w:rFonts w:ascii="Times New Roman" w:hAnsi="Times New Roman" w:eastAsia="宋体"/>
          <w:b w:val="0"/>
          <w:sz w:val="24"/>
          <w:szCs w:val="24"/>
        </w:rPr>
        <w:t>• mBaoJin pKa ~4.37：几乎所有细胞器均可使用</w:t>
      </w:r>
      <w:r>
        <w:rPr>
          <w:rFonts w:ascii="Times New Roman" w:hAnsi="Times New Roman" w:eastAsia="宋体"/>
          <w:b w:val="0"/>
          <w:sz w:val="24"/>
          <w:szCs w:val="24"/>
        </w:rPr>
        <w:br w:type="textWrapping"/>
      </w:r>
      <w:r>
        <w:rPr>
          <w:rFonts w:ascii="Times New Roman" w:hAnsi="Times New Roman" w:eastAsia="宋体"/>
          <w:b w:val="0"/>
          <w:sz w:val="24"/>
          <w:szCs w:val="24"/>
        </w:rPr>
        <w:t>• bfloGFPa1 pKa ~3.0：极好的耐酸性，适用于溶酶体成像</w:t>
      </w:r>
    </w:p>
    <w:p w14:paraId="5D1767E7">
      <w:pPr>
        <w:rPr>
          <w:rFonts w:ascii="Times New Roman" w:hAnsi="Times New Roman" w:eastAsia="宋体"/>
          <w:sz w:val="24"/>
          <w:szCs w:val="24"/>
        </w:rPr>
      </w:pPr>
      <w:r>
        <w:rPr>
          <w:rFonts w:ascii="Times New Roman" w:hAnsi="Times New Roman" w:eastAsia="宋体"/>
          <w:b w:val="0"/>
          <w:sz w:val="24"/>
          <w:szCs w:val="24"/>
        </w:rPr>
        <w:t>pKa由发色团周围H-bond网络和静电场精细调控。降低pKa的策略包括：引入正电荷稳定阴离子发色团、移除稳定中性发色团的H-bond供体、优化发色团腔的静电环境。</w:t>
      </w:r>
    </w:p>
    <w:p w14:paraId="05D64CCE">
      <w:pPr>
        <w:pStyle w:val="4"/>
        <w:rPr>
          <w:rFonts w:ascii="Times New Roman" w:hAnsi="Times New Roman" w:eastAsia="宋体"/>
          <w:sz w:val="28"/>
          <w:szCs w:val="28"/>
        </w:rPr>
      </w:pPr>
      <w:r>
        <w:rPr>
          <w:rFonts w:ascii="Times New Roman" w:hAnsi="Times New Roman" w:eastAsia="宋体"/>
          <w:color w:val="003366"/>
          <w:sz w:val="28"/>
          <w:szCs w:val="28"/>
        </w:rPr>
        <w:t>2.5 亮度-光稳定性权衡（及其突破）</w:t>
      </w:r>
    </w:p>
    <w:p w14:paraId="44F40D40">
      <w:pPr>
        <w:rPr>
          <w:rFonts w:ascii="Times New Roman" w:hAnsi="Times New Roman" w:eastAsia="宋体"/>
          <w:sz w:val="24"/>
          <w:szCs w:val="24"/>
        </w:rPr>
      </w:pPr>
      <w:r>
        <w:rPr>
          <w:rFonts w:ascii="Times New Roman" w:hAnsi="Times New Roman" w:eastAsia="宋体"/>
          <w:b w:val="0"/>
          <w:sz w:val="24"/>
          <w:szCs w:val="24"/>
        </w:rPr>
        <w:t>传统GFP工程面临一个根本性矛盾：分子氧（O₂）既是发色团成熟所必需，又在激发态下发色团与O₂反应产生单线态氧（¹O₂）导致光漂白（photobleaching）。历史上提高光稳定性的努力（如SiriusGFP）往往以牺牲亮度为代价（量子产率降低约3倍）。</w:t>
      </w:r>
    </w:p>
    <w:p w14:paraId="1CD23D3F">
      <w:pPr>
        <w:rPr>
          <w:rFonts w:ascii="Times New Roman" w:hAnsi="Times New Roman" w:eastAsia="宋体"/>
          <w:sz w:val="24"/>
          <w:szCs w:val="24"/>
        </w:rPr>
      </w:pPr>
      <w:r>
        <w:rPr>
          <w:rFonts w:ascii="Times New Roman" w:hAnsi="Times New Roman" w:eastAsia="宋体"/>
          <w:b w:val="0"/>
          <w:sz w:val="24"/>
          <w:szCs w:val="24"/>
        </w:rPr>
        <w:t>2022-2024年的突破——StayGold/mBaoJin打破了这一权衡：</w:t>
      </w:r>
      <w:r>
        <w:rPr>
          <w:rFonts w:ascii="Times New Roman" w:hAnsi="Times New Roman" w:eastAsia="宋体"/>
          <w:b w:val="0"/>
          <w:sz w:val="24"/>
          <w:szCs w:val="24"/>
        </w:rPr>
        <w:br w:type="textWrapping"/>
      </w:r>
      <w:r>
        <w:rPr>
          <w:rFonts w:ascii="Times New Roman" w:hAnsi="Times New Roman" w:eastAsia="宋体"/>
          <w:b w:val="0"/>
          <w:sz w:val="24"/>
          <w:szCs w:val="24"/>
        </w:rPr>
        <w:t>• 多个H-bond和疏水接触将发色团（p-HBDI）更牢固地固定——抑制Z→E异构化非辐射衰变</w:t>
      </w:r>
      <w:r>
        <w:rPr>
          <w:rFonts w:ascii="Times New Roman" w:hAnsi="Times New Roman" w:eastAsia="宋体"/>
          <w:b w:val="0"/>
          <w:sz w:val="24"/>
          <w:szCs w:val="24"/>
        </w:rPr>
        <w:br w:type="textWrapping"/>
      </w:r>
      <w:r>
        <w:rPr>
          <w:rFonts w:ascii="Times New Roman" w:hAnsi="Times New Roman" w:eastAsia="宋体"/>
          <w:b w:val="0"/>
          <w:sz w:val="24"/>
          <w:szCs w:val="24"/>
        </w:rPr>
        <w:t>• 同时降低了激发态发色团与O₂的反应概率</w:t>
      </w:r>
      <w:r>
        <w:rPr>
          <w:rFonts w:ascii="Times New Roman" w:hAnsi="Times New Roman" w:eastAsia="宋体"/>
          <w:b w:val="0"/>
          <w:sz w:val="24"/>
          <w:szCs w:val="24"/>
        </w:rPr>
        <w:br w:type="textWrapping"/>
      </w:r>
      <w:r>
        <w:rPr>
          <w:rFonts w:ascii="Times New Roman" w:hAnsi="Times New Roman" w:eastAsia="宋体"/>
          <w:b w:val="0"/>
          <w:sz w:val="24"/>
          <w:szCs w:val="24"/>
        </w:rPr>
        <w:t>• mBaoJin还含有一个氯离子（Cl⁻）结合口袋（Kd ~3 mM），生理氯离子浓度（140-300 mM）使亮度提高约15%，光稳定性提高约2.24倍</w:t>
      </w:r>
      <w:r>
        <w:rPr>
          <w:rFonts w:ascii="Times New Roman" w:hAnsi="Times New Roman" w:eastAsia="宋体"/>
          <w:b w:val="0"/>
          <w:sz w:val="24"/>
          <w:szCs w:val="24"/>
        </w:rPr>
        <w:br w:type="textWrapping"/>
      </w:r>
      <w:r>
        <w:rPr>
          <w:rFonts w:ascii="Times New Roman" w:hAnsi="Times New Roman" w:eastAsia="宋体"/>
          <w:b w:val="0"/>
          <w:sz w:val="24"/>
          <w:szCs w:val="24"/>
        </w:rPr>
        <w:t>• 结果：比EGFP光稳定15倍（mBaoJin），同时保持相当甚至更高的亮度</w:t>
      </w:r>
    </w:p>
    <w:p w14:paraId="1452B9EC">
      <w:pPr>
        <w:rPr>
          <w:rFonts w:ascii="Times New Roman" w:hAnsi="Times New Roman" w:eastAsia="宋体"/>
          <w:sz w:val="24"/>
          <w:szCs w:val="24"/>
        </w:rPr>
      </w:pPr>
      <w:r>
        <w:rPr>
          <w:rFonts w:ascii="Times New Roman" w:hAnsi="Times New Roman" w:eastAsia="宋体"/>
          <w:sz w:val="24"/>
          <w:szCs w:val="24"/>
        </w:rPr>
        <w:br w:type="page"/>
      </w:r>
    </w:p>
    <w:p w14:paraId="0DC5A95C">
      <w:pPr>
        <w:pStyle w:val="3"/>
        <w:rPr>
          <w:rFonts w:ascii="Times New Roman" w:hAnsi="Times New Roman" w:eastAsia="宋体"/>
          <w:sz w:val="32"/>
          <w:szCs w:val="32"/>
        </w:rPr>
      </w:pPr>
      <w:r>
        <w:rPr>
          <w:rFonts w:ascii="Times New Roman" w:hAnsi="Times New Roman" w:eastAsia="宋体"/>
          <w:color w:val="003366"/>
          <w:sz w:val="32"/>
          <w:szCs w:val="32"/>
        </w:rPr>
        <w:t>第三章  影响GFP热稳定性的因素</w:t>
      </w:r>
    </w:p>
    <w:p w14:paraId="45955F29">
      <w:pPr>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5920105" cy="3520440"/>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20105" cy="3520440"/>
                    </a:xfrm>
                    <a:prstGeom prst="rect">
                      <a:avLst/>
                    </a:prstGeom>
                  </pic:spPr>
                </pic:pic>
              </a:graphicData>
            </a:graphic>
          </wp:inline>
        </w:drawing>
      </w:r>
    </w:p>
    <w:p w14:paraId="53F66C26">
      <w:pPr>
        <w:jc w:val="center"/>
        <w:rPr>
          <w:rFonts w:ascii="Times New Roman" w:hAnsi="Times New Roman" w:eastAsia="宋体"/>
          <w:sz w:val="24"/>
          <w:szCs w:val="24"/>
        </w:rPr>
      </w:pPr>
      <w:r>
        <w:rPr>
          <w:rFonts w:ascii="Times New Roman" w:hAnsi="Times New Roman" w:eastAsia="宋体"/>
          <w:color w:val="646464"/>
          <w:sz w:val="20"/>
          <w:szCs w:val="24"/>
        </w:rPr>
        <w:t>图5: 影响GFP热稳定性的六大关键因素——从疏水核心到表面电荷</w:t>
      </w:r>
    </w:p>
    <w:p w14:paraId="148CD449">
      <w:pPr>
        <w:pStyle w:val="4"/>
        <w:rPr>
          <w:rFonts w:ascii="Times New Roman" w:hAnsi="Times New Roman" w:eastAsia="宋体"/>
          <w:sz w:val="28"/>
          <w:szCs w:val="28"/>
        </w:rPr>
      </w:pPr>
      <w:r>
        <w:rPr>
          <w:rFonts w:ascii="Times New Roman" w:hAnsi="Times New Roman" w:eastAsia="宋体"/>
          <w:color w:val="003366"/>
          <w:sz w:val="28"/>
          <w:szCs w:val="28"/>
        </w:rPr>
        <w:t>3.1 β-桶结构的完整性</w:t>
      </w:r>
    </w:p>
    <w:p w14:paraId="2F30ADF2">
      <w:pPr>
        <w:rPr>
          <w:rFonts w:ascii="Times New Roman" w:hAnsi="Times New Roman" w:eastAsia="宋体"/>
          <w:sz w:val="24"/>
          <w:szCs w:val="24"/>
        </w:rPr>
      </w:pPr>
      <w:r>
        <w:rPr>
          <w:rFonts w:ascii="Times New Roman" w:hAnsi="Times New Roman" w:eastAsia="宋体"/>
          <w:b w:val="0"/>
          <w:sz w:val="24"/>
          <w:szCs w:val="24"/>
        </w:rPr>
        <w:t>GFP的11条反平行β链间形成广泛的骨架氢键网络，提供结构的整体刚性。桶形几何结构既是荧光功能的保障（维持发色团平面性），也是热稳定性的基础。</w:t>
      </w:r>
    </w:p>
    <w:p w14:paraId="627DC0D8">
      <w:pPr>
        <w:rPr>
          <w:rFonts w:ascii="Times New Roman" w:hAnsi="Times New Roman" w:eastAsia="宋体"/>
          <w:sz w:val="24"/>
          <w:szCs w:val="24"/>
        </w:rPr>
      </w:pPr>
      <w:r>
        <w:rPr>
          <w:rFonts w:ascii="Times New Roman" w:hAnsi="Times New Roman" w:eastAsia="宋体"/>
          <w:b/>
          <w:sz w:val="24"/>
          <w:szCs w:val="24"/>
        </w:rPr>
        <w:t>影响β-桶完整性的因素：</w:t>
      </w:r>
    </w:p>
    <w:p w14:paraId="79E8A1C6">
      <w:pPr>
        <w:rPr>
          <w:rFonts w:ascii="Times New Roman" w:hAnsi="Times New Roman" w:eastAsia="宋体"/>
          <w:sz w:val="24"/>
          <w:szCs w:val="24"/>
        </w:rPr>
      </w:pPr>
      <w:r>
        <w:rPr>
          <w:rFonts w:ascii="Times New Roman" w:hAnsi="Times New Roman" w:eastAsia="宋体"/>
          <w:b w:val="0"/>
          <w:sz w:val="24"/>
          <w:szCs w:val="24"/>
        </w:rPr>
        <w:t>• β链间的H-bond饱和程度：断裂的H-bond需要水分子补偿，形成"结构弱点"</w:t>
      </w:r>
      <w:r>
        <w:rPr>
          <w:rFonts w:ascii="Times New Roman" w:hAnsi="Times New Roman" w:eastAsia="宋体"/>
          <w:b w:val="0"/>
          <w:sz w:val="24"/>
          <w:szCs w:val="24"/>
        </w:rPr>
        <w:br w:type="textWrapping"/>
      </w:r>
      <w:r>
        <w:rPr>
          <w:rFonts w:ascii="Times New Roman" w:hAnsi="Times New Roman" w:eastAsia="宋体"/>
          <w:b w:val="0"/>
          <w:sz w:val="24"/>
          <w:szCs w:val="24"/>
        </w:rPr>
        <w:t>• β-桶的几何张力：某些突变可能引入局部应变（如Y145的OH被迫弯曲），纠正这些应变可提高稳定性</w:t>
      </w:r>
      <w:r>
        <w:rPr>
          <w:rFonts w:ascii="Times New Roman" w:hAnsi="Times New Roman" w:eastAsia="宋体"/>
          <w:b w:val="0"/>
          <w:sz w:val="24"/>
          <w:szCs w:val="24"/>
        </w:rPr>
        <w:br w:type="textWrapping"/>
      </w:r>
      <w:r>
        <w:rPr>
          <w:rFonts w:ascii="Times New Roman" w:hAnsi="Times New Roman" w:eastAsia="宋体"/>
          <w:b w:val="0"/>
          <w:sz w:val="24"/>
          <w:szCs w:val="24"/>
        </w:rPr>
        <w:t>• 桶盖残基（lid residues）：Y145、H148、T203等对保护发色团和维持桶形至关重要</w:t>
      </w:r>
      <w:r>
        <w:rPr>
          <w:rFonts w:ascii="Times New Roman" w:hAnsi="Times New Roman" w:eastAsia="宋体"/>
          <w:b w:val="0"/>
          <w:sz w:val="24"/>
          <w:szCs w:val="24"/>
        </w:rPr>
        <w:br w:type="textWrapping"/>
      </w:r>
      <w:r>
        <w:rPr>
          <w:rFonts w:ascii="Times New Roman" w:hAnsi="Times New Roman" w:eastAsia="宋体"/>
          <w:b w:val="0"/>
          <w:sz w:val="24"/>
          <w:szCs w:val="24"/>
        </w:rPr>
        <w:t>• 内部水分子：桶内的保守水分子参与关键的H-bond网络</w:t>
      </w:r>
    </w:p>
    <w:p w14:paraId="2D62B7AF">
      <w:pPr>
        <w:pStyle w:val="4"/>
        <w:rPr>
          <w:rFonts w:ascii="Times New Roman" w:hAnsi="Times New Roman" w:eastAsia="宋体"/>
          <w:sz w:val="28"/>
          <w:szCs w:val="28"/>
        </w:rPr>
      </w:pPr>
      <w:r>
        <w:rPr>
          <w:rFonts w:ascii="Times New Roman" w:hAnsi="Times New Roman" w:eastAsia="宋体"/>
          <w:color w:val="003366"/>
          <w:sz w:val="28"/>
          <w:szCs w:val="28"/>
        </w:rPr>
        <w:t>3.2 疏水核心的堆积</w:t>
      </w:r>
    </w:p>
    <w:p w14:paraId="78487462">
      <w:pPr>
        <w:rPr>
          <w:rFonts w:ascii="Times New Roman" w:hAnsi="Times New Roman" w:eastAsia="宋体"/>
          <w:sz w:val="24"/>
          <w:szCs w:val="24"/>
        </w:rPr>
      </w:pPr>
      <w:r>
        <w:rPr>
          <w:rFonts w:ascii="Times New Roman" w:hAnsi="Times New Roman" w:eastAsia="宋体"/>
          <w:b w:val="0"/>
          <w:sz w:val="24"/>
          <w:szCs w:val="24"/>
        </w:rPr>
        <w:t>GFP的β-桶内部主要是疏水环境，核心残基的范德华堆积（van der Waals packing）是热稳定性的重要贡献者。</w:t>
      </w:r>
    </w:p>
    <w:p w14:paraId="310188F8">
      <w:pPr>
        <w:rPr>
          <w:rFonts w:ascii="Times New Roman" w:hAnsi="Times New Roman" w:eastAsia="宋体"/>
          <w:sz w:val="24"/>
          <w:szCs w:val="24"/>
        </w:rPr>
      </w:pPr>
      <w:r>
        <w:rPr>
          <w:rFonts w:ascii="Times New Roman" w:hAnsi="Times New Roman" w:eastAsia="宋体"/>
          <w:b w:val="0"/>
          <w:sz w:val="24"/>
          <w:szCs w:val="24"/>
        </w:rPr>
        <w:t>Y145F突变是核心堆积优化的经典案例：野生型中Y145的酚羟基被迫弯曲远离疏水核心，产生局部应变。Y→F替换移除该羟基，使F145可以深埋于疏水核心中紧密堆积，单独贡献+3-4°C的热稳定性提升。CD光谱确证β-桶整体折叠保持不变。</w:t>
      </w:r>
    </w:p>
    <w:p w14:paraId="4083BE34">
      <w:pPr>
        <w:pStyle w:val="4"/>
        <w:rPr>
          <w:rFonts w:ascii="Times New Roman" w:hAnsi="Times New Roman" w:eastAsia="宋体"/>
          <w:sz w:val="28"/>
          <w:szCs w:val="28"/>
        </w:rPr>
      </w:pPr>
      <w:r>
        <w:rPr>
          <w:rFonts w:ascii="Times New Roman" w:hAnsi="Times New Roman" w:eastAsia="宋体"/>
          <w:color w:val="003366"/>
          <w:sz w:val="28"/>
          <w:szCs w:val="28"/>
        </w:rPr>
        <w:t>3.3 关键稳定突变及其机制</w:t>
      </w:r>
    </w:p>
    <w:p w14:paraId="6FC21451">
      <w:pPr>
        <w:rPr>
          <w:rFonts w:ascii="Times New Roman" w:hAnsi="Times New Roman" w:eastAsia="宋体"/>
          <w:sz w:val="24"/>
          <w:szCs w:val="24"/>
        </w:rPr>
      </w:pPr>
      <w:r>
        <w:rPr>
          <w:rFonts w:ascii="Times New Roman" w:hAnsi="Times New Roman" w:eastAsia="宋体"/>
          <w:b/>
          <w:sz w:val="24"/>
          <w:szCs w:val="24"/>
        </w:rPr>
        <w:t>超折叠GFP（sfGFP）——多突变协同稳定的典范：</w:t>
      </w:r>
    </w:p>
    <w:p w14:paraId="4EC62414">
      <w:pPr>
        <w:rPr>
          <w:rFonts w:ascii="Times New Roman" w:hAnsi="Times New Roman" w:eastAsia="宋体"/>
          <w:sz w:val="24"/>
          <w:szCs w:val="24"/>
        </w:rPr>
      </w:pPr>
      <w:r>
        <w:rPr>
          <w:rFonts w:ascii="Times New Roman" w:hAnsi="Times New Roman" w:eastAsia="宋体"/>
          <w:b w:val="0"/>
          <w:sz w:val="24"/>
          <w:szCs w:val="24"/>
        </w:rPr>
        <w:t>Pédelacq, Cabantous, Waldo等人（2006, Nature Biotechnology, DOI: 10.1038/nbt1172）通过定向进化开发了sfGFP。除S65T和F64L外，额外引入6个关键突变：</w:t>
      </w:r>
    </w:p>
    <w:p w14:paraId="1C7BA166">
      <w:pPr>
        <w:pStyle w:val="16"/>
        <w:rPr>
          <w:rFonts w:ascii="Times New Roman" w:hAnsi="Times New Roman" w:eastAsia="宋体"/>
          <w:sz w:val="24"/>
          <w:szCs w:val="24"/>
        </w:rPr>
      </w:pPr>
      <w:r>
        <w:rPr>
          <w:rFonts w:ascii="Times New Roman" w:hAnsi="Times New Roman" w:eastAsia="宋体"/>
          <w:sz w:val="24"/>
          <w:szCs w:val="24"/>
        </w:rPr>
        <w:t>S30R — 表面电荷突变，改善溶解性和抗聚集</w:t>
      </w:r>
    </w:p>
    <w:p w14:paraId="78946197">
      <w:pPr>
        <w:pStyle w:val="16"/>
        <w:rPr>
          <w:rFonts w:ascii="Times New Roman" w:hAnsi="Times New Roman" w:eastAsia="宋体"/>
          <w:sz w:val="24"/>
          <w:szCs w:val="24"/>
        </w:rPr>
      </w:pPr>
      <w:r>
        <w:rPr>
          <w:rFonts w:ascii="Times New Roman" w:hAnsi="Times New Roman" w:eastAsia="宋体"/>
          <w:sz w:val="24"/>
          <w:szCs w:val="24"/>
        </w:rPr>
        <w:t>Y39N — 表面极性优化</w:t>
      </w:r>
    </w:p>
    <w:p w14:paraId="3ABF653C">
      <w:pPr>
        <w:pStyle w:val="16"/>
        <w:rPr>
          <w:rFonts w:ascii="Times New Roman" w:hAnsi="Times New Roman" w:eastAsia="宋体"/>
          <w:sz w:val="24"/>
          <w:szCs w:val="24"/>
        </w:rPr>
      </w:pPr>
      <w:r>
        <w:rPr>
          <w:rFonts w:ascii="Times New Roman" w:hAnsi="Times New Roman" w:eastAsia="宋体"/>
          <w:sz w:val="24"/>
          <w:szCs w:val="24"/>
        </w:rPr>
        <w:t>N105T — 可能影响β链间H-bond</w:t>
      </w:r>
    </w:p>
    <w:p w14:paraId="1D8C805B">
      <w:pPr>
        <w:pStyle w:val="16"/>
        <w:rPr>
          <w:rFonts w:ascii="Times New Roman" w:hAnsi="Times New Roman" w:eastAsia="宋体"/>
          <w:sz w:val="24"/>
          <w:szCs w:val="24"/>
        </w:rPr>
      </w:pPr>
      <w:r>
        <w:rPr>
          <w:rFonts w:ascii="Times New Roman" w:hAnsi="Times New Roman" w:eastAsia="宋体"/>
          <w:sz w:val="24"/>
          <w:szCs w:val="24"/>
        </w:rPr>
        <w:t>Y145F — 疏水核心堆积优化（+3-4°C，如上所述）</w:t>
      </w:r>
    </w:p>
    <w:p w14:paraId="4DF00FB0">
      <w:pPr>
        <w:pStyle w:val="16"/>
        <w:rPr>
          <w:rFonts w:ascii="Times New Roman" w:hAnsi="Times New Roman" w:eastAsia="宋体"/>
          <w:sz w:val="24"/>
          <w:szCs w:val="24"/>
        </w:rPr>
      </w:pPr>
      <w:r>
        <w:rPr>
          <w:rFonts w:ascii="Times New Roman" w:hAnsi="Times New Roman" w:eastAsia="宋体"/>
          <w:sz w:val="24"/>
          <w:szCs w:val="24"/>
        </w:rPr>
        <w:t>I171V — 核心堆积微调</w:t>
      </w:r>
    </w:p>
    <w:p w14:paraId="5166927B">
      <w:pPr>
        <w:pStyle w:val="16"/>
        <w:rPr>
          <w:rFonts w:ascii="Times New Roman" w:hAnsi="Times New Roman" w:eastAsia="宋体"/>
          <w:sz w:val="24"/>
          <w:szCs w:val="24"/>
        </w:rPr>
      </w:pPr>
      <w:r>
        <w:rPr>
          <w:rFonts w:ascii="Times New Roman" w:hAnsi="Times New Roman" w:eastAsia="宋体"/>
          <w:sz w:val="24"/>
          <w:szCs w:val="24"/>
        </w:rPr>
        <w:t>A206V — 可能影响桶底部区域稳定性</w:t>
      </w:r>
    </w:p>
    <w:p w14:paraId="572C2D08">
      <w:pPr>
        <w:rPr>
          <w:rFonts w:ascii="Times New Roman" w:hAnsi="Times New Roman" w:eastAsia="宋体"/>
          <w:sz w:val="24"/>
          <w:szCs w:val="24"/>
        </w:rPr>
      </w:pPr>
      <w:r>
        <w:rPr>
          <w:rFonts w:ascii="Times New Roman" w:hAnsi="Times New Roman" w:eastAsia="宋体"/>
          <w:b w:val="0"/>
          <w:sz w:val="24"/>
          <w:szCs w:val="24"/>
        </w:rPr>
        <w:t>sfGFP在化学变性剂中表现出更强的抗性，更快的折叠动力学，以及对环状排列（circular permutation）的更高容忍度——这些都是折叠鲁棒性的标志。当融合到折叠不佳的蛋白时，sfGFP仍能正常折叠发光，而folding reporter GFP则会失活。</w:t>
      </w:r>
    </w:p>
    <w:p w14:paraId="2252B4DE">
      <w:pPr>
        <w:rPr>
          <w:rFonts w:ascii="Times New Roman" w:hAnsi="Times New Roman" w:eastAsia="宋体"/>
          <w:sz w:val="24"/>
          <w:szCs w:val="24"/>
        </w:rPr>
      </w:pPr>
      <w:r>
        <w:rPr>
          <w:rFonts w:ascii="Times New Roman" w:hAnsi="Times New Roman" w:eastAsia="宋体"/>
          <w:b/>
          <w:sz w:val="24"/>
          <w:szCs w:val="24"/>
        </w:rPr>
        <w:t>极端热稳定性 — TGP/YTP（Thermo Green/Yellow Protein）：</w:t>
      </w:r>
    </w:p>
    <w:p w14:paraId="762D773F">
      <w:pPr>
        <w:rPr>
          <w:rFonts w:ascii="Times New Roman" w:hAnsi="Times New Roman" w:eastAsia="宋体"/>
          <w:sz w:val="24"/>
          <w:szCs w:val="24"/>
        </w:rPr>
      </w:pPr>
      <w:r>
        <w:rPr>
          <w:rFonts w:ascii="Times New Roman" w:hAnsi="Times New Roman" w:eastAsia="宋体"/>
          <w:b w:val="0"/>
          <w:sz w:val="24"/>
          <w:szCs w:val="24"/>
        </w:rPr>
        <w:t>从共识绿色蛋白（CGP）经定向进化获得。关键特征：</w:t>
      </w:r>
      <w:r>
        <w:rPr>
          <w:rFonts w:ascii="Times New Roman" w:hAnsi="Times New Roman" w:eastAsia="宋体"/>
          <w:b w:val="0"/>
          <w:sz w:val="24"/>
          <w:szCs w:val="24"/>
        </w:rPr>
        <w:br w:type="textWrapping"/>
      </w:r>
      <w:r>
        <w:rPr>
          <w:rFonts w:ascii="Times New Roman" w:hAnsi="Times New Roman" w:eastAsia="宋体"/>
          <w:b w:val="0"/>
          <w:sz w:val="24"/>
          <w:szCs w:val="24"/>
        </w:rPr>
        <w:t>• 与mAG（monomeric Azami Green）具有87%序列一致性</w:t>
      </w:r>
      <w:r>
        <w:rPr>
          <w:rFonts w:ascii="Times New Roman" w:hAnsi="Times New Roman" w:eastAsia="宋体"/>
          <w:b w:val="0"/>
          <w:sz w:val="24"/>
          <w:szCs w:val="24"/>
        </w:rPr>
        <w:br w:type="textWrapping"/>
      </w:r>
      <w:r>
        <w:rPr>
          <w:rFonts w:ascii="Times New Roman" w:hAnsi="Times New Roman" w:eastAsia="宋体"/>
          <w:b w:val="0"/>
          <w:sz w:val="24"/>
          <w:szCs w:val="24"/>
        </w:rPr>
        <w:t>• QGY发色团（vs GFP的SGY/TGY）</w:t>
      </w:r>
      <w:r>
        <w:rPr>
          <w:rFonts w:ascii="Times New Roman" w:hAnsi="Times New Roman" w:eastAsia="宋体"/>
          <w:b w:val="0"/>
          <w:sz w:val="24"/>
          <w:szCs w:val="24"/>
        </w:rPr>
        <w:br w:type="textWrapping"/>
      </w:r>
      <w:r>
        <w:rPr>
          <w:rFonts w:ascii="Times New Roman" w:hAnsi="Times New Roman" w:eastAsia="宋体"/>
          <w:b w:val="0"/>
          <w:sz w:val="24"/>
          <w:szCs w:val="24"/>
        </w:rPr>
        <w:t>• H193Y突变：酪氨酸引入π-堆积相互作用以稳定发色团 → 产生YTP（黄色热稳定蛋白）</w:t>
      </w:r>
      <w:r>
        <w:rPr>
          <w:rFonts w:ascii="Times New Roman" w:hAnsi="Times New Roman" w:eastAsia="宋体"/>
          <w:b w:val="0"/>
          <w:sz w:val="24"/>
          <w:szCs w:val="24"/>
        </w:rPr>
        <w:br w:type="textWrapping"/>
      </w:r>
      <w:r>
        <w:rPr>
          <w:rFonts w:ascii="Times New Roman" w:hAnsi="Times New Roman" w:eastAsia="宋体"/>
          <w:b w:val="0"/>
          <w:sz w:val="24"/>
          <w:szCs w:val="24"/>
        </w:rPr>
        <w:t>• 99°C下维持33-45%荧光，冷却后恢复近100%</w:t>
      </w:r>
      <w:r>
        <w:rPr>
          <w:rFonts w:ascii="Times New Roman" w:hAnsi="Times New Roman" w:eastAsia="宋体"/>
          <w:b w:val="0"/>
          <w:sz w:val="24"/>
          <w:szCs w:val="24"/>
        </w:rPr>
        <w:br w:type="textWrapping"/>
      </w:r>
      <w:r>
        <w:rPr>
          <w:rFonts w:ascii="Times New Roman" w:hAnsi="Times New Roman" w:eastAsia="宋体"/>
          <w:b w:val="0"/>
          <w:sz w:val="24"/>
          <w:szCs w:val="24"/>
        </w:rPr>
        <w:t>• Q66E额外突变改善化学稳定性和pH稳定性 → YTP-E</w:t>
      </w:r>
    </w:p>
    <w:p w14:paraId="711E519B">
      <w:pPr>
        <w:rPr>
          <w:rFonts w:ascii="Times New Roman" w:hAnsi="Times New Roman" w:eastAsia="宋体"/>
          <w:sz w:val="24"/>
          <w:szCs w:val="24"/>
        </w:rPr>
      </w:pPr>
      <w:r>
        <w:rPr>
          <w:rFonts w:ascii="Times New Roman" w:hAnsi="Times New Roman" w:eastAsia="宋体"/>
          <w:b/>
          <w:sz w:val="24"/>
          <w:szCs w:val="24"/>
        </w:rPr>
        <w:t>C末端尾巴——被忽视的稳定性贡献者：</w:t>
      </w:r>
    </w:p>
    <w:p w14:paraId="6C835E15">
      <w:pPr>
        <w:rPr>
          <w:rFonts w:ascii="Times New Roman" w:hAnsi="Times New Roman" w:eastAsia="宋体"/>
          <w:sz w:val="24"/>
          <w:szCs w:val="24"/>
        </w:rPr>
      </w:pPr>
      <w:r>
        <w:rPr>
          <w:rFonts w:ascii="Times New Roman" w:hAnsi="Times New Roman" w:eastAsia="宋体"/>
          <w:b w:val="0"/>
          <w:sz w:val="24"/>
          <w:szCs w:val="24"/>
        </w:rPr>
        <w:t>GFP的柔性非结构化C末端尾巴在稳定性中发挥意想不到的作用：</w:t>
      </w:r>
      <w:r>
        <w:rPr>
          <w:rFonts w:ascii="Times New Roman" w:hAnsi="Times New Roman" w:eastAsia="宋体"/>
          <w:b w:val="0"/>
          <w:sz w:val="24"/>
          <w:szCs w:val="24"/>
        </w:rPr>
        <w:br w:type="textWrapping"/>
      </w:r>
      <w:r>
        <w:rPr>
          <w:rFonts w:ascii="Times New Roman" w:hAnsi="Times New Roman" w:eastAsia="宋体"/>
          <w:b w:val="0"/>
          <w:sz w:val="24"/>
          <w:szCs w:val="24"/>
        </w:rPr>
        <w:t>• 截断整个C末端尾巴使T₁/₂从79°C降至72.8°C（降低约6°C）</w:t>
      </w:r>
      <w:r>
        <w:rPr>
          <w:rFonts w:ascii="Times New Roman" w:hAnsi="Times New Roman" w:eastAsia="宋体"/>
          <w:b w:val="0"/>
          <w:sz w:val="24"/>
          <w:szCs w:val="24"/>
        </w:rPr>
        <w:br w:type="textWrapping"/>
      </w:r>
      <w:r>
        <w:rPr>
          <w:rFonts w:ascii="Times New Roman" w:hAnsi="Times New Roman" w:eastAsia="宋体"/>
          <w:b w:val="0"/>
          <w:sz w:val="24"/>
          <w:szCs w:val="24"/>
        </w:rPr>
        <w:t>• Arrhenius活化能降低约40%</w:t>
      </w:r>
      <w:r>
        <w:rPr>
          <w:rFonts w:ascii="Times New Roman" w:hAnsi="Times New Roman" w:eastAsia="宋体"/>
          <w:b w:val="0"/>
          <w:sz w:val="24"/>
          <w:szCs w:val="24"/>
        </w:rPr>
        <w:br w:type="textWrapping"/>
      </w:r>
      <w:r>
        <w:rPr>
          <w:rFonts w:ascii="Times New Roman" w:hAnsi="Times New Roman" w:eastAsia="宋体"/>
          <w:b w:val="0"/>
          <w:sz w:val="24"/>
          <w:szCs w:val="24"/>
        </w:rPr>
        <w:t>• C末端通过动态接触网络对整个β-桶骨架进行远程稳定</w:t>
      </w:r>
      <w:r>
        <w:rPr>
          <w:rFonts w:ascii="Times New Roman" w:hAnsi="Times New Roman" w:eastAsia="宋体"/>
          <w:b w:val="0"/>
          <w:sz w:val="24"/>
          <w:szCs w:val="24"/>
        </w:rPr>
        <w:br w:type="textWrapping"/>
      </w:r>
      <w:r>
        <w:rPr>
          <w:rFonts w:ascii="Times New Roman" w:hAnsi="Times New Roman" w:eastAsia="宋体"/>
          <w:b w:val="0"/>
          <w:sz w:val="24"/>
          <w:szCs w:val="24"/>
        </w:rPr>
        <w:t>• 突变效应可通过接触网络传递至活性位点</w:t>
      </w:r>
      <w:r>
        <w:rPr>
          <w:rFonts w:ascii="Times New Roman" w:hAnsi="Times New Roman" w:eastAsia="宋体"/>
          <w:b w:val="0"/>
          <w:sz w:val="24"/>
          <w:szCs w:val="24"/>
        </w:rPr>
        <w:br w:type="textWrapping"/>
      </w:r>
      <w:r>
        <w:rPr>
          <w:rFonts w:ascii="Times New Roman" w:hAnsi="Times New Roman" w:eastAsia="宋体"/>
          <w:b w:val="0"/>
          <w:sz w:val="24"/>
          <w:szCs w:val="24"/>
        </w:rPr>
        <w:t>• 提示：设计GFP变体时应保留C末端（或至少不截断至关键长度以下）</w:t>
      </w:r>
    </w:p>
    <w:p w14:paraId="5FE08669">
      <w:pPr>
        <w:pStyle w:val="4"/>
        <w:rPr>
          <w:rFonts w:ascii="Times New Roman" w:hAnsi="Times New Roman" w:eastAsia="宋体"/>
          <w:sz w:val="28"/>
          <w:szCs w:val="28"/>
        </w:rPr>
      </w:pPr>
      <w:r>
        <w:rPr>
          <w:rFonts w:ascii="Times New Roman" w:hAnsi="Times New Roman" w:eastAsia="宋体"/>
          <w:color w:val="003366"/>
          <w:sz w:val="28"/>
          <w:szCs w:val="28"/>
        </w:rPr>
        <w:t>3.4 表面电荷与溶解性</w:t>
      </w:r>
    </w:p>
    <w:p w14:paraId="2DEAC00F">
      <w:pPr>
        <w:rPr>
          <w:rFonts w:ascii="Times New Roman" w:hAnsi="Times New Roman" w:eastAsia="宋体"/>
          <w:sz w:val="24"/>
          <w:szCs w:val="24"/>
        </w:rPr>
      </w:pPr>
      <w:r>
        <w:rPr>
          <w:rFonts w:ascii="Times New Roman" w:hAnsi="Times New Roman" w:eastAsia="宋体"/>
          <w:b w:val="0"/>
          <w:sz w:val="24"/>
          <w:szCs w:val="24"/>
        </w:rPr>
        <w:t>蛋白质表面电荷通过以下机制影响热稳定性：</w:t>
      </w:r>
      <w:r>
        <w:rPr>
          <w:rFonts w:ascii="Times New Roman" w:hAnsi="Times New Roman" w:eastAsia="宋体"/>
          <w:b w:val="0"/>
          <w:sz w:val="24"/>
          <w:szCs w:val="24"/>
        </w:rPr>
        <w:br w:type="textWrapping"/>
      </w:r>
      <w:r>
        <w:rPr>
          <w:rFonts w:ascii="Times New Roman" w:hAnsi="Times New Roman" w:eastAsia="宋体"/>
          <w:b w:val="0"/>
          <w:sz w:val="24"/>
          <w:szCs w:val="24"/>
        </w:rPr>
        <w:t>• 表面电荷残基与水分子形成有序水化层 → 焓驱动稳定</w:t>
      </w:r>
      <w:r>
        <w:rPr>
          <w:rFonts w:ascii="Times New Roman" w:hAnsi="Times New Roman" w:eastAsia="宋体"/>
          <w:b w:val="0"/>
          <w:sz w:val="24"/>
          <w:szCs w:val="24"/>
        </w:rPr>
        <w:br w:type="textWrapping"/>
      </w:r>
      <w:r>
        <w:rPr>
          <w:rFonts w:ascii="Times New Roman" w:hAnsi="Times New Roman" w:eastAsia="宋体"/>
          <w:b w:val="0"/>
          <w:sz w:val="24"/>
          <w:szCs w:val="24"/>
        </w:rPr>
        <w:t>• 同性电荷互斥 → 防止热变性过程中的聚集沉淀</w:t>
      </w:r>
      <w:r>
        <w:rPr>
          <w:rFonts w:ascii="Times New Roman" w:hAnsi="Times New Roman" w:eastAsia="宋体"/>
          <w:b w:val="0"/>
          <w:sz w:val="24"/>
          <w:szCs w:val="24"/>
        </w:rPr>
        <w:br w:type="textWrapping"/>
      </w:r>
      <w:r>
        <w:rPr>
          <w:rFonts w:ascii="Times New Roman" w:hAnsi="Times New Roman" w:eastAsia="宋体"/>
          <w:b w:val="0"/>
          <w:sz w:val="24"/>
          <w:szCs w:val="24"/>
        </w:rPr>
        <w:t>• 超电荷GFP变体（如+36GFP）：表面引入大量正电荷，维持高溶解性</w:t>
      </w:r>
      <w:r>
        <w:rPr>
          <w:rFonts w:ascii="Times New Roman" w:hAnsi="Times New Roman" w:eastAsia="宋体"/>
          <w:b w:val="0"/>
          <w:sz w:val="24"/>
          <w:szCs w:val="24"/>
        </w:rPr>
        <w:br w:type="textWrapping"/>
      </w:r>
      <w:r>
        <w:rPr>
          <w:rFonts w:ascii="Times New Roman" w:hAnsi="Times New Roman" w:eastAsia="宋体"/>
          <w:b w:val="0"/>
          <w:sz w:val="24"/>
          <w:szCs w:val="24"/>
        </w:rPr>
        <w:t>• 但过度超电荷可能干扰折叠或功能——需要在电荷密度和结构完整性间平衡</w:t>
      </w:r>
    </w:p>
    <w:p w14:paraId="7CAA48E2">
      <w:pPr>
        <w:pStyle w:val="4"/>
        <w:rPr>
          <w:rFonts w:ascii="Times New Roman" w:hAnsi="Times New Roman" w:eastAsia="宋体"/>
          <w:sz w:val="28"/>
          <w:szCs w:val="28"/>
        </w:rPr>
      </w:pPr>
      <w:r>
        <w:rPr>
          <w:rFonts w:ascii="Times New Roman" w:hAnsi="Times New Roman" w:eastAsia="宋体"/>
          <w:color w:val="003366"/>
          <w:sz w:val="28"/>
          <w:szCs w:val="28"/>
        </w:rPr>
        <w:t>3.5 折叠动力学</w:t>
      </w:r>
    </w:p>
    <w:p w14:paraId="19E6347D">
      <w:pPr>
        <w:rPr>
          <w:rFonts w:ascii="Times New Roman" w:hAnsi="Times New Roman" w:eastAsia="宋体"/>
          <w:sz w:val="24"/>
          <w:szCs w:val="24"/>
        </w:rPr>
      </w:pPr>
      <w:r>
        <w:rPr>
          <w:rFonts w:ascii="Times New Roman" w:hAnsi="Times New Roman" w:eastAsia="宋体"/>
          <w:b w:val="0"/>
          <w:sz w:val="24"/>
          <w:szCs w:val="24"/>
        </w:rPr>
        <w:t>GFP的热稳定性不仅体现在静态Tm值上，还与折叠动力学密切相关：</w:t>
      </w:r>
      <w:r>
        <w:rPr>
          <w:rFonts w:ascii="Times New Roman" w:hAnsi="Times New Roman" w:eastAsia="宋体"/>
          <w:b w:val="0"/>
          <w:sz w:val="24"/>
          <w:szCs w:val="24"/>
        </w:rPr>
        <w:br w:type="textWrapping"/>
      </w:r>
      <w:r>
        <w:rPr>
          <w:rFonts w:ascii="Times New Roman" w:hAnsi="Times New Roman" w:eastAsia="宋体"/>
          <w:b w:val="0"/>
          <w:sz w:val="24"/>
          <w:szCs w:val="24"/>
        </w:rPr>
        <w:t>• GFP折叠涉及顺/反脯氨酸异构化——这是限速步骤</w:t>
      </w:r>
      <w:r>
        <w:rPr>
          <w:rFonts w:ascii="Times New Roman" w:hAnsi="Times New Roman" w:eastAsia="宋体"/>
          <w:b w:val="0"/>
          <w:sz w:val="24"/>
          <w:szCs w:val="24"/>
        </w:rPr>
        <w:br w:type="textWrapping"/>
      </w:r>
      <w:r>
        <w:rPr>
          <w:rFonts w:ascii="Times New Roman" w:hAnsi="Times New Roman" w:eastAsia="宋体"/>
          <w:b w:val="0"/>
          <w:sz w:val="24"/>
          <w:szCs w:val="24"/>
        </w:rPr>
        <w:t>• sfGFP比folding reporter GFP折叠更快、更完全</w:t>
      </w:r>
      <w:r>
        <w:rPr>
          <w:rFonts w:ascii="Times New Roman" w:hAnsi="Times New Roman" w:eastAsia="宋体"/>
          <w:b w:val="0"/>
          <w:sz w:val="24"/>
          <w:szCs w:val="24"/>
        </w:rPr>
        <w:br w:type="textWrapping"/>
      </w:r>
      <w:r>
        <w:rPr>
          <w:rFonts w:ascii="Times New Roman" w:hAnsi="Times New Roman" w:eastAsia="宋体"/>
          <w:b w:val="0"/>
          <w:sz w:val="24"/>
          <w:szCs w:val="24"/>
        </w:rPr>
        <w:t>• 单氨基酸缺失（如EGFP-G4Δ）可引起螺旋注册位移（helical registry shift），产生新的极性相互作用网络，使复性效率从77%提高到近100%，细胞荧光强度提高约2倍</w:t>
      </w:r>
      <w:r>
        <w:rPr>
          <w:rFonts w:ascii="Times New Roman" w:hAnsi="Times New Roman" w:eastAsia="宋体"/>
          <w:b w:val="0"/>
          <w:sz w:val="24"/>
          <w:szCs w:val="24"/>
        </w:rPr>
        <w:br w:type="textWrapping"/>
      </w:r>
      <w:r>
        <w:rPr>
          <w:rFonts w:ascii="Times New Roman" w:hAnsi="Times New Roman" w:eastAsia="宋体"/>
          <w:b w:val="0"/>
          <w:sz w:val="24"/>
          <w:szCs w:val="24"/>
        </w:rPr>
        <w:t>• 复性表现为三态过程（N→I→D），存在一个折叠中间体。稳定该中间体有助于提高折叠效率和热力学稳定性</w:t>
      </w:r>
    </w:p>
    <w:p w14:paraId="7E5255CB">
      <w:pPr>
        <w:rPr>
          <w:rFonts w:ascii="Times New Roman" w:hAnsi="Times New Roman" w:eastAsia="宋体"/>
          <w:sz w:val="24"/>
          <w:szCs w:val="24"/>
        </w:rPr>
      </w:pPr>
      <w:r>
        <w:rPr>
          <w:rFonts w:ascii="Times New Roman" w:hAnsi="Times New Roman" w:eastAsia="宋体"/>
          <w:sz w:val="24"/>
          <w:szCs w:val="24"/>
        </w:rPr>
        <w:br w:type="page"/>
      </w:r>
    </w:p>
    <w:p w14:paraId="7A828217">
      <w:pPr>
        <w:pStyle w:val="3"/>
        <w:rPr>
          <w:rFonts w:ascii="Times New Roman" w:hAnsi="Times New Roman" w:eastAsia="宋体"/>
          <w:sz w:val="32"/>
          <w:szCs w:val="32"/>
        </w:rPr>
      </w:pPr>
      <w:r>
        <w:rPr>
          <w:rFonts w:ascii="Times New Roman" w:hAnsi="Times New Roman" w:eastAsia="宋体"/>
          <w:color w:val="003366"/>
          <w:sz w:val="32"/>
          <w:szCs w:val="32"/>
        </w:rPr>
        <w:t>第四章  为什么要提高GFP的荧光强度和热稳定性</w:t>
      </w:r>
    </w:p>
    <w:p w14:paraId="2B656536">
      <w:pPr>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6017895" cy="329184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017895" cy="3291840"/>
                    </a:xfrm>
                    <a:prstGeom prst="rect">
                      <a:avLst/>
                    </a:prstGeom>
                  </pic:spPr>
                </pic:pic>
              </a:graphicData>
            </a:graphic>
          </wp:inline>
        </w:drawing>
      </w:r>
    </w:p>
    <w:p w14:paraId="1EF9C47C">
      <w:pPr>
        <w:jc w:val="center"/>
        <w:rPr>
          <w:rFonts w:ascii="Times New Roman" w:hAnsi="Times New Roman" w:eastAsia="宋体"/>
          <w:sz w:val="24"/>
          <w:szCs w:val="24"/>
        </w:rPr>
      </w:pPr>
      <w:r>
        <w:rPr>
          <w:rFonts w:ascii="Times New Roman" w:hAnsi="Times New Roman" w:eastAsia="宋体"/>
          <w:color w:val="646464"/>
          <w:sz w:val="20"/>
          <w:szCs w:val="24"/>
        </w:rPr>
        <w:t>图6: 高亮度和高热稳定性GFP的关键应用场景</w:t>
      </w:r>
    </w:p>
    <w:p w14:paraId="0A3E71B5">
      <w:pPr>
        <w:pStyle w:val="4"/>
        <w:rPr>
          <w:rFonts w:ascii="Times New Roman" w:hAnsi="Times New Roman" w:eastAsia="宋体"/>
          <w:sz w:val="28"/>
          <w:szCs w:val="28"/>
        </w:rPr>
      </w:pPr>
      <w:r>
        <w:rPr>
          <w:rFonts w:ascii="Times New Roman" w:hAnsi="Times New Roman" w:eastAsia="宋体"/>
          <w:color w:val="003366"/>
          <w:sz w:val="28"/>
          <w:szCs w:val="28"/>
        </w:rPr>
        <w:t>4.1 超分辨显微成像的需求</w:t>
      </w:r>
    </w:p>
    <w:p w14:paraId="62BED0A3">
      <w:pPr>
        <w:rPr>
          <w:rFonts w:ascii="Times New Roman" w:hAnsi="Times New Roman" w:eastAsia="宋体"/>
          <w:sz w:val="24"/>
          <w:szCs w:val="24"/>
        </w:rPr>
      </w:pPr>
      <w:r>
        <w:rPr>
          <w:rFonts w:ascii="Times New Roman" w:hAnsi="Times New Roman" w:eastAsia="宋体"/>
          <w:b w:val="0"/>
          <w:sz w:val="24"/>
          <w:szCs w:val="24"/>
        </w:rPr>
        <w:t>现代超分辨显微技术（SIM、PALM/STORM、RESOLFT、膨胀显微镜ExM）对荧光蛋白提出了极高要求：</w:t>
      </w:r>
    </w:p>
    <w:p w14:paraId="608A2A3B">
      <w:pPr>
        <w:rPr>
          <w:rFonts w:ascii="Times New Roman" w:hAnsi="Times New Roman" w:eastAsia="宋体"/>
          <w:sz w:val="24"/>
          <w:szCs w:val="24"/>
        </w:rPr>
      </w:pPr>
      <w:r>
        <w:rPr>
          <w:rFonts w:ascii="Times New Roman" w:hAnsi="Times New Roman" w:eastAsia="宋体"/>
          <w:b w:val="0"/>
          <w:sz w:val="24"/>
          <w:szCs w:val="24"/>
        </w:rPr>
        <w:t>结构化光照明显微镜（SIM）：</w:t>
      </w:r>
      <w:r>
        <w:rPr>
          <w:rFonts w:ascii="Times New Roman" w:hAnsi="Times New Roman" w:eastAsia="宋体"/>
          <w:b w:val="0"/>
          <w:sz w:val="24"/>
          <w:szCs w:val="24"/>
        </w:rPr>
        <w:br w:type="textWrapping"/>
      </w:r>
      <w:r>
        <w:rPr>
          <w:rFonts w:ascii="Times New Roman" w:hAnsi="Times New Roman" w:eastAsia="宋体"/>
          <w:b w:val="0"/>
          <w:sz w:val="24"/>
          <w:szCs w:val="24"/>
        </w:rPr>
        <w:t>• 重建单张超分辨图像需要15帧以上原始图像（3角度 × 5相位）</w:t>
      </w:r>
      <w:r>
        <w:rPr>
          <w:rFonts w:ascii="Times New Roman" w:hAnsi="Times New Roman" w:eastAsia="宋体"/>
          <w:b w:val="0"/>
          <w:sz w:val="24"/>
          <w:szCs w:val="24"/>
        </w:rPr>
        <w:br w:type="textWrapping"/>
      </w:r>
      <w:r>
        <w:rPr>
          <w:rFonts w:ascii="Times New Roman" w:hAnsi="Times New Roman" w:eastAsia="宋体"/>
          <w:b w:val="0"/>
          <w:sz w:val="24"/>
          <w:szCs w:val="24"/>
        </w:rPr>
        <w:t>• 整个Z-stack采集意味着荧光团几乎连续被照射</w:t>
      </w:r>
      <w:r>
        <w:rPr>
          <w:rFonts w:ascii="Times New Roman" w:hAnsi="Times New Roman" w:eastAsia="宋体"/>
          <w:b w:val="0"/>
          <w:sz w:val="24"/>
          <w:szCs w:val="24"/>
        </w:rPr>
        <w:br w:type="textWrapping"/>
      </w:r>
      <w:r>
        <w:rPr>
          <w:rFonts w:ascii="Times New Roman" w:hAnsi="Times New Roman" w:eastAsia="宋体"/>
          <w:b w:val="0"/>
          <w:sz w:val="24"/>
          <w:szCs w:val="24"/>
        </w:rPr>
        <w:t>• 光漂白导致重建伪影 —— 要求极高的光稳定性</w:t>
      </w:r>
      <w:r>
        <w:rPr>
          <w:rFonts w:ascii="Times New Roman" w:hAnsi="Times New Roman" w:eastAsia="宋体"/>
          <w:b w:val="0"/>
          <w:sz w:val="24"/>
          <w:szCs w:val="24"/>
        </w:rPr>
        <w:br w:type="textWrapping"/>
      </w:r>
      <w:r>
        <w:rPr>
          <w:rFonts w:ascii="Times New Roman" w:hAnsi="Times New Roman" w:eastAsia="宋体"/>
          <w:b w:val="0"/>
          <w:sz w:val="24"/>
          <w:szCs w:val="24"/>
        </w:rPr>
        <w:br w:type="textWrapping"/>
      </w:r>
      <w:r>
        <w:rPr>
          <w:rFonts w:ascii="Times New Roman" w:hAnsi="Times New Roman" w:eastAsia="宋体"/>
          <w:b w:val="0"/>
          <w:sz w:val="24"/>
          <w:szCs w:val="24"/>
        </w:rPr>
        <w:t>PALM/STORM（单分子定位）：</w:t>
      </w:r>
      <w:r>
        <w:rPr>
          <w:rFonts w:ascii="Times New Roman" w:hAnsi="Times New Roman" w:eastAsia="宋体"/>
          <w:b w:val="0"/>
          <w:sz w:val="24"/>
          <w:szCs w:val="24"/>
        </w:rPr>
        <w:br w:type="textWrapping"/>
      </w:r>
      <w:r>
        <w:rPr>
          <w:rFonts w:ascii="Times New Roman" w:hAnsi="Times New Roman" w:eastAsia="宋体"/>
          <w:b w:val="0"/>
          <w:sz w:val="24"/>
          <w:szCs w:val="24"/>
        </w:rPr>
        <w:t>• 需要数千次定位事件重构一张图像</w:t>
      </w:r>
      <w:r>
        <w:rPr>
          <w:rFonts w:ascii="Times New Roman" w:hAnsi="Times New Roman" w:eastAsia="宋体"/>
          <w:b w:val="0"/>
          <w:sz w:val="24"/>
          <w:szCs w:val="24"/>
        </w:rPr>
        <w:br w:type="textWrapping"/>
      </w:r>
      <w:r>
        <w:rPr>
          <w:rFonts w:ascii="Times New Roman" w:hAnsi="Times New Roman" w:eastAsia="宋体"/>
          <w:b w:val="0"/>
          <w:sz w:val="24"/>
          <w:szCs w:val="24"/>
        </w:rPr>
        <w:t>• 要求可控的光激活/光切换 + 每分子的高光子产出</w:t>
      </w:r>
      <w:r>
        <w:rPr>
          <w:rFonts w:ascii="Times New Roman" w:hAnsi="Times New Roman" w:eastAsia="宋体"/>
          <w:b w:val="0"/>
          <w:sz w:val="24"/>
          <w:szCs w:val="24"/>
        </w:rPr>
        <w:br w:type="textWrapping"/>
      </w:r>
      <w:r>
        <w:rPr>
          <w:rFonts w:ascii="Times New Roman" w:hAnsi="Times New Roman" w:eastAsia="宋体"/>
          <w:b w:val="0"/>
          <w:sz w:val="24"/>
          <w:szCs w:val="24"/>
        </w:rPr>
        <w:br w:type="textWrapping"/>
      </w:r>
      <w:r>
        <w:rPr>
          <w:rFonts w:ascii="Times New Roman" w:hAnsi="Times New Roman" w:eastAsia="宋体"/>
          <w:b w:val="0"/>
          <w:sz w:val="24"/>
          <w:szCs w:val="24"/>
        </w:rPr>
        <w:t>膨胀显微镜（ExM）：</w:t>
      </w:r>
      <w:r>
        <w:rPr>
          <w:rFonts w:ascii="Times New Roman" w:hAnsi="Times New Roman" w:eastAsia="宋体"/>
          <w:b w:val="0"/>
          <w:sz w:val="24"/>
          <w:szCs w:val="24"/>
        </w:rPr>
        <w:br w:type="textWrapping"/>
      </w:r>
      <w:r>
        <w:rPr>
          <w:rFonts w:ascii="Times New Roman" w:hAnsi="Times New Roman" w:eastAsia="宋体"/>
          <w:b w:val="0"/>
          <w:sz w:val="24"/>
          <w:szCs w:val="24"/>
        </w:rPr>
        <w:t>• 需要FP耐受变性、固定、PFA交联和聚合条件</w:t>
      </w:r>
      <w:r>
        <w:rPr>
          <w:rFonts w:ascii="Times New Roman" w:hAnsi="Times New Roman" w:eastAsia="宋体"/>
          <w:b w:val="0"/>
          <w:sz w:val="24"/>
          <w:szCs w:val="24"/>
        </w:rPr>
        <w:br w:type="textWrapping"/>
      </w:r>
      <w:r>
        <w:rPr>
          <w:rFonts w:ascii="Times New Roman" w:hAnsi="Times New Roman" w:eastAsia="宋体"/>
          <w:b w:val="0"/>
          <w:sz w:val="24"/>
          <w:szCs w:val="24"/>
        </w:rPr>
        <w:t>• 高化学稳定性至关重要 —— mBaoJin耐受6 M GdnHCl和PFA固定</w:t>
      </w:r>
      <w:r>
        <w:rPr>
          <w:rFonts w:ascii="Times New Roman" w:hAnsi="Times New Roman" w:eastAsia="宋体"/>
          <w:b w:val="0"/>
          <w:sz w:val="24"/>
          <w:szCs w:val="24"/>
        </w:rPr>
        <w:br w:type="textWrapping"/>
      </w:r>
      <w:r>
        <w:rPr>
          <w:rFonts w:ascii="Times New Roman" w:hAnsi="Times New Roman" w:eastAsia="宋体"/>
          <w:b w:val="0"/>
          <w:sz w:val="24"/>
          <w:szCs w:val="24"/>
        </w:rPr>
        <w:br w:type="textWrapping"/>
      </w:r>
      <w:r>
        <w:rPr>
          <w:rFonts w:ascii="Times New Roman" w:hAnsi="Times New Roman" w:eastAsia="宋体"/>
          <w:b w:val="0"/>
          <w:sz w:val="24"/>
          <w:szCs w:val="24"/>
        </w:rPr>
        <w:t>RESOLFT（可逆饱和光学荧光跃迁）：</w:t>
      </w:r>
      <w:r>
        <w:rPr>
          <w:rFonts w:ascii="Times New Roman" w:hAnsi="Times New Roman" w:eastAsia="宋体"/>
          <w:b w:val="0"/>
          <w:sz w:val="24"/>
          <w:szCs w:val="24"/>
        </w:rPr>
        <w:br w:type="textWrapping"/>
      </w:r>
      <w:r>
        <w:rPr>
          <w:rFonts w:ascii="Times New Roman" w:hAnsi="Times New Roman" w:eastAsia="宋体"/>
          <w:b w:val="0"/>
          <w:sz w:val="24"/>
          <w:szCs w:val="24"/>
        </w:rPr>
        <w:t>• 需要可逆光切换FP，可多次ON/OFF循环而低切换疲劳</w:t>
      </w:r>
    </w:p>
    <w:p w14:paraId="0553B030">
      <w:pPr>
        <w:pStyle w:val="4"/>
        <w:rPr>
          <w:rFonts w:ascii="Times New Roman" w:hAnsi="Times New Roman" w:eastAsia="宋体"/>
          <w:sz w:val="28"/>
          <w:szCs w:val="28"/>
        </w:rPr>
      </w:pPr>
      <w:r>
        <w:rPr>
          <w:rFonts w:ascii="Times New Roman" w:hAnsi="Times New Roman" w:eastAsia="宋体"/>
          <w:color w:val="003366"/>
          <w:sz w:val="28"/>
          <w:szCs w:val="28"/>
        </w:rPr>
        <w:t>4.2 长时间活细胞成像</w:t>
      </w:r>
    </w:p>
    <w:p w14:paraId="354A5172">
      <w:pPr>
        <w:rPr>
          <w:rFonts w:ascii="Times New Roman" w:hAnsi="Times New Roman" w:eastAsia="宋体"/>
          <w:sz w:val="24"/>
          <w:szCs w:val="24"/>
        </w:rPr>
      </w:pPr>
      <w:r>
        <w:rPr>
          <w:rFonts w:ascii="Times New Roman" w:hAnsi="Times New Roman" w:eastAsia="宋体"/>
          <w:b w:val="0"/>
          <w:sz w:val="24"/>
          <w:szCs w:val="24"/>
        </w:rPr>
        <w:t>活细胞动态过程研究要求连续数小时至数天的荧光观测：</w:t>
      </w:r>
      <w:r>
        <w:rPr>
          <w:rFonts w:ascii="Times New Roman" w:hAnsi="Times New Roman" w:eastAsia="宋体"/>
          <w:b w:val="0"/>
          <w:sz w:val="24"/>
          <w:szCs w:val="24"/>
        </w:rPr>
        <w:br w:type="textWrapping"/>
      </w:r>
      <w:r>
        <w:rPr>
          <w:rFonts w:ascii="Times New Roman" w:hAnsi="Times New Roman" w:eastAsia="宋体"/>
          <w:b w:val="0"/>
          <w:sz w:val="24"/>
          <w:szCs w:val="24"/>
        </w:rPr>
        <w:t>• 细胞器动态：内质网网络重排（需~134 fps）、线粒体融合/分裂、细胞骨架动态</w:t>
      </w:r>
      <w:r>
        <w:rPr>
          <w:rFonts w:ascii="Times New Roman" w:hAnsi="Times New Roman" w:eastAsia="宋体"/>
          <w:b w:val="0"/>
          <w:sz w:val="24"/>
          <w:szCs w:val="24"/>
        </w:rPr>
        <w:br w:type="textWrapping"/>
      </w:r>
      <w:r>
        <w:rPr>
          <w:rFonts w:ascii="Times New Roman" w:hAnsi="Times New Roman" w:eastAsia="宋体"/>
          <w:b w:val="0"/>
          <w:sz w:val="24"/>
          <w:szCs w:val="24"/>
        </w:rPr>
        <w:t>• 发育生物学：器官发生、细胞分化、组织形态建成</w:t>
      </w:r>
      <w:r>
        <w:rPr>
          <w:rFonts w:ascii="Times New Roman" w:hAnsi="Times New Roman" w:eastAsia="宋体"/>
          <w:b w:val="0"/>
          <w:sz w:val="24"/>
          <w:szCs w:val="24"/>
        </w:rPr>
        <w:br w:type="textWrapping"/>
      </w:r>
      <w:r>
        <w:rPr>
          <w:rFonts w:ascii="Times New Roman" w:hAnsi="Times New Roman" w:eastAsia="宋体"/>
          <w:b w:val="0"/>
          <w:sz w:val="24"/>
          <w:szCs w:val="24"/>
        </w:rPr>
        <w:t>• 昼夜节律研究：需要24小时以上连续成像</w:t>
      </w:r>
      <w:r>
        <w:rPr>
          <w:rFonts w:ascii="Times New Roman" w:hAnsi="Times New Roman" w:eastAsia="宋体"/>
          <w:b w:val="0"/>
          <w:sz w:val="24"/>
          <w:szCs w:val="24"/>
        </w:rPr>
        <w:br w:type="textWrapping"/>
      </w:r>
      <w:r>
        <w:rPr>
          <w:rFonts w:ascii="Times New Roman" w:hAnsi="Times New Roman" w:eastAsia="宋体"/>
          <w:b w:val="0"/>
          <w:sz w:val="24"/>
          <w:szCs w:val="24"/>
        </w:rPr>
        <w:t>• 蛋白运输追踪：脉冲追踪（pulse-chase）实验、FDAP（荧光衰减后光活化）</w:t>
      </w:r>
      <w:r>
        <w:rPr>
          <w:rFonts w:ascii="Times New Roman" w:hAnsi="Times New Roman" w:eastAsia="宋体"/>
          <w:b w:val="0"/>
          <w:sz w:val="24"/>
          <w:szCs w:val="24"/>
        </w:rPr>
        <w:br w:type="textWrapping"/>
      </w:r>
      <w:r>
        <w:rPr>
          <w:rFonts w:ascii="Times New Roman" w:hAnsi="Times New Roman" w:eastAsia="宋体"/>
          <w:b w:val="0"/>
          <w:sz w:val="24"/>
          <w:szCs w:val="24"/>
        </w:rPr>
        <w:t>• 基因表达动态：快速成熟的FP（mBaoJin t₁/₂成熟=7.5 min）更准确地报告实时转录/翻译</w:t>
      </w:r>
    </w:p>
    <w:p w14:paraId="4902225A">
      <w:pPr>
        <w:rPr>
          <w:rFonts w:ascii="Times New Roman" w:hAnsi="Times New Roman" w:eastAsia="宋体"/>
          <w:sz w:val="24"/>
          <w:szCs w:val="24"/>
        </w:rPr>
      </w:pPr>
      <w:r>
        <w:rPr>
          <w:rFonts w:ascii="Times New Roman" w:hAnsi="Times New Roman" w:eastAsia="宋体"/>
          <w:b w:val="0"/>
          <w:sz w:val="24"/>
          <w:szCs w:val="24"/>
        </w:rPr>
        <w:t>关键需求：</w:t>
      </w:r>
      <w:r>
        <w:rPr>
          <w:rFonts w:ascii="Times New Roman" w:hAnsi="Times New Roman" w:eastAsia="宋体"/>
          <w:b w:val="0"/>
          <w:sz w:val="24"/>
          <w:szCs w:val="24"/>
        </w:rPr>
        <w:br w:type="textWrapping"/>
      </w:r>
      <w:r>
        <w:rPr>
          <w:rFonts w:ascii="Times New Roman" w:hAnsi="Times New Roman" w:eastAsia="宋体"/>
          <w:b w:val="0"/>
          <w:sz w:val="24"/>
          <w:szCs w:val="24"/>
        </w:rPr>
        <w:t>• 超高光稳定性 → StayGold/mBaoJin比EGFP光稳定15倍</w:t>
      </w:r>
      <w:r>
        <w:rPr>
          <w:rFonts w:ascii="Times New Roman" w:hAnsi="Times New Roman" w:eastAsia="宋体"/>
          <w:b w:val="0"/>
          <w:sz w:val="24"/>
          <w:szCs w:val="24"/>
        </w:rPr>
        <w:br w:type="textWrapping"/>
      </w:r>
      <w:r>
        <w:rPr>
          <w:rFonts w:ascii="Times New Roman" w:hAnsi="Times New Roman" w:eastAsia="宋体"/>
          <w:b w:val="0"/>
          <w:sz w:val="24"/>
          <w:szCs w:val="24"/>
        </w:rPr>
        <w:t>• 高亮度 → 允许更低激发强度 → 减少光毒性</w:t>
      </w:r>
      <w:r>
        <w:rPr>
          <w:rFonts w:ascii="Times New Roman" w:hAnsi="Times New Roman" w:eastAsia="宋体"/>
          <w:b w:val="0"/>
          <w:sz w:val="24"/>
          <w:szCs w:val="24"/>
        </w:rPr>
        <w:br w:type="textWrapping"/>
      </w:r>
      <w:r>
        <w:rPr>
          <w:rFonts w:ascii="Times New Roman" w:hAnsi="Times New Roman" w:eastAsia="宋体"/>
          <w:b w:val="0"/>
          <w:sz w:val="24"/>
          <w:szCs w:val="24"/>
        </w:rPr>
        <w:t>• 低表达水平 → 避免过表达伪影 → 要求高单分子亮度</w:t>
      </w:r>
    </w:p>
    <w:p w14:paraId="2B89DCF0">
      <w:pPr>
        <w:pStyle w:val="4"/>
        <w:rPr>
          <w:rFonts w:ascii="Times New Roman" w:hAnsi="Times New Roman" w:eastAsia="宋体"/>
          <w:sz w:val="28"/>
          <w:szCs w:val="28"/>
        </w:rPr>
      </w:pPr>
      <w:r>
        <w:rPr>
          <w:rFonts w:ascii="Times New Roman" w:hAnsi="Times New Roman" w:eastAsia="宋体"/>
          <w:color w:val="003366"/>
          <w:sz w:val="28"/>
          <w:szCs w:val="28"/>
        </w:rPr>
        <w:t>4.3 生物传感器开发</w:t>
      </w:r>
    </w:p>
    <w:p w14:paraId="13EA46A8">
      <w:pPr>
        <w:rPr>
          <w:rFonts w:ascii="Times New Roman" w:hAnsi="Times New Roman" w:eastAsia="宋体"/>
          <w:sz w:val="24"/>
          <w:szCs w:val="24"/>
        </w:rPr>
      </w:pPr>
      <w:r>
        <w:rPr>
          <w:rFonts w:ascii="Times New Roman" w:hAnsi="Times New Roman" w:eastAsia="宋体"/>
          <w:b w:val="0"/>
          <w:sz w:val="24"/>
          <w:szCs w:val="24"/>
        </w:rPr>
        <w:t>GFP变体是遗传编码生物传感器的核心组件：</w:t>
      </w:r>
      <w:r>
        <w:rPr>
          <w:rFonts w:ascii="Times New Roman" w:hAnsi="Times New Roman" w:eastAsia="宋体"/>
          <w:b w:val="0"/>
          <w:sz w:val="24"/>
          <w:szCs w:val="24"/>
        </w:rPr>
        <w:br w:type="textWrapping"/>
      </w:r>
      <w:r>
        <w:rPr>
          <w:rFonts w:ascii="Times New Roman" w:hAnsi="Times New Roman" w:eastAsia="宋体"/>
          <w:b w:val="0"/>
          <w:sz w:val="24"/>
          <w:szCs w:val="24"/>
        </w:rPr>
        <w:t>• FRET传感器（CFP-YFP对）：报告蛋白-蛋白相互作用、构象变化、代谢物浓度</w:t>
      </w:r>
      <w:r>
        <w:rPr>
          <w:rFonts w:ascii="Times New Roman" w:hAnsi="Times New Roman" w:eastAsia="宋体"/>
          <w:b w:val="0"/>
          <w:sz w:val="24"/>
          <w:szCs w:val="24"/>
        </w:rPr>
        <w:br w:type="textWrapping"/>
      </w:r>
      <w:r>
        <w:rPr>
          <w:rFonts w:ascii="Times New Roman" w:hAnsi="Times New Roman" w:eastAsia="宋体"/>
          <w:b w:val="0"/>
          <w:sz w:val="24"/>
          <w:szCs w:val="24"/>
        </w:rPr>
        <w:t>• 单FP传感器（如GCaMP钙传感器）：环状排列GFP耦合感应域</w:t>
      </w:r>
      <w:r>
        <w:rPr>
          <w:rFonts w:ascii="Times New Roman" w:hAnsi="Times New Roman" w:eastAsia="宋体"/>
          <w:b w:val="0"/>
          <w:sz w:val="24"/>
          <w:szCs w:val="24"/>
        </w:rPr>
        <w:br w:type="textWrapping"/>
      </w:r>
      <w:r>
        <w:rPr>
          <w:rFonts w:ascii="Times New Roman" w:hAnsi="Times New Roman" w:eastAsia="宋体"/>
          <w:b w:val="0"/>
          <w:sz w:val="24"/>
          <w:szCs w:val="24"/>
        </w:rPr>
        <w:t>• 电压指示器、pH传感器、神经递质传感器</w:t>
      </w:r>
      <w:r>
        <w:rPr>
          <w:rFonts w:ascii="Times New Roman" w:hAnsi="Times New Roman" w:eastAsia="宋体"/>
          <w:b w:val="0"/>
          <w:sz w:val="24"/>
          <w:szCs w:val="24"/>
        </w:rPr>
        <w:br w:type="textWrapping"/>
      </w:r>
      <w:r>
        <w:rPr>
          <w:rFonts w:ascii="Times New Roman" w:hAnsi="Times New Roman" w:eastAsia="宋体"/>
          <w:b w:val="0"/>
          <w:sz w:val="24"/>
          <w:szCs w:val="24"/>
        </w:rPr>
        <w:t>• 光切换FRET（psFRET）：光控可视化蛋白相互作用</w:t>
      </w:r>
      <w:r>
        <w:rPr>
          <w:rFonts w:ascii="Times New Roman" w:hAnsi="Times New Roman" w:eastAsia="宋体"/>
          <w:b w:val="0"/>
          <w:sz w:val="24"/>
          <w:szCs w:val="24"/>
        </w:rPr>
        <w:br w:type="textWrapping"/>
      </w:r>
      <w:r>
        <w:rPr>
          <w:rFonts w:ascii="Times New Roman" w:hAnsi="Times New Roman" w:eastAsia="宋体"/>
          <w:b w:val="0"/>
          <w:sz w:val="24"/>
          <w:szCs w:val="24"/>
        </w:rPr>
        <w:t>• PEAQ生物传感（光致变色-绝对定量）：利用可逆光切换FP实现浓度无关的绝对定量</w:t>
      </w:r>
    </w:p>
    <w:p w14:paraId="5E6104B8">
      <w:pPr>
        <w:rPr>
          <w:rFonts w:ascii="Times New Roman" w:hAnsi="Times New Roman" w:eastAsia="宋体"/>
          <w:sz w:val="24"/>
          <w:szCs w:val="24"/>
        </w:rPr>
      </w:pPr>
      <w:r>
        <w:rPr>
          <w:rFonts w:ascii="Times New Roman" w:hAnsi="Times New Roman" w:eastAsia="宋体"/>
          <w:b w:val="0"/>
          <w:sz w:val="24"/>
          <w:szCs w:val="24"/>
        </w:rPr>
        <w:t>单体化的关键性：</w:t>
      </w:r>
      <w:r>
        <w:rPr>
          <w:rFonts w:ascii="Times New Roman" w:hAnsi="Times New Roman" w:eastAsia="宋体"/>
          <w:b w:val="0"/>
          <w:sz w:val="24"/>
          <w:szCs w:val="24"/>
        </w:rPr>
        <w:br w:type="textWrapping"/>
      </w:r>
      <w:r>
        <w:rPr>
          <w:rFonts w:ascii="Times New Roman" w:hAnsi="Times New Roman" w:eastAsia="宋体"/>
          <w:b w:val="0"/>
          <w:sz w:val="24"/>
          <w:szCs w:val="24"/>
        </w:rPr>
        <w:t>二聚化FP（如原始StayGold）不能用于生物传感器，因为二聚化会人为驱动传感域的关联。mBaoJin通过C165Y和Q140P单体化突变解决了此问题（Zhang et al., 2024, Nature Methods）。</w:t>
      </w:r>
    </w:p>
    <w:p w14:paraId="77D34826">
      <w:pPr>
        <w:pStyle w:val="4"/>
        <w:rPr>
          <w:rFonts w:ascii="Times New Roman" w:hAnsi="Times New Roman" w:eastAsia="宋体"/>
          <w:sz w:val="28"/>
          <w:szCs w:val="28"/>
        </w:rPr>
      </w:pPr>
      <w:r>
        <w:rPr>
          <w:rFonts w:ascii="Times New Roman" w:hAnsi="Times New Roman" w:eastAsia="宋体"/>
          <w:color w:val="003366"/>
          <w:sz w:val="28"/>
          <w:szCs w:val="28"/>
        </w:rPr>
        <w:t>4.4 极端环境应用</w:t>
      </w:r>
    </w:p>
    <w:p w14:paraId="3CA3A912">
      <w:pPr>
        <w:rPr>
          <w:rFonts w:ascii="Times New Roman" w:hAnsi="Times New Roman" w:eastAsia="宋体"/>
          <w:sz w:val="24"/>
          <w:szCs w:val="24"/>
        </w:rPr>
      </w:pPr>
      <w:r>
        <w:rPr>
          <w:rFonts w:ascii="Times New Roman" w:hAnsi="Times New Roman" w:eastAsia="宋体"/>
          <w:b w:val="0"/>
          <w:sz w:val="24"/>
          <w:szCs w:val="24"/>
        </w:rPr>
        <w:t>更高的热稳定性使GFP可用于以下场景：</w:t>
      </w:r>
      <w:r>
        <w:rPr>
          <w:rFonts w:ascii="Times New Roman" w:hAnsi="Times New Roman" w:eastAsia="宋体"/>
          <w:b w:val="0"/>
          <w:sz w:val="24"/>
          <w:szCs w:val="24"/>
        </w:rPr>
        <w:br w:type="textWrapping"/>
      </w:r>
      <w:r>
        <w:rPr>
          <w:rFonts w:ascii="Times New Roman" w:hAnsi="Times New Roman" w:eastAsia="宋体"/>
          <w:b w:val="0"/>
          <w:sz w:val="24"/>
          <w:szCs w:val="24"/>
        </w:rPr>
        <w:t>• 嗜热微生物中的蛋白标记（~60-80°C生长温度）</w:t>
      </w:r>
      <w:r>
        <w:rPr>
          <w:rFonts w:ascii="Times New Roman" w:hAnsi="Times New Roman" w:eastAsia="宋体"/>
          <w:b w:val="0"/>
          <w:sz w:val="24"/>
          <w:szCs w:val="24"/>
        </w:rPr>
        <w:br w:type="textWrapping"/>
      </w:r>
      <w:r>
        <w:rPr>
          <w:rFonts w:ascii="Times New Roman" w:hAnsi="Times New Roman" w:eastAsia="宋体"/>
          <w:b w:val="0"/>
          <w:sz w:val="24"/>
          <w:szCs w:val="24"/>
        </w:rPr>
        <w:t>• 体外诊断（高温条件，如PCR后检测，~72°C）</w:t>
      </w:r>
      <w:r>
        <w:rPr>
          <w:rFonts w:ascii="Times New Roman" w:hAnsi="Times New Roman" w:eastAsia="宋体"/>
          <w:b w:val="0"/>
          <w:sz w:val="24"/>
          <w:szCs w:val="24"/>
        </w:rPr>
        <w:br w:type="textWrapping"/>
      </w:r>
      <w:r>
        <w:rPr>
          <w:rFonts w:ascii="Times New Roman" w:hAnsi="Times New Roman" w:eastAsia="宋体"/>
          <w:b w:val="0"/>
          <w:sz w:val="24"/>
          <w:szCs w:val="24"/>
        </w:rPr>
        <w:t>• 工业生物催化中的荧光报告</w:t>
      </w:r>
      <w:r>
        <w:rPr>
          <w:rFonts w:ascii="Times New Roman" w:hAnsi="Times New Roman" w:eastAsia="宋体"/>
          <w:b w:val="0"/>
          <w:sz w:val="24"/>
          <w:szCs w:val="24"/>
        </w:rPr>
        <w:br w:type="textWrapping"/>
      </w:r>
      <w:r>
        <w:rPr>
          <w:rFonts w:ascii="Times New Roman" w:hAnsi="Times New Roman" w:eastAsia="宋体"/>
          <w:b w:val="0"/>
          <w:sz w:val="24"/>
          <w:szCs w:val="24"/>
        </w:rPr>
        <w:t>• 极端环境生态学研究</w:t>
      </w:r>
      <w:r>
        <w:rPr>
          <w:rFonts w:ascii="Times New Roman" w:hAnsi="Times New Roman" w:eastAsia="宋体"/>
          <w:b w:val="0"/>
          <w:sz w:val="24"/>
          <w:szCs w:val="24"/>
        </w:rPr>
        <w:br w:type="textWrapping"/>
      </w:r>
      <w:r>
        <w:rPr>
          <w:rFonts w:ascii="Times New Roman" w:hAnsi="Times New Roman" w:eastAsia="宋体"/>
          <w:b w:val="0"/>
          <w:sz w:val="24"/>
          <w:szCs w:val="24"/>
        </w:rPr>
        <w:t>• 蛋白质工程——高热稳定性是蛋白质"可进化性"的前提（更耐受突变）</w:t>
      </w:r>
      <w:r>
        <w:rPr>
          <w:rFonts w:ascii="Times New Roman" w:hAnsi="Times New Roman" w:eastAsia="宋体"/>
          <w:b w:val="0"/>
          <w:sz w:val="24"/>
          <w:szCs w:val="24"/>
        </w:rPr>
        <w:br w:type="textWrapping"/>
      </w:r>
      <w:r>
        <w:rPr>
          <w:rFonts w:ascii="Times New Roman" w:hAnsi="Times New Roman" w:eastAsia="宋体"/>
          <w:b w:val="0"/>
          <w:sz w:val="24"/>
          <w:szCs w:val="24"/>
        </w:rPr>
        <w:br w:type="textWrapping"/>
      </w:r>
      <w:r>
        <w:rPr>
          <w:rFonts w:ascii="Times New Roman" w:hAnsi="Times New Roman" w:eastAsia="宋体"/>
          <w:b w:val="0"/>
          <w:sz w:val="24"/>
          <w:szCs w:val="24"/>
        </w:rPr>
        <w:t>本次竞赛的72°C热处理评估直接对应这些应用需求——FP需要在高温下维持正确的发色团环境。</w:t>
      </w:r>
    </w:p>
    <w:p w14:paraId="740D9C4E">
      <w:pPr>
        <w:pStyle w:val="4"/>
        <w:rPr>
          <w:rFonts w:ascii="Times New Roman" w:hAnsi="Times New Roman" w:eastAsia="宋体"/>
          <w:sz w:val="28"/>
          <w:szCs w:val="28"/>
        </w:rPr>
      </w:pPr>
      <w:r>
        <w:rPr>
          <w:rFonts w:ascii="Times New Roman" w:hAnsi="Times New Roman" w:eastAsia="宋体"/>
          <w:color w:val="003366"/>
          <w:sz w:val="28"/>
          <w:szCs w:val="28"/>
        </w:rPr>
        <w:t>4.5 蛋白质工程与合成生物学</w:t>
      </w:r>
    </w:p>
    <w:p w14:paraId="727E5646">
      <w:pPr>
        <w:rPr>
          <w:rFonts w:ascii="Times New Roman" w:hAnsi="Times New Roman" w:eastAsia="宋体"/>
          <w:sz w:val="24"/>
          <w:szCs w:val="24"/>
        </w:rPr>
      </w:pPr>
      <w:r>
        <w:rPr>
          <w:rFonts w:ascii="Times New Roman" w:hAnsi="Times New Roman" w:eastAsia="宋体"/>
          <w:b w:val="0"/>
          <w:sz w:val="24"/>
          <w:szCs w:val="24"/>
        </w:rPr>
        <w:t>从蛋白质工程角度，提高GFP亮度和热稳定性的意义超越了GFP本身：</w:t>
      </w:r>
      <w:r>
        <w:rPr>
          <w:rFonts w:ascii="Times New Roman" w:hAnsi="Times New Roman" w:eastAsia="宋体"/>
          <w:b w:val="0"/>
          <w:sz w:val="24"/>
          <w:szCs w:val="24"/>
        </w:rPr>
        <w:br w:type="textWrapping"/>
      </w:r>
      <w:r>
        <w:rPr>
          <w:rFonts w:ascii="Times New Roman" w:hAnsi="Times New Roman" w:eastAsia="宋体"/>
          <w:b w:val="0"/>
          <w:sz w:val="24"/>
          <w:szCs w:val="24"/>
        </w:rPr>
        <w:t>• 作为蛋白质设计竞赛的标杆蛋白——GFP的"可见"表型使其成为验证计算方法的理想载体</w:t>
      </w:r>
      <w:r>
        <w:rPr>
          <w:rFonts w:ascii="Times New Roman" w:hAnsi="Times New Roman" w:eastAsia="宋体"/>
          <w:b w:val="0"/>
          <w:sz w:val="24"/>
          <w:szCs w:val="24"/>
        </w:rPr>
        <w:br w:type="textWrapping"/>
      </w:r>
      <w:r>
        <w:rPr>
          <w:rFonts w:ascii="Times New Roman" w:hAnsi="Times New Roman" w:eastAsia="宋体"/>
          <w:b w:val="0"/>
          <w:sz w:val="24"/>
          <w:szCs w:val="24"/>
        </w:rPr>
        <w:t>• 热稳定性高的蛋白更耐受突变 → 更高的"可进化性" → 为进一步功能优化留出空间</w:t>
      </w:r>
      <w:r>
        <w:rPr>
          <w:rFonts w:ascii="Times New Roman" w:hAnsi="Times New Roman" w:eastAsia="宋体"/>
          <w:b w:val="0"/>
          <w:sz w:val="24"/>
          <w:szCs w:val="24"/>
        </w:rPr>
        <w:br w:type="textWrapping"/>
      </w:r>
      <w:r>
        <w:rPr>
          <w:rFonts w:ascii="Times New Roman" w:hAnsi="Times New Roman" w:eastAsia="宋体"/>
          <w:b w:val="0"/>
          <w:sz w:val="24"/>
          <w:szCs w:val="24"/>
        </w:rPr>
        <w:t>• 高亮度和高稳定性是对立统一的目标——成功平衡二者验证了多目标优化的计算策略</w:t>
      </w:r>
      <w:r>
        <w:rPr>
          <w:rFonts w:ascii="Times New Roman" w:hAnsi="Times New Roman" w:eastAsia="宋体"/>
          <w:b w:val="0"/>
          <w:sz w:val="24"/>
          <w:szCs w:val="24"/>
        </w:rPr>
        <w:br w:type="textWrapping"/>
      </w:r>
      <w:r>
        <w:rPr>
          <w:rFonts w:ascii="Times New Roman" w:hAnsi="Times New Roman" w:eastAsia="宋体"/>
          <w:b w:val="0"/>
          <w:sz w:val="24"/>
          <w:szCs w:val="24"/>
        </w:rPr>
        <w:t>• 成功的GFP变体设计可直接转化为更好的细胞生物学工具</w:t>
      </w:r>
      <w:r>
        <w:rPr>
          <w:rFonts w:ascii="Times New Roman" w:hAnsi="Times New Roman" w:eastAsia="宋体"/>
          <w:b w:val="0"/>
          <w:sz w:val="24"/>
          <w:szCs w:val="24"/>
        </w:rPr>
        <w:br w:type="textWrapping"/>
      </w:r>
      <w:r>
        <w:rPr>
          <w:rFonts w:ascii="Times New Roman" w:hAnsi="Times New Roman" w:eastAsia="宋体"/>
          <w:b w:val="0"/>
          <w:sz w:val="24"/>
          <w:szCs w:val="24"/>
        </w:rPr>
        <w:t>• 方法论可推广至其他荧光蛋白（RFP、CFP、YFP等）和更多功能蛋白</w:t>
      </w:r>
      <w:r>
        <w:rPr>
          <w:rFonts w:ascii="Times New Roman" w:hAnsi="Times New Roman" w:eastAsia="宋体"/>
          <w:b w:val="0"/>
          <w:sz w:val="24"/>
          <w:szCs w:val="24"/>
        </w:rPr>
        <w:br w:type="textWrapping"/>
      </w:r>
      <w:r>
        <w:rPr>
          <w:rFonts w:ascii="Times New Roman" w:hAnsi="Times New Roman" w:eastAsia="宋体"/>
          <w:b w:val="0"/>
          <w:sz w:val="24"/>
          <w:szCs w:val="24"/>
        </w:rPr>
        <w:t>• 在无细胞体系（CFPS）中的高效表达是合成生物学的核心使能技术</w:t>
      </w:r>
    </w:p>
    <w:p w14:paraId="1A8742B6">
      <w:pPr>
        <w:rPr>
          <w:rFonts w:ascii="Times New Roman" w:hAnsi="Times New Roman" w:eastAsia="宋体"/>
          <w:sz w:val="24"/>
          <w:szCs w:val="24"/>
        </w:rPr>
      </w:pPr>
      <w:r>
        <w:rPr>
          <w:rFonts w:ascii="Times New Roman" w:hAnsi="Times New Roman" w:eastAsia="宋体"/>
          <w:sz w:val="24"/>
          <w:szCs w:val="24"/>
        </w:rPr>
        <w:br w:type="page"/>
      </w:r>
    </w:p>
    <w:p w14:paraId="7A71C107">
      <w:pPr>
        <w:pStyle w:val="3"/>
        <w:rPr>
          <w:rFonts w:ascii="Times New Roman" w:hAnsi="Times New Roman" w:eastAsia="宋体"/>
          <w:sz w:val="32"/>
          <w:szCs w:val="32"/>
        </w:rPr>
      </w:pPr>
      <w:r>
        <w:rPr>
          <w:rFonts w:ascii="Times New Roman" w:hAnsi="Times New Roman" w:eastAsia="宋体"/>
          <w:color w:val="003366"/>
          <w:sz w:val="32"/>
          <w:szCs w:val="32"/>
        </w:rPr>
        <w:t>第五章  关键参考文献与PDB资源</w:t>
      </w:r>
    </w:p>
    <w:p w14:paraId="5AD50123">
      <w:pPr>
        <w:pStyle w:val="4"/>
        <w:rPr>
          <w:rFonts w:ascii="Times New Roman" w:hAnsi="Times New Roman" w:eastAsia="宋体"/>
          <w:sz w:val="28"/>
          <w:szCs w:val="28"/>
        </w:rPr>
      </w:pPr>
      <w:r>
        <w:rPr>
          <w:rFonts w:ascii="Times New Roman" w:hAnsi="Times New Roman" w:eastAsia="宋体"/>
          <w:color w:val="003366"/>
          <w:sz w:val="28"/>
          <w:szCs w:val="28"/>
        </w:rPr>
        <w:t>5.1 核心综述与机制研究</w:t>
      </w:r>
    </w:p>
    <w:p w14:paraId="32CA9900">
      <w:pPr>
        <w:rPr>
          <w:rFonts w:ascii="Times New Roman" w:hAnsi="Times New Roman" w:eastAsia="宋体"/>
          <w:sz w:val="24"/>
          <w:szCs w:val="24"/>
        </w:rPr>
      </w:pPr>
      <w:r>
        <w:rPr>
          <w:rFonts w:ascii="Times New Roman" w:hAnsi="Times New Roman" w:eastAsia="宋体"/>
          <w:sz w:val="21"/>
          <w:szCs w:val="24"/>
        </w:rPr>
        <w:t>[1]  Tsien, R.Y. (1998) "The Green Fluorescent Protein." Annu. Rev. Biochem., 67, 509-544.</w:t>
      </w:r>
      <w:r>
        <w:rPr>
          <w:rFonts w:ascii="Times New Roman" w:hAnsi="Times New Roman" w:eastAsia="宋体"/>
          <w:sz w:val="21"/>
          <w:szCs w:val="24"/>
        </w:rPr>
        <w:br w:type="textWrapping"/>
      </w:r>
      <w:r>
        <w:rPr>
          <w:rFonts w:ascii="Times New Roman" w:hAnsi="Times New Roman" w:eastAsia="宋体"/>
          <w:sz w:val="21"/>
          <w:szCs w:val="24"/>
        </w:rPr>
        <w:t xml:space="preserve">     DOI: 10.1146/annurev.biochem.67.1.509 — 经典综述，GFP领域的奠基文献。</w:t>
      </w:r>
    </w:p>
    <w:p w14:paraId="67360053">
      <w:pPr>
        <w:rPr>
          <w:rFonts w:ascii="Times New Roman" w:hAnsi="Times New Roman" w:eastAsia="宋体"/>
          <w:sz w:val="24"/>
          <w:szCs w:val="24"/>
        </w:rPr>
      </w:pPr>
      <w:r>
        <w:rPr>
          <w:rFonts w:ascii="Times New Roman" w:hAnsi="Times New Roman" w:eastAsia="宋体"/>
          <w:sz w:val="21"/>
          <w:szCs w:val="24"/>
        </w:rPr>
        <w:t>[2]  Yang, F., Moss, L.G., Phillips, G.N. (1996) "The molecular structure of green fluorescent protein."</w:t>
      </w:r>
      <w:r>
        <w:rPr>
          <w:rFonts w:ascii="Times New Roman" w:hAnsi="Times New Roman" w:eastAsia="宋体"/>
          <w:sz w:val="21"/>
          <w:szCs w:val="24"/>
        </w:rPr>
        <w:br w:type="textWrapping"/>
      </w:r>
      <w:r>
        <w:rPr>
          <w:rFonts w:ascii="Times New Roman" w:hAnsi="Times New Roman" w:eastAsia="宋体"/>
          <w:sz w:val="21"/>
          <w:szCs w:val="24"/>
        </w:rPr>
        <w:t xml:space="preserve">     Nature Biotechnology, 14, 1246-1251. DOI: 10.1038/nbt1096-1246 — 首个GFP晶体结构 (PDB: 1GFL, 1.9 Å)。</w:t>
      </w:r>
    </w:p>
    <w:p w14:paraId="62E031F0">
      <w:pPr>
        <w:rPr>
          <w:rFonts w:ascii="Times New Roman" w:hAnsi="Times New Roman" w:eastAsia="宋体"/>
          <w:sz w:val="24"/>
          <w:szCs w:val="24"/>
        </w:rPr>
      </w:pPr>
      <w:r>
        <w:rPr>
          <w:rFonts w:ascii="Times New Roman" w:hAnsi="Times New Roman" w:eastAsia="宋体"/>
          <w:sz w:val="21"/>
          <w:szCs w:val="24"/>
        </w:rPr>
        <w:t>[3]  Ormö, M., et al. (1996) "Crystal Structure of the Aequorea victoria Green Fluorescent Protein."</w:t>
      </w:r>
      <w:r>
        <w:rPr>
          <w:rFonts w:ascii="Times New Roman" w:hAnsi="Times New Roman" w:eastAsia="宋体"/>
          <w:sz w:val="21"/>
          <w:szCs w:val="24"/>
        </w:rPr>
        <w:br w:type="textWrapping"/>
      </w:r>
      <w:r>
        <w:rPr>
          <w:rFonts w:ascii="Times New Roman" w:hAnsi="Times New Roman" w:eastAsia="宋体"/>
          <w:sz w:val="21"/>
          <w:szCs w:val="24"/>
        </w:rPr>
        <w:t xml:space="preserve">     Science, 273, 1392-1395. DOI: 10.1126/science.273.5280.1392</w:t>
      </w:r>
    </w:p>
    <w:p w14:paraId="0CA1EB33">
      <w:pPr>
        <w:rPr>
          <w:rFonts w:ascii="Times New Roman" w:hAnsi="Times New Roman" w:eastAsia="宋体"/>
          <w:sz w:val="24"/>
          <w:szCs w:val="24"/>
        </w:rPr>
      </w:pPr>
      <w:r>
        <w:rPr>
          <w:rFonts w:ascii="Times New Roman" w:hAnsi="Times New Roman" w:eastAsia="宋体"/>
          <w:sz w:val="21"/>
          <w:szCs w:val="24"/>
        </w:rPr>
        <w:t>[4]  Craggs, T.D. (2009) "Green fluorescent protein: structure, folding and chromophore maturation."</w:t>
      </w:r>
      <w:r>
        <w:rPr>
          <w:rFonts w:ascii="Times New Roman" w:hAnsi="Times New Roman" w:eastAsia="宋体"/>
          <w:sz w:val="21"/>
          <w:szCs w:val="24"/>
        </w:rPr>
        <w:br w:type="textWrapping"/>
      </w:r>
      <w:r>
        <w:rPr>
          <w:rFonts w:ascii="Times New Roman" w:hAnsi="Times New Roman" w:eastAsia="宋体"/>
          <w:sz w:val="21"/>
          <w:szCs w:val="24"/>
        </w:rPr>
        <w:t xml:space="preserve">     Chem. Soc. Rev., 38, 2865-2875. DOI: 10.1039/b903641p — 发色团成熟机制的权威综述。</w:t>
      </w:r>
    </w:p>
    <w:p w14:paraId="56D4B531">
      <w:pPr>
        <w:rPr>
          <w:rFonts w:ascii="Times New Roman" w:hAnsi="Times New Roman" w:eastAsia="宋体"/>
          <w:sz w:val="24"/>
          <w:szCs w:val="24"/>
        </w:rPr>
      </w:pPr>
      <w:r>
        <w:rPr>
          <w:rFonts w:ascii="Times New Roman" w:hAnsi="Times New Roman" w:eastAsia="宋体"/>
          <w:sz w:val="21"/>
          <w:szCs w:val="24"/>
        </w:rPr>
        <w:t>[5]  van Thor, J.J. (2009) "Photoreactions and dynamics of the green fluorescent protein."</w:t>
      </w:r>
      <w:r>
        <w:rPr>
          <w:rFonts w:ascii="Times New Roman" w:hAnsi="Times New Roman" w:eastAsia="宋体"/>
          <w:sz w:val="21"/>
          <w:szCs w:val="24"/>
        </w:rPr>
        <w:br w:type="textWrapping"/>
      </w:r>
      <w:r>
        <w:rPr>
          <w:rFonts w:ascii="Times New Roman" w:hAnsi="Times New Roman" w:eastAsia="宋体"/>
          <w:sz w:val="21"/>
          <w:szCs w:val="24"/>
        </w:rPr>
        <w:t xml:space="preserve">     Chem. Soc. Rev., 38, 2935-2950. DOI: 10.1039/b820275n — ESPT和光物理的详细综述。</w:t>
      </w:r>
    </w:p>
    <w:p w14:paraId="36955FBD">
      <w:pPr>
        <w:rPr>
          <w:rFonts w:ascii="Times New Roman" w:hAnsi="Times New Roman" w:eastAsia="宋体"/>
          <w:sz w:val="24"/>
          <w:szCs w:val="24"/>
        </w:rPr>
      </w:pPr>
      <w:r>
        <w:rPr>
          <w:rFonts w:ascii="Times New Roman" w:hAnsi="Times New Roman" w:eastAsia="宋体"/>
          <w:sz w:val="21"/>
          <w:szCs w:val="24"/>
        </w:rPr>
        <w:t>[6]  Heim, R., Prasher, D.C., Tsien, R.Y. (1994) "Wavelength mutations and posttranslational autoxidation</w:t>
      </w:r>
      <w:r>
        <w:rPr>
          <w:rFonts w:ascii="Times New Roman" w:hAnsi="Times New Roman" w:eastAsia="宋体"/>
          <w:sz w:val="21"/>
          <w:szCs w:val="24"/>
        </w:rPr>
        <w:br w:type="textWrapping"/>
      </w:r>
      <w:r>
        <w:rPr>
          <w:rFonts w:ascii="Times New Roman" w:hAnsi="Times New Roman" w:eastAsia="宋体"/>
          <w:sz w:val="21"/>
          <w:szCs w:val="24"/>
        </w:rPr>
        <w:t xml:space="preserve">     of green fluorescent protein." PNAS, 91, 12501-12504. DOI: 10.1073/pnas.91.26.12501 — 首次证明O₂必需性。</w:t>
      </w:r>
    </w:p>
    <w:p w14:paraId="6455FDD7">
      <w:pPr>
        <w:rPr>
          <w:rFonts w:ascii="Times New Roman" w:hAnsi="Times New Roman" w:eastAsia="宋体"/>
          <w:sz w:val="24"/>
          <w:szCs w:val="24"/>
        </w:rPr>
      </w:pPr>
      <w:r>
        <w:rPr>
          <w:rFonts w:ascii="Times New Roman" w:hAnsi="Times New Roman" w:eastAsia="宋体"/>
          <w:sz w:val="21"/>
          <w:szCs w:val="24"/>
        </w:rPr>
        <w:t>[7]  Barondeau, D.P., et al. (2006) "Structural Evidence for an Enolate Intermediate in GFP Fluorophore</w:t>
      </w:r>
      <w:r>
        <w:rPr>
          <w:rFonts w:ascii="Times New Roman" w:hAnsi="Times New Roman" w:eastAsia="宋体"/>
          <w:sz w:val="21"/>
          <w:szCs w:val="24"/>
        </w:rPr>
        <w:br w:type="textWrapping"/>
      </w:r>
      <w:r>
        <w:rPr>
          <w:rFonts w:ascii="Times New Roman" w:hAnsi="Times New Roman" w:eastAsia="宋体"/>
          <w:sz w:val="21"/>
          <w:szCs w:val="24"/>
        </w:rPr>
        <w:t xml:space="preserve">     Biosynthesis." JACS, 128, 3166-3168. DOI: 10.1021/ja0552693 — 烯醇中间体结构 (PDB: 2FZU)。</w:t>
      </w:r>
    </w:p>
    <w:p w14:paraId="29DFD407">
      <w:pPr>
        <w:rPr>
          <w:rFonts w:ascii="Times New Roman" w:hAnsi="Times New Roman" w:eastAsia="宋体"/>
          <w:sz w:val="24"/>
          <w:szCs w:val="24"/>
        </w:rPr>
      </w:pPr>
      <w:r>
        <w:rPr>
          <w:rFonts w:ascii="Times New Roman" w:hAnsi="Times New Roman" w:eastAsia="宋体"/>
          <w:sz w:val="21"/>
          <w:szCs w:val="24"/>
        </w:rPr>
        <w:t>[8]  Grigorenko, B.L., Krylov, A.I., Nemukhin, A.V. (2017) "Molecular Modeling Clarifies the Mechanism</w:t>
      </w:r>
      <w:r>
        <w:rPr>
          <w:rFonts w:ascii="Times New Roman" w:hAnsi="Times New Roman" w:eastAsia="宋体"/>
          <w:sz w:val="21"/>
          <w:szCs w:val="24"/>
        </w:rPr>
        <w:br w:type="textWrapping"/>
      </w:r>
      <w:r>
        <w:rPr>
          <w:rFonts w:ascii="Times New Roman" w:hAnsi="Times New Roman" w:eastAsia="宋体"/>
          <w:sz w:val="21"/>
          <w:szCs w:val="24"/>
        </w:rPr>
        <w:t xml:space="preserve">     of Chromophore Maturation in GFP." JACS, 139, 10239-10249. DOI: 10.1021/jacs.7b04677 — 完整的QM/MM计算。</w:t>
      </w:r>
    </w:p>
    <w:p w14:paraId="4A8A3FA8">
      <w:pPr>
        <w:rPr>
          <w:rFonts w:ascii="Times New Roman" w:hAnsi="Times New Roman" w:eastAsia="宋体"/>
          <w:sz w:val="24"/>
          <w:szCs w:val="24"/>
        </w:rPr>
      </w:pPr>
      <w:r>
        <w:rPr>
          <w:rFonts w:ascii="Times New Roman" w:hAnsi="Times New Roman" w:eastAsia="宋体"/>
          <w:sz w:val="21"/>
          <w:szCs w:val="24"/>
        </w:rPr>
        <w:t>[9]  Zhang, L., et al. (2006) "Reaction Progress of Chromophore Biogenesis in Green Fluorescent Protein."</w:t>
      </w:r>
      <w:r>
        <w:rPr>
          <w:rFonts w:ascii="Times New Roman" w:hAnsi="Times New Roman" w:eastAsia="宋体"/>
          <w:sz w:val="21"/>
          <w:szCs w:val="24"/>
        </w:rPr>
        <w:br w:type="textWrapping"/>
      </w:r>
      <w:r>
        <w:rPr>
          <w:rFonts w:ascii="Times New Roman" w:hAnsi="Times New Roman" w:eastAsia="宋体"/>
          <w:sz w:val="21"/>
          <w:szCs w:val="24"/>
        </w:rPr>
        <w:t xml:space="preserve">     JACS, 128, 4766-4772. DOI: 10.1021/ja0580439 — Wachter路径实验证据。</w:t>
      </w:r>
    </w:p>
    <w:p w14:paraId="147C307E">
      <w:pPr>
        <w:rPr>
          <w:rFonts w:ascii="Times New Roman" w:hAnsi="Times New Roman" w:eastAsia="宋体"/>
          <w:sz w:val="24"/>
          <w:szCs w:val="24"/>
        </w:rPr>
      </w:pPr>
      <w:r>
        <w:rPr>
          <w:rFonts w:ascii="Times New Roman" w:hAnsi="Times New Roman" w:eastAsia="宋体"/>
          <w:sz w:val="21"/>
          <w:szCs w:val="24"/>
        </w:rPr>
        <w:t>[10] Gorbachev, D.A., et al. (2020) "A General Mechanism of Green-to-Red Photoconversions of GFP."</w:t>
      </w:r>
      <w:r>
        <w:rPr>
          <w:rFonts w:ascii="Times New Roman" w:hAnsi="Times New Roman" w:eastAsia="宋体"/>
          <w:sz w:val="21"/>
          <w:szCs w:val="24"/>
        </w:rPr>
        <w:br w:type="textWrapping"/>
      </w:r>
      <w:r>
        <w:rPr>
          <w:rFonts w:ascii="Times New Roman" w:hAnsi="Times New Roman" w:eastAsia="宋体"/>
          <w:sz w:val="21"/>
          <w:szCs w:val="24"/>
        </w:rPr>
        <w:t xml:space="preserve">     Front. Mol. Biosci., 7, 176. DOI: 10.3389/fmolb.2020.00176 — 光转换机制。</w:t>
      </w:r>
    </w:p>
    <w:p w14:paraId="166DDB3D">
      <w:pPr>
        <w:rPr>
          <w:rFonts w:ascii="Times New Roman" w:hAnsi="Times New Roman" w:eastAsia="宋体"/>
          <w:sz w:val="24"/>
          <w:szCs w:val="24"/>
        </w:rPr>
      </w:pPr>
      <w:r>
        <w:rPr>
          <w:rFonts w:ascii="Times New Roman" w:hAnsi="Times New Roman" w:eastAsia="宋体"/>
          <w:sz w:val="21"/>
          <w:szCs w:val="24"/>
        </w:rPr>
        <w:t>[11] Ong, W.J.-H., et al. (2011) "Function and structure of GFP-like proteins in the protein data bank."</w:t>
      </w:r>
      <w:r>
        <w:rPr>
          <w:rFonts w:ascii="Times New Roman" w:hAnsi="Times New Roman" w:eastAsia="宋体"/>
          <w:sz w:val="21"/>
          <w:szCs w:val="24"/>
        </w:rPr>
        <w:br w:type="textWrapping"/>
      </w:r>
      <w:r>
        <w:rPr>
          <w:rFonts w:ascii="Times New Roman" w:hAnsi="Times New Roman" w:eastAsia="宋体"/>
          <w:sz w:val="21"/>
          <w:szCs w:val="24"/>
        </w:rPr>
        <w:t xml:space="preserve">     Mol. BioSyst., 7, 984-992. DOI: 10.1039/c1mb05012e — PDB中266个GFP类结构的系统分析。</w:t>
      </w:r>
    </w:p>
    <w:p w14:paraId="2114B6CE">
      <w:pPr>
        <w:pStyle w:val="4"/>
        <w:rPr>
          <w:rFonts w:ascii="Times New Roman" w:hAnsi="Times New Roman" w:eastAsia="宋体"/>
          <w:sz w:val="28"/>
          <w:szCs w:val="28"/>
        </w:rPr>
      </w:pPr>
      <w:r>
        <w:rPr>
          <w:rFonts w:ascii="Times New Roman" w:hAnsi="Times New Roman" w:eastAsia="宋体"/>
          <w:color w:val="003366"/>
          <w:sz w:val="28"/>
          <w:szCs w:val="28"/>
        </w:rPr>
        <w:t>5.2 关键蛋白质工程研究</w:t>
      </w:r>
    </w:p>
    <w:p w14:paraId="39C9F7B6">
      <w:pPr>
        <w:rPr>
          <w:rFonts w:ascii="Times New Roman" w:hAnsi="Times New Roman" w:eastAsia="宋体"/>
          <w:sz w:val="24"/>
          <w:szCs w:val="24"/>
        </w:rPr>
      </w:pPr>
      <w:r>
        <w:rPr>
          <w:rFonts w:ascii="Times New Roman" w:hAnsi="Times New Roman" w:eastAsia="宋体"/>
          <w:sz w:val="21"/>
          <w:szCs w:val="24"/>
        </w:rPr>
        <w:t>[12] Pédelacq, J.-D., Cabantous, S., Tran, T., Terwilliger, T.C., Waldo, G.S. (2006)</w:t>
      </w:r>
      <w:r>
        <w:rPr>
          <w:rFonts w:ascii="Times New Roman" w:hAnsi="Times New Roman" w:eastAsia="宋体"/>
          <w:sz w:val="21"/>
          <w:szCs w:val="24"/>
        </w:rPr>
        <w:br w:type="textWrapping"/>
      </w:r>
      <w:r>
        <w:rPr>
          <w:rFonts w:ascii="Times New Roman" w:hAnsi="Times New Roman" w:eastAsia="宋体"/>
          <w:sz w:val="21"/>
          <w:szCs w:val="24"/>
        </w:rPr>
        <w:t xml:space="preserve">     "Engineering and characterization of a superfolder green fluorescent protein."</w:t>
      </w:r>
      <w:r>
        <w:rPr>
          <w:rFonts w:ascii="Times New Roman" w:hAnsi="Times New Roman" w:eastAsia="宋体"/>
          <w:sz w:val="21"/>
          <w:szCs w:val="24"/>
        </w:rPr>
        <w:br w:type="textWrapping"/>
      </w:r>
      <w:r>
        <w:rPr>
          <w:rFonts w:ascii="Times New Roman" w:hAnsi="Times New Roman" w:eastAsia="宋体"/>
          <w:sz w:val="21"/>
          <w:szCs w:val="24"/>
        </w:rPr>
        <w:t xml:space="preserve">     Nature Biotechnology, 24, 79-88. DOI: 10.1038/nbt1172 — sfGFP奠基性工作。</w:t>
      </w:r>
    </w:p>
    <w:p w14:paraId="2B2F602F">
      <w:pPr>
        <w:rPr>
          <w:rFonts w:ascii="Times New Roman" w:hAnsi="Times New Roman" w:eastAsia="宋体"/>
          <w:sz w:val="24"/>
          <w:szCs w:val="24"/>
        </w:rPr>
      </w:pPr>
      <w:r>
        <w:rPr>
          <w:rFonts w:ascii="Times New Roman" w:hAnsi="Times New Roman" w:eastAsia="宋体"/>
          <w:sz w:val="21"/>
          <w:szCs w:val="24"/>
        </w:rPr>
        <w:t>[13] Patterson, G.H., Knobel, S.M., Sharif, W.D., Kain, S.R., Piston, D.W. (1997)</w:t>
      </w:r>
      <w:r>
        <w:rPr>
          <w:rFonts w:ascii="Times New Roman" w:hAnsi="Times New Roman" w:eastAsia="宋体"/>
          <w:sz w:val="21"/>
          <w:szCs w:val="24"/>
        </w:rPr>
        <w:br w:type="textWrapping"/>
      </w:r>
      <w:r>
        <w:rPr>
          <w:rFonts w:ascii="Times New Roman" w:hAnsi="Times New Roman" w:eastAsia="宋体"/>
          <w:sz w:val="21"/>
          <w:szCs w:val="24"/>
        </w:rPr>
        <w:t xml:space="preserve">     "Use of the Green Fluorescent Protein and its mutants in quantitative fluorescence microscopy."</w:t>
      </w:r>
      <w:r>
        <w:rPr>
          <w:rFonts w:ascii="Times New Roman" w:hAnsi="Times New Roman" w:eastAsia="宋体"/>
          <w:sz w:val="21"/>
          <w:szCs w:val="24"/>
        </w:rPr>
        <w:br w:type="textWrapping"/>
      </w:r>
      <w:r>
        <w:rPr>
          <w:rFonts w:ascii="Times New Roman" w:hAnsi="Times New Roman" w:eastAsia="宋体"/>
          <w:sz w:val="21"/>
          <w:szCs w:val="24"/>
        </w:rPr>
        <w:t xml:space="preserve">     Biophysical Journal, 73, 2782-2790. DOI: 10.1016/S0006-3495(97)78307-3 — 亮度参数系统测量。</w:t>
      </w:r>
    </w:p>
    <w:p w14:paraId="4612D52F">
      <w:pPr>
        <w:rPr>
          <w:rFonts w:ascii="Times New Roman" w:hAnsi="Times New Roman" w:eastAsia="宋体"/>
          <w:sz w:val="24"/>
          <w:szCs w:val="24"/>
        </w:rPr>
      </w:pPr>
      <w:r>
        <w:rPr>
          <w:rFonts w:ascii="Times New Roman" w:hAnsi="Times New Roman" w:eastAsia="宋体"/>
          <w:sz w:val="21"/>
          <w:szCs w:val="24"/>
        </w:rPr>
        <w:t>[14] Hirano, M., Ando, R., Miyawaki, A., et al. (2022) "A highly photostable and bright green fluorescent</w:t>
      </w:r>
      <w:r>
        <w:rPr>
          <w:rFonts w:ascii="Times New Roman" w:hAnsi="Times New Roman" w:eastAsia="宋体"/>
          <w:sz w:val="21"/>
          <w:szCs w:val="24"/>
        </w:rPr>
        <w:br w:type="textWrapping"/>
      </w:r>
      <w:r>
        <w:rPr>
          <w:rFonts w:ascii="Times New Roman" w:hAnsi="Times New Roman" w:eastAsia="宋体"/>
          <w:sz w:val="21"/>
          <w:szCs w:val="24"/>
        </w:rPr>
        <w:t xml:space="preserve">     protein." Nature Biotechnology, 40, 1132-1142. DOI: 10.1038/s41587-022-01278-2 — StayGold。</w:t>
      </w:r>
    </w:p>
    <w:p w14:paraId="6612037A">
      <w:pPr>
        <w:rPr>
          <w:rFonts w:ascii="Times New Roman" w:hAnsi="Times New Roman" w:eastAsia="宋体"/>
          <w:sz w:val="24"/>
          <w:szCs w:val="24"/>
        </w:rPr>
      </w:pPr>
      <w:r>
        <w:rPr>
          <w:rFonts w:ascii="Times New Roman" w:hAnsi="Times New Roman" w:eastAsia="宋体"/>
          <w:sz w:val="21"/>
          <w:szCs w:val="24"/>
        </w:rPr>
        <w:t>[15] Zhang, H., Subach, F.V., et al. (2024) "Bright and stable monomeric green fluorescent protein derived</w:t>
      </w:r>
      <w:r>
        <w:rPr>
          <w:rFonts w:ascii="Times New Roman" w:hAnsi="Times New Roman" w:eastAsia="宋体"/>
          <w:sz w:val="21"/>
          <w:szCs w:val="24"/>
        </w:rPr>
        <w:br w:type="textWrapping"/>
      </w:r>
      <w:r>
        <w:rPr>
          <w:rFonts w:ascii="Times New Roman" w:hAnsi="Times New Roman" w:eastAsia="宋体"/>
          <w:sz w:val="21"/>
          <w:szCs w:val="24"/>
        </w:rPr>
        <w:t xml:space="preserve">     from StayGold." Nature Methods, 21, 657-665. DOI: 10.1038/s41592-024-02203-y — mBaoJin (PDB: 8q79)。</w:t>
      </w:r>
    </w:p>
    <w:p w14:paraId="77242BC4">
      <w:pPr>
        <w:rPr>
          <w:rFonts w:ascii="Times New Roman" w:hAnsi="Times New Roman" w:eastAsia="宋体"/>
          <w:sz w:val="24"/>
          <w:szCs w:val="24"/>
        </w:rPr>
      </w:pPr>
      <w:r>
        <w:rPr>
          <w:rFonts w:ascii="Times New Roman" w:hAnsi="Times New Roman" w:eastAsia="宋体"/>
          <w:sz w:val="21"/>
          <w:szCs w:val="24"/>
        </w:rPr>
        <w:t>[16] Ahmed, T., et al. (2025) "Molecular dynamics guided identification of a brighter variant of superfolder</w:t>
      </w:r>
      <w:r>
        <w:rPr>
          <w:rFonts w:ascii="Times New Roman" w:hAnsi="Times New Roman" w:eastAsia="宋体"/>
          <w:sz w:val="21"/>
          <w:szCs w:val="24"/>
        </w:rPr>
        <w:br w:type="textWrapping"/>
      </w:r>
      <w:r>
        <w:rPr>
          <w:rFonts w:ascii="Times New Roman" w:hAnsi="Times New Roman" w:eastAsia="宋体"/>
          <w:sz w:val="21"/>
          <w:szCs w:val="24"/>
        </w:rPr>
        <w:t xml:space="preserve">     GFP with increased photobleaching resistance." Commun. Chem., 8, 174.</w:t>
      </w:r>
      <w:r>
        <w:rPr>
          <w:rFonts w:ascii="Times New Roman" w:hAnsi="Times New Roman" w:eastAsia="宋体"/>
          <w:sz w:val="21"/>
          <w:szCs w:val="24"/>
        </w:rPr>
        <w:br w:type="textWrapping"/>
      </w:r>
      <w:r>
        <w:rPr>
          <w:rFonts w:ascii="Times New Roman" w:hAnsi="Times New Roman" w:eastAsia="宋体"/>
          <w:sz w:val="21"/>
          <w:szCs w:val="24"/>
        </w:rPr>
        <w:t xml:space="preserve">     DOI: 10.1038/s42004-025-01573-4 — YuzuFP (H148S)。</w:t>
      </w:r>
    </w:p>
    <w:p w14:paraId="08640223">
      <w:pPr>
        <w:rPr>
          <w:rFonts w:ascii="Times New Roman" w:hAnsi="Times New Roman" w:eastAsia="宋体"/>
          <w:sz w:val="24"/>
          <w:szCs w:val="24"/>
        </w:rPr>
      </w:pPr>
      <w:r>
        <w:rPr>
          <w:rFonts w:ascii="Times New Roman" w:hAnsi="Times New Roman" w:eastAsia="宋体"/>
          <w:sz w:val="21"/>
          <w:szCs w:val="24"/>
        </w:rPr>
        <w:t>[17] Nikolaev, G., et al. (2024) "Reengineering a flavin-based fluorescent protein using ProteinMPNN."</w:t>
      </w:r>
      <w:r>
        <w:rPr>
          <w:rFonts w:ascii="Times New Roman" w:hAnsi="Times New Roman" w:eastAsia="宋体"/>
          <w:sz w:val="21"/>
          <w:szCs w:val="24"/>
        </w:rPr>
        <w:br w:type="textWrapping"/>
      </w:r>
      <w:r>
        <w:rPr>
          <w:rFonts w:ascii="Times New Roman" w:hAnsi="Times New Roman" w:eastAsia="宋体"/>
          <w:sz w:val="21"/>
          <w:szCs w:val="24"/>
        </w:rPr>
        <w:t xml:space="preserve">     Protein Science, 33, e70002. DOI: 10.1002/pro.70002 — ProteinMPNN设计荧光蛋白。</w:t>
      </w:r>
    </w:p>
    <w:p w14:paraId="2D3CFCD8">
      <w:pPr>
        <w:rPr>
          <w:rFonts w:ascii="Times New Roman" w:hAnsi="Times New Roman" w:eastAsia="宋体"/>
          <w:sz w:val="24"/>
          <w:szCs w:val="24"/>
        </w:rPr>
      </w:pPr>
      <w:r>
        <w:rPr>
          <w:rFonts w:ascii="Times New Roman" w:hAnsi="Times New Roman" w:eastAsia="宋体"/>
          <w:sz w:val="21"/>
          <w:szCs w:val="24"/>
        </w:rPr>
        <w:t>[18] Rives, A., et al. (2025) "Simulating 500 million years of evolution with a language model (ESM3)."</w:t>
      </w:r>
      <w:r>
        <w:rPr>
          <w:rFonts w:ascii="Times New Roman" w:hAnsi="Times New Roman" w:eastAsia="宋体"/>
          <w:sz w:val="21"/>
          <w:szCs w:val="24"/>
        </w:rPr>
        <w:br w:type="textWrapping"/>
      </w:r>
      <w:r>
        <w:rPr>
          <w:rFonts w:ascii="Times New Roman" w:hAnsi="Times New Roman" w:eastAsia="宋体"/>
          <w:sz w:val="21"/>
          <w:szCs w:val="24"/>
        </w:rPr>
        <w:t xml:space="preserve">     Science, 387, 850-858. DOI: 10.1126/science.ads0018 — AI生成全新荧光蛋白esmGFP。</w:t>
      </w:r>
    </w:p>
    <w:p w14:paraId="3097BBA2">
      <w:pPr>
        <w:pStyle w:val="4"/>
        <w:rPr>
          <w:rFonts w:ascii="Times New Roman" w:hAnsi="Times New Roman" w:eastAsia="宋体"/>
          <w:sz w:val="28"/>
          <w:szCs w:val="28"/>
        </w:rPr>
      </w:pPr>
      <w:r>
        <w:rPr>
          <w:rFonts w:ascii="Times New Roman" w:hAnsi="Times New Roman" w:eastAsia="宋体"/>
          <w:color w:val="003366"/>
          <w:sz w:val="28"/>
          <w:szCs w:val="28"/>
        </w:rPr>
        <w:t>5.3 关键PDB结构资源</w:t>
      </w:r>
    </w:p>
    <w:p w14:paraId="1F7137EB">
      <w:pPr>
        <w:pStyle w:val="16"/>
        <w:rPr>
          <w:rFonts w:ascii="Times New Roman" w:hAnsi="Times New Roman" w:eastAsia="宋体"/>
          <w:sz w:val="24"/>
          <w:szCs w:val="24"/>
        </w:rPr>
      </w:pPr>
      <w:r>
        <w:rPr>
          <w:rFonts w:ascii="Times New Roman" w:hAnsi="Times New Roman" w:eastAsia="宋体"/>
          <w:sz w:val="24"/>
          <w:szCs w:val="24"/>
        </w:rPr>
        <w:t>1GFL — 野生型GFP, 1.9 Å (Yang, Phillips, 1996)</w:t>
      </w:r>
    </w:p>
    <w:p w14:paraId="5F7EE9B9">
      <w:pPr>
        <w:pStyle w:val="16"/>
        <w:rPr>
          <w:rFonts w:ascii="Times New Roman" w:hAnsi="Times New Roman" w:eastAsia="宋体"/>
          <w:sz w:val="24"/>
          <w:szCs w:val="24"/>
        </w:rPr>
      </w:pPr>
      <w:r>
        <w:rPr>
          <w:rFonts w:ascii="Times New Roman" w:hAnsi="Times New Roman" w:eastAsia="宋体"/>
          <w:sz w:val="24"/>
          <w:szCs w:val="24"/>
        </w:rPr>
        <w:t>1EMA — EGFP (S65T/F64L), 1.9 Å</w:t>
      </w:r>
    </w:p>
    <w:p w14:paraId="575FD7C3">
      <w:pPr>
        <w:pStyle w:val="16"/>
        <w:rPr>
          <w:rFonts w:ascii="Times New Roman" w:hAnsi="Times New Roman" w:eastAsia="宋体"/>
          <w:sz w:val="24"/>
          <w:szCs w:val="24"/>
        </w:rPr>
      </w:pPr>
      <w:r>
        <w:rPr>
          <w:rFonts w:ascii="Times New Roman" w:hAnsi="Times New Roman" w:eastAsia="宋体"/>
          <w:sz w:val="24"/>
          <w:szCs w:val="24"/>
        </w:rPr>
        <w:t>2B3P — 超折叠sfGFP (Pédelacq, Waldo, 2006)</w:t>
      </w:r>
    </w:p>
    <w:p w14:paraId="7879716C">
      <w:pPr>
        <w:pStyle w:val="16"/>
        <w:rPr>
          <w:rFonts w:ascii="Times New Roman" w:hAnsi="Times New Roman" w:eastAsia="宋体"/>
          <w:sz w:val="24"/>
          <w:szCs w:val="24"/>
        </w:rPr>
      </w:pPr>
      <w:r>
        <w:rPr>
          <w:rFonts w:ascii="Times New Roman" w:hAnsi="Times New Roman" w:eastAsia="宋体"/>
          <w:sz w:val="24"/>
          <w:szCs w:val="24"/>
        </w:rPr>
        <w:t>2B3Q — sfGFP + 折叠不佳的融合肽段</w:t>
      </w:r>
    </w:p>
    <w:p w14:paraId="3EC1ED34">
      <w:pPr>
        <w:pStyle w:val="16"/>
        <w:rPr>
          <w:rFonts w:ascii="Times New Roman" w:hAnsi="Times New Roman" w:eastAsia="宋体"/>
          <w:sz w:val="24"/>
          <w:szCs w:val="24"/>
        </w:rPr>
      </w:pPr>
      <w:r>
        <w:rPr>
          <w:rFonts w:ascii="Times New Roman" w:hAnsi="Times New Roman" w:eastAsia="宋体"/>
          <w:sz w:val="24"/>
          <w:szCs w:val="24"/>
        </w:rPr>
        <w:t>2FZU — 烯醇中间体 (厌氧还原态, Barondeau/Getzoff, 2006)</w:t>
      </w:r>
    </w:p>
    <w:p w14:paraId="65A2AB77">
      <w:pPr>
        <w:pStyle w:val="16"/>
        <w:rPr>
          <w:rFonts w:ascii="Times New Roman" w:hAnsi="Times New Roman" w:eastAsia="宋体"/>
          <w:sz w:val="24"/>
          <w:szCs w:val="24"/>
        </w:rPr>
      </w:pPr>
      <w:r>
        <w:rPr>
          <w:rFonts w:ascii="Times New Roman" w:hAnsi="Times New Roman" w:eastAsia="宋体"/>
          <w:sz w:val="24"/>
          <w:szCs w:val="24"/>
        </w:rPr>
        <w:t>2WUR — GFP原子分辨率结构 (旋转阳极)</w:t>
      </w:r>
    </w:p>
    <w:p w14:paraId="397F6AC1">
      <w:pPr>
        <w:pStyle w:val="16"/>
        <w:rPr>
          <w:rFonts w:ascii="Times New Roman" w:hAnsi="Times New Roman" w:eastAsia="宋体"/>
          <w:sz w:val="24"/>
          <w:szCs w:val="24"/>
        </w:rPr>
      </w:pPr>
      <w:r>
        <w:rPr>
          <w:rFonts w:ascii="Times New Roman" w:hAnsi="Times New Roman" w:eastAsia="宋体"/>
          <w:sz w:val="24"/>
          <w:szCs w:val="24"/>
        </w:rPr>
        <w:t>8q79 — mBaoJin, pH 6.5 (Zhang, Subach, 2024)</w:t>
      </w:r>
    </w:p>
    <w:p w14:paraId="79F480AA">
      <w:pPr>
        <w:pStyle w:val="4"/>
        <w:rPr>
          <w:rFonts w:ascii="Times New Roman" w:hAnsi="Times New Roman" w:eastAsia="宋体"/>
          <w:sz w:val="28"/>
          <w:szCs w:val="28"/>
        </w:rPr>
      </w:pPr>
      <w:r>
        <w:rPr>
          <w:rFonts w:ascii="Times New Roman" w:hAnsi="Times New Roman" w:eastAsia="宋体"/>
          <w:color w:val="003366"/>
          <w:sz w:val="28"/>
          <w:szCs w:val="28"/>
        </w:rPr>
        <w:t>5.4 在线资源</w:t>
      </w:r>
    </w:p>
    <w:p w14:paraId="2150AD25">
      <w:pPr>
        <w:rPr>
          <w:rFonts w:ascii="Times New Roman" w:hAnsi="Times New Roman" w:eastAsia="宋体"/>
          <w:sz w:val="24"/>
          <w:szCs w:val="24"/>
        </w:rPr>
      </w:pPr>
      <w:r>
        <w:rPr>
          <w:rFonts w:ascii="Times New Roman" w:hAnsi="Times New Roman" w:eastAsia="宋体"/>
          <w:b w:val="0"/>
          <w:sz w:val="24"/>
          <w:szCs w:val="24"/>
        </w:rPr>
        <w:t>• RCSB PDB: https://www.rcsb.org/ — 三维结构查看 (Mol* viewer)</w:t>
      </w:r>
      <w:r>
        <w:rPr>
          <w:rFonts w:ascii="Times New Roman" w:hAnsi="Times New Roman" w:eastAsia="宋体"/>
          <w:b w:val="0"/>
          <w:sz w:val="24"/>
          <w:szCs w:val="24"/>
        </w:rPr>
        <w:br w:type="textWrapping"/>
      </w:r>
      <w:r>
        <w:rPr>
          <w:rFonts w:ascii="Times New Roman" w:hAnsi="Times New Roman" w:eastAsia="宋体"/>
          <w:b w:val="0"/>
          <w:sz w:val="24"/>
          <w:szCs w:val="24"/>
        </w:rPr>
        <w:t>• PDBsum: https://www.ebi.ac.uk/thornton-srv/databases/pdbsum/ — 二级结构拓扑图</w:t>
      </w:r>
      <w:r>
        <w:rPr>
          <w:rFonts w:ascii="Times New Roman" w:hAnsi="Times New Roman" w:eastAsia="宋体"/>
          <w:b w:val="0"/>
          <w:sz w:val="24"/>
          <w:szCs w:val="24"/>
        </w:rPr>
        <w:br w:type="textWrapping"/>
      </w:r>
      <w:r>
        <w:rPr>
          <w:rFonts w:ascii="Times New Roman" w:hAnsi="Times New Roman" w:eastAsia="宋体"/>
          <w:b w:val="0"/>
          <w:sz w:val="24"/>
          <w:szCs w:val="24"/>
        </w:rPr>
        <w:t>• FPbase: https://www.fpbase.org/ — 荧光蛋白数据库（光物理参数、序列）</w:t>
      </w:r>
      <w:r>
        <w:rPr>
          <w:rFonts w:ascii="Times New Roman" w:hAnsi="Times New Roman" w:eastAsia="宋体"/>
          <w:b w:val="0"/>
          <w:sz w:val="24"/>
          <w:szCs w:val="24"/>
        </w:rPr>
        <w:br w:type="textWrapping"/>
      </w:r>
      <w:r>
        <w:rPr>
          <w:rFonts w:ascii="Times New Roman" w:hAnsi="Times New Roman" w:eastAsia="宋体"/>
          <w:b w:val="0"/>
          <w:sz w:val="24"/>
          <w:szCs w:val="24"/>
        </w:rPr>
        <w:t>• PROSS: https://pross.weizmann.ac.il/ — 蛋白质稳定性自动设计服务器</w:t>
      </w:r>
    </w:p>
    <w:p w14:paraId="2063004B">
      <w:pPr>
        <w:rPr>
          <w:rFonts w:ascii="Times New Roman" w:hAnsi="Times New Roman" w:eastAsia="宋体"/>
          <w:sz w:val="24"/>
          <w:szCs w:val="24"/>
        </w:rPr>
      </w:pPr>
    </w:p>
    <w:p w14:paraId="4C304D67">
      <w:pPr>
        <w:rPr>
          <w:rFonts w:ascii="Times New Roman" w:hAnsi="Times New Roman" w:eastAsia="宋体"/>
          <w:sz w:val="24"/>
          <w:szCs w:val="24"/>
        </w:rPr>
      </w:pPr>
      <w:r>
        <w:rPr>
          <w:rFonts w:ascii="Times New Roman" w:hAnsi="Times New Roman" w:eastAsia="宋体"/>
          <w:color w:val="808080"/>
          <w:sz w:val="20"/>
          <w:szCs w:val="24"/>
        </w:rPr>
        <w:t>本文档由AI辅助整理生成，旨在为合成生物学创新赛"蛋白质设计"赛道的参赛队伍提供GFP发光机制、荧光强度和热稳定性影响因素的全面背景知识。文中所有DOI链接和PDB条目截至2026年5月已验证可访问。</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1D00A3"/>
    <w:rsid w:val="21821C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482</Words>
  <Characters>622</Characters>
  <Lines>0</Lines>
  <Paragraphs>0</Paragraphs>
  <TotalTime>48</TotalTime>
  <ScaleCrop>false</ScaleCrop>
  <LinksUpToDate>false</LinksUpToDate>
  <CharactersWithSpaces>699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仰望天空</cp:lastModifiedBy>
  <dcterms:modified xsi:type="dcterms:W3CDTF">2026-05-13T12:08:52Z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eyJoZGlkIjoiYTczMTE5MmFkMzBjY2FhNzY5MWQwM2ZlZTM5OGNhNDgiLCJ1c2VySWQiOiI2MjkxNzEyNjIifQ==</vt:lpwstr>
  </property>
  <property fmtid="{D5CDD505-2E9C-101B-9397-08002B2CF9AE}" pid="3" name="KSOProductBuildVer">
    <vt:lpwstr>2052-12.1.0.26375</vt:lpwstr>
  </property>
  <property fmtid="{D5CDD505-2E9C-101B-9397-08002B2CF9AE}" pid="4" name="ICV">
    <vt:lpwstr>A81F3018AB4C400F8FB1EDD122D6B414_12</vt:lpwstr>
  </property>
</Properties>
</file>