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BD0D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基于AI for Science挖掘高荧光、高热稳定性sfGFP序列的完整方案</w:t>
      </w:r>
    </w:p>
    <w:p w14:paraId="15627A4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一、研究背景</w:t>
      </w:r>
      <w:bookmarkEnd w:id="0"/>
    </w:p>
    <w:p w14:paraId="2202A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超折叠绿色荧光蛋白（sfGFP）是常用的报告蛋白，传统随机突变、定点突变筛选</w:t>
      </w:r>
      <w:r>
        <w:rPr>
          <w:rFonts w:ascii="Arial" w:hAnsi="Arial" w:eastAsia="等线" w:cs="Arial"/>
          <w:b/>
          <w:sz w:val="22"/>
        </w:rPr>
        <w:t>耗时长、成本高、筛选通量低</w:t>
      </w:r>
      <w:r>
        <w:rPr>
          <w:rFonts w:ascii="Arial" w:hAnsi="Arial" w:eastAsia="等线" w:cs="Arial"/>
          <w:sz w:val="22"/>
        </w:rPr>
        <w:t>，难以同时获得</w:t>
      </w:r>
      <w:r>
        <w:rPr>
          <w:rFonts w:ascii="Arial" w:hAnsi="Arial" w:eastAsia="等线" w:cs="Arial"/>
          <w:b/>
          <w:sz w:val="22"/>
        </w:rPr>
        <w:t>高荧光亮度 + 高热稳定性</w:t>
      </w:r>
      <w:r>
        <w:rPr>
          <w:rFonts w:ascii="Arial" w:hAnsi="Arial" w:eastAsia="等线" w:cs="Arial"/>
          <w:sz w:val="22"/>
        </w:rPr>
        <w:t>的突变体。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从</w:t>
      </w:r>
      <w:r>
        <w:rPr>
          <w:rFonts w:ascii="Arial" w:hAnsi="Arial" w:eastAsia="等线" w:cs="Arial"/>
          <w:b/>
          <w:sz w:val="22"/>
        </w:rPr>
        <w:t>AI for Science</w:t>
      </w:r>
      <w:r>
        <w:rPr>
          <w:rFonts w:ascii="Arial" w:hAnsi="Arial" w:eastAsia="等线" w:cs="Arial"/>
          <w:sz w:val="22"/>
        </w:rPr>
        <w:t>交叉视角，可利用蛋白语言模型、结构预测、机器学习、分子动力学模拟等人工智能方法，从序列层面</w:t>
      </w:r>
      <w:r>
        <w:rPr>
          <w:rFonts w:ascii="Arial" w:hAnsi="Arial" w:eastAsia="等线" w:cs="Arial"/>
          <w:b/>
          <w:sz w:val="22"/>
        </w:rPr>
        <w:t>精准预测、定向设计、虚拟筛选</w:t>
      </w:r>
      <w:r>
        <w:rPr>
          <w:rFonts w:ascii="Arial" w:hAnsi="Arial" w:eastAsia="等线" w:cs="Arial"/>
          <w:sz w:val="22"/>
        </w:rPr>
        <w:t>最优 sfGFP 突变序列，实现从 “盲筛” 到 “理性设计”。</w:t>
      </w:r>
    </w:p>
    <w:p w14:paraId="68BE7A40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核心性能指标约束</w:t>
      </w:r>
      <w:bookmarkEnd w:id="1"/>
    </w:p>
    <w:p w14:paraId="68895AC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荧光亮度：摩尔消光系数、量子产率、蛋白折叠成熟效率高；</w:t>
      </w:r>
    </w:p>
    <w:p w14:paraId="167072A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热稳定性：解折叠温度</w:t>
      </w:r>
      <m:oMath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</m:oMath>
      <w:r>
        <w:rPr>
          <w:rFonts w:ascii="Arial" w:hAnsi="Arial" w:eastAsia="等线" w:cs="Arial"/>
          <w:sz w:val="22"/>
        </w:rPr>
        <w:t>高，高温下不聚集、β‑桶结构不解离；</w:t>
      </w:r>
    </w:p>
    <w:p w14:paraId="0E24347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颜色约束：</w:t>
      </w:r>
      <w:r>
        <w:rPr>
          <w:rFonts w:ascii="Arial" w:hAnsi="Arial" w:eastAsia="等线" w:cs="Arial"/>
          <w:b/>
          <w:sz w:val="22"/>
        </w:rPr>
        <w:t>保持绿色荧光</w:t>
      </w:r>
      <w:r>
        <w:rPr>
          <w:rFonts w:ascii="Arial" w:hAnsi="Arial" w:eastAsia="等线" w:cs="Arial"/>
          <w:sz w:val="22"/>
        </w:rPr>
        <w:t>，不改变发色团共轭体系，仅改造周边氨基酸。</w:t>
      </w:r>
    </w:p>
    <w:p w14:paraId="78B6A6B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二、sfGFP 高亮度 + 热稳定性的结构先验知识（AI 建模基础）</w:t>
      </w:r>
      <w:bookmarkEnd w:id="2"/>
    </w:p>
    <w:p w14:paraId="6DBC499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提升荧光亮度的结构靶点</w:t>
      </w:r>
      <w:bookmarkEnd w:id="3"/>
    </w:p>
    <w:p w14:paraId="0BCA888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优化发色团三肽（64‑67 位）周边，提高成熟效率（F64L、S65T）；</w:t>
      </w:r>
    </w:p>
    <w:p w14:paraId="56225E1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固定发色团构象，减少激发态非辐射损耗；</w:t>
      </w:r>
    </w:p>
    <w:p w14:paraId="5ABDCBC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 β‑桶内部氢键网络，维持发色团去质子化高荧光态；</w:t>
      </w:r>
    </w:p>
    <w:p w14:paraId="2066F95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减少水分子淬灭，提高蛋白可溶性。</w:t>
      </w:r>
    </w:p>
    <w:p w14:paraId="3E03A3C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提升热稳定性的结构靶点</w:t>
      </w:r>
      <w:bookmarkEnd w:id="4"/>
    </w:p>
    <w:p w14:paraId="6339167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强化 β‑桶内部疏水堆积；</w:t>
      </w:r>
    </w:p>
    <w:p w14:paraId="3EF6C8F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引入盐桥、氢键、二硫键增强分子内作用力；</w:t>
      </w:r>
    </w:p>
    <w:p w14:paraId="6124B5D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Loop 柔性区引入脯氨酸 Pro 刚性化；</w:t>
      </w:r>
    </w:p>
    <w:p w14:paraId="30CD842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表面残基亲水改造，抑制高温聚集。</w:t>
      </w:r>
    </w:p>
    <w:p w14:paraId="0D151D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以上结构规则作为</w:t>
      </w:r>
      <w:r>
        <w:rPr>
          <w:rFonts w:ascii="Arial" w:hAnsi="Arial" w:eastAsia="等线" w:cs="Arial"/>
          <w:b/>
          <w:sz w:val="22"/>
        </w:rPr>
        <w:t>AI 模型的先验约束</w:t>
      </w:r>
      <w:r>
        <w:rPr>
          <w:rFonts w:ascii="Arial" w:hAnsi="Arial" w:eastAsia="等线" w:cs="Arial"/>
          <w:sz w:val="22"/>
        </w:rPr>
        <w:t>，避免无意义突变。</w:t>
      </w:r>
    </w:p>
    <w:p w14:paraId="63523D92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三、AI for Science 定向设计高荧光 + 高热稳 sfGFP 的完整流程</w:t>
      </w:r>
      <w:bookmarkEnd w:id="5"/>
    </w:p>
    <w:p w14:paraId="28411AA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步骤 1：构建高质量多模态数据集</w:t>
      </w:r>
      <w:bookmarkEnd w:id="6"/>
    </w:p>
    <w:p w14:paraId="55BF903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序列数据</w:t>
      </w:r>
      <w:r>
        <w:rPr>
          <w:rFonts w:ascii="Arial" w:hAnsi="Arial" w:eastAsia="等线" w:cs="Arial"/>
          <w:sz w:val="22"/>
        </w:rPr>
        <w:t>：野生型 sfGFP、EGFP、已有高亮度 / 高热稳 GFP 突变体序列、UniProt / 文献中已验证突变位点；</w:t>
      </w:r>
    </w:p>
    <w:p w14:paraId="48B09F8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标签数据</w:t>
      </w:r>
      <w:r>
        <w:rPr>
          <w:rFonts w:ascii="Arial" w:hAnsi="Arial" w:eastAsia="等线" w:cs="Arial"/>
          <w:sz w:val="22"/>
        </w:rPr>
        <w:t>：每个突变体标注实验测得的</w:t>
      </w:r>
      <w:r>
        <w:rPr>
          <w:rFonts w:ascii="Arial" w:hAnsi="Arial" w:eastAsia="等线" w:cs="Arial"/>
          <w:b/>
          <w:sz w:val="22"/>
        </w:rPr>
        <w:t>荧光亮度、量子产率、热解折叠温度</w:t>
      </w:r>
      <m:oMath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</m:oMath>
      <w:r>
        <w:rPr>
          <w:rFonts w:ascii="Arial" w:hAnsi="Arial" w:eastAsia="等线" w:cs="Arial"/>
          <w:b/>
          <w:sz w:val="22"/>
        </w:rPr>
        <w:t>、成熟效率</w:t>
      </w:r>
      <w:r>
        <w:rPr>
          <w:rFonts w:ascii="Arial" w:hAnsi="Arial" w:eastAsia="等线" w:cs="Arial"/>
          <w:sz w:val="22"/>
        </w:rPr>
        <w:t>；</w:t>
      </w:r>
    </w:p>
    <w:p w14:paraId="3BFB7D6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结构数据</w:t>
      </w:r>
      <w:r>
        <w:rPr>
          <w:rFonts w:ascii="Arial" w:hAnsi="Arial" w:eastAsia="等线" w:cs="Arial"/>
          <w:sz w:val="22"/>
        </w:rPr>
        <w:t>：AlphaFold2 解析野生型及突变体 3D 结构，提取 β‑桶、发色团、Loop 区空间信息；</w:t>
      </w:r>
    </w:p>
    <w:p w14:paraId="0A1C9CB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负样本补充</w:t>
      </w:r>
      <w:r>
        <w:rPr>
          <w:rFonts w:ascii="Arial" w:hAnsi="Arial" w:eastAsia="等线" w:cs="Arial"/>
          <w:sz w:val="22"/>
        </w:rPr>
        <w:t>：荧光弱、热稳定性差的突变序列，用于模型区分优劣。</w:t>
      </w:r>
    </w:p>
    <w:p w14:paraId="63A9852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步骤 2：特征工程（AI 输入）</w:t>
      </w:r>
      <w:bookmarkEnd w:id="7"/>
    </w:p>
    <w:p w14:paraId="5D295A9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序列特征</w:t>
      </w:r>
      <w:r>
        <w:rPr>
          <w:rFonts w:ascii="Arial" w:hAnsi="Arial" w:eastAsia="等线" w:cs="Arial"/>
          <w:sz w:val="22"/>
        </w:rPr>
        <w:t>：用 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蛋白语言模型（ESM‑2、ProtBERT）\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提取氨基酸语义特征、进化保守性特征；</w:t>
      </w:r>
    </w:p>
    <w:p w14:paraId="3E31C00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结构特征</w:t>
      </w:r>
      <w:r>
        <w:rPr>
          <w:rFonts w:ascii="Arial" w:hAnsi="Arial" w:eastAsia="等线" w:cs="Arial"/>
          <w:sz w:val="22"/>
        </w:rPr>
        <w:t>：二级结构（α‑螺旋 /β‑折叠 / Loop）、溶剂可及表面积 SASA、残基间距离、氢键网络、疏水堆积强度；</w:t>
      </w:r>
    </w:p>
    <w:p w14:paraId="79053FE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理化特征</w:t>
      </w:r>
      <w:r>
        <w:rPr>
          <w:rFonts w:ascii="Arial" w:hAnsi="Arial" w:eastAsia="等线" w:cs="Arial"/>
          <w:sz w:val="22"/>
        </w:rPr>
        <w:t>：氨基酸疏水性、电荷、极性、柔性指数；</w:t>
      </w:r>
    </w:p>
    <w:p w14:paraId="17F01BA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约束特征</w:t>
      </w:r>
      <w:r>
        <w:rPr>
          <w:rFonts w:ascii="Arial" w:hAnsi="Arial" w:eastAsia="等线" w:cs="Arial"/>
          <w:sz w:val="22"/>
        </w:rPr>
        <w:t>：标记发色团核心区域（65‑67 位）禁止突变，避免颜色改变。</w:t>
      </w:r>
    </w:p>
    <w:p w14:paraId="2237C75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步骤 3：搭建多目标机器学习预测模型</w:t>
      </w:r>
      <w:bookmarkEnd w:id="8"/>
    </w:p>
    <w:p w14:paraId="2497E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目标：同时优化</w:t>
      </w:r>
      <w:r>
        <w:rPr>
          <w:rFonts w:ascii="Arial" w:hAnsi="Arial" w:eastAsia="等线" w:cs="Arial"/>
          <w:b/>
          <w:sz w:val="22"/>
        </w:rPr>
        <w:t>荧光亮度（最大化）+ 热稳定性（最大化）</w:t>
      </w:r>
      <w:r>
        <w:rPr>
          <w:rFonts w:ascii="Arial" w:hAnsi="Arial" w:eastAsia="等线" w:cs="Arial"/>
          <w:sz w:val="22"/>
        </w:rPr>
        <w:t>，属于</w:t>
      </w:r>
      <w:r>
        <w:rPr>
          <w:rFonts w:ascii="Arial" w:hAnsi="Arial" w:eastAsia="等线" w:cs="Arial"/>
          <w:b/>
          <w:sz w:val="22"/>
          <w:highlight w:val="yellow"/>
        </w:rPr>
        <w:t>多目标回归任务</w:t>
      </w:r>
    </w:p>
    <w:p w14:paraId="78D8B80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基础模型：随机森林、XGBoost、轻量级神经网络，建立 “氨基酸突变→亮度 /</w:t>
      </w:r>
      <m:oMath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</m:oMath>
      <w:r>
        <w:rPr>
          <w:rFonts w:ascii="Arial" w:hAnsi="Arial" w:eastAsia="等线" w:cs="Arial"/>
          <w:sz w:val="22"/>
        </w:rPr>
        <w:t>” 映射；</w:t>
      </w:r>
    </w:p>
    <w:p w14:paraId="07B3378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深度模型：</w:t>
      </w:r>
    </w:p>
    <w:p w14:paraId="2EE995FB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蛋白大模型 ESM‑2 微调，直接从序列预测双指标；</w:t>
      </w:r>
    </w:p>
    <w:p w14:paraId="2D84D4CB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结合 AlphaFold2 结构 + 分子动力学模拟（MD），AI 加速模拟高温下蛋白构象稳定性；</w:t>
      </w:r>
    </w:p>
    <w:p w14:paraId="72F346E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约束条件：模型强制</w:t>
      </w:r>
      <w:r>
        <w:rPr>
          <w:rFonts w:ascii="Arial" w:hAnsi="Arial" w:eastAsia="等线" w:cs="Arial"/>
          <w:b/>
          <w:sz w:val="22"/>
        </w:rPr>
        <w:t>不改变 65‑67 位发色团三肽</w:t>
      </w:r>
      <w:r>
        <w:rPr>
          <w:rFonts w:ascii="Arial" w:hAnsi="Arial" w:eastAsia="等线" w:cs="Arial"/>
          <w:sz w:val="22"/>
        </w:rPr>
        <w:t>，仅允许周边残基突变。</w:t>
      </w:r>
    </w:p>
    <w:p w14:paraId="0449491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步骤 4：突变位点智能生成与虚拟筛选</w:t>
      </w:r>
      <w:bookmarkEnd w:id="9"/>
    </w:p>
    <w:p w14:paraId="335C8C0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优先锁定关键热点区域：64、65、203、222、112、167 等已知功能位点；</w:t>
      </w:r>
    </w:p>
    <w:p w14:paraId="38D433C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批量生成单点、双点、多点突变序列；</w:t>
      </w:r>
    </w:p>
    <w:p w14:paraId="1E565FF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模型预测每条序列的</w:t>
      </w:r>
      <w:r>
        <w:rPr>
          <w:rFonts w:ascii="Arial" w:hAnsi="Arial" w:eastAsia="等线" w:cs="Arial"/>
          <w:b/>
          <w:sz w:val="22"/>
        </w:rPr>
        <w:t>荧光亮度得分、热稳定性得分</w:t>
      </w:r>
      <w:r>
        <w:rPr>
          <w:rFonts w:ascii="Arial" w:hAnsi="Arial" w:eastAsia="等线" w:cs="Arial"/>
          <w:sz w:val="22"/>
        </w:rPr>
        <w:t>，筛选 Top 候选序列；</w:t>
      </w:r>
    </w:p>
    <w:p w14:paraId="50097F2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剔除会破坏 β‑桶结构、发色团环境的有害突变。</w:t>
      </w:r>
    </w:p>
    <w:p w14:paraId="058CBA92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步骤 5：AI‑干湿实验闭环验证</w:t>
      </w:r>
      <w:bookmarkEnd w:id="10"/>
    </w:p>
    <w:p w14:paraId="1F64C04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 AI 筛选的 Top20–50 序列，构建质粒、体外表达；</w:t>
      </w:r>
    </w:p>
    <w:p w14:paraId="3182FB2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实验测定：荧光光谱、量子产率、</w:t>
      </w:r>
      <m:oMath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</m:oMath>
      <w:r>
        <w:rPr>
          <w:rFonts w:ascii="Arial" w:hAnsi="Arial" w:eastAsia="等线" w:cs="Arial"/>
          <w:sz w:val="22"/>
        </w:rPr>
        <w:t>、成熟效率；</w:t>
      </w:r>
    </w:p>
    <w:p w14:paraId="716C6F8C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实验数据回灌 AI 模型，</w:t>
      </w:r>
      <w:r>
        <w:rPr>
          <w:rFonts w:ascii="Arial" w:hAnsi="Arial" w:eastAsia="等线" w:cs="Arial"/>
          <w:b/>
          <w:sz w:val="22"/>
        </w:rPr>
        <w:t>迭代优化模型参数</w:t>
      </w:r>
      <w:r>
        <w:rPr>
          <w:rFonts w:ascii="Arial" w:hAnsi="Arial" w:eastAsia="等线" w:cs="Arial"/>
          <w:sz w:val="22"/>
        </w:rPr>
        <w:t>，提升下一轮预测准确率。</w:t>
      </w:r>
    </w:p>
    <w:p w14:paraId="52CBDDDE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四、关键 AI 工具与设计策略</w:t>
      </w:r>
      <w:bookmarkEnd w:id="11"/>
    </w:p>
    <w:p w14:paraId="37677BA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蛋白语言模型</w:t>
      </w:r>
      <w:r>
        <w:rPr>
          <w:rFonts w:ascii="Arial" w:hAnsi="Arial" w:eastAsia="等线" w:cs="Arial"/>
          <w:sz w:val="22"/>
        </w:rPr>
        <w:t>：ESM‑2 预测残基重要性，定位对亮度、热稳敏感的关键位点；</w:t>
      </w:r>
    </w:p>
    <w:p w14:paraId="0BBB4F3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结构预测</w:t>
      </w:r>
      <w:r>
        <w:rPr>
          <w:rFonts w:ascii="Arial" w:hAnsi="Arial" w:eastAsia="等线" w:cs="Arial"/>
          <w:sz w:val="22"/>
        </w:rPr>
        <w:t>：AlphaFold2 快速获得突变体三维结构，判断是否破坏 β‑桶；</w:t>
      </w:r>
    </w:p>
    <w:p w14:paraId="032CD24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+ 分子动力学</w:t>
      </w:r>
      <w:r>
        <w:rPr>
          <w:rFonts w:ascii="Arial" w:hAnsi="Arial" w:eastAsia="等线" w:cs="Arial"/>
          <w:sz w:val="22"/>
        </w:rPr>
        <w:t>：AI 筛选候选序列后，用 MD 模拟高温构象变化，淘汰易解折叠序列；</w:t>
      </w:r>
    </w:p>
    <w:p w14:paraId="49BE84D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理性突变组合</w:t>
      </w:r>
      <w:r>
        <w:rPr>
          <w:rFonts w:ascii="Arial" w:hAnsi="Arial" w:eastAsia="等线" w:cs="Arial"/>
          <w:sz w:val="22"/>
        </w:rPr>
        <w:t>：AI 优先推荐</w:t>
      </w:r>
      <w:r>
        <w:rPr>
          <w:rFonts w:ascii="Arial" w:hAnsi="Arial" w:eastAsia="等线" w:cs="Arial"/>
          <w:b/>
          <w:sz w:val="22"/>
        </w:rPr>
        <w:t>F64L+S65T</w:t>
      </w:r>
      <w:r>
        <w:rPr>
          <w:rFonts w:ascii="Arial" w:hAnsi="Arial" w:eastAsia="等线" w:cs="Arial"/>
          <w:sz w:val="22"/>
        </w:rPr>
        <w:t>基础上，叠加 G112P（Loop 刚性）、盐桥突变、表面亲水突变，实现亮度与热稳协同提升。</w:t>
      </w:r>
    </w:p>
    <w:p w14:paraId="3E5D1CBA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五、最终输出</w:t>
      </w:r>
      <w:bookmarkEnd w:id="12"/>
    </w:p>
    <w:p w14:paraId="363BC0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 AI 流程，可快速输出一批</w:t>
      </w:r>
      <w:r>
        <w:rPr>
          <w:rFonts w:ascii="Arial" w:hAnsi="Arial" w:eastAsia="等线" w:cs="Arial"/>
          <w:b/>
          <w:sz w:val="22"/>
        </w:rPr>
        <w:t>序列短表</w:t>
      </w:r>
      <w:r>
        <w:rPr>
          <w:rFonts w:ascii="Arial" w:hAnsi="Arial" w:eastAsia="等线" w:cs="Arial"/>
          <w:sz w:val="22"/>
        </w:rPr>
        <w:t>：sfGFP 突变位点 + 对应预测荧光亮度 + 预测热稳定性</w:t>
      </w:r>
      <m:oMath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</m:oMath>
      <w:r>
        <w:rPr>
          <w:rFonts w:ascii="Arial" w:hAnsi="Arial" w:eastAsia="等线" w:cs="Arial"/>
          <w:sz w:val="22"/>
        </w:rPr>
        <w:t>，大幅减少传统筛选工作量，精准获得双优突变体。</w:t>
      </w:r>
    </w:p>
    <w:p w14:paraId="280ED32B">
      <w:pPr>
        <w:spacing w:before="120" w:after="120" w:line="288" w:lineRule="auto"/>
        <w:ind w:left="0"/>
        <w:jc w:val="left"/>
      </w:pPr>
      <w:bookmarkStart w:id="13" w:name="_GoBack"/>
      <w:bookmarkEnd w:id="13"/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0BCD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EB5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7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1"/>
  </w:num>
  <w:num w:numId="9">
    <w:abstractNumId w:val="15"/>
  </w:num>
  <w:num w:numId="10">
    <w:abstractNumId w:val="2"/>
  </w:num>
  <w:num w:numId="11">
    <w:abstractNumId w:val="21"/>
  </w:num>
  <w:num w:numId="12">
    <w:abstractNumId w:val="28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29"/>
  </w:num>
  <w:num w:numId="22">
    <w:abstractNumId w:val="17"/>
  </w:num>
  <w:num w:numId="23">
    <w:abstractNumId w:val="23"/>
  </w:num>
  <w:num w:numId="24">
    <w:abstractNumId w:val="5"/>
  </w:num>
  <w:num w:numId="25">
    <w:abstractNumId w:val="33"/>
  </w:num>
  <w:num w:numId="26">
    <w:abstractNumId w:val="32"/>
  </w:num>
  <w:num w:numId="27">
    <w:abstractNumId w:val="7"/>
  </w:num>
  <w:num w:numId="28">
    <w:abstractNumId w:val="30"/>
  </w:num>
  <w:num w:numId="29">
    <w:abstractNumId w:val="3"/>
  </w:num>
  <w:num w:numId="30">
    <w:abstractNumId w:val="22"/>
  </w:num>
  <w:num w:numId="31">
    <w:abstractNumId w:val="1"/>
  </w:num>
  <w:num w:numId="32">
    <w:abstractNumId w:val="26"/>
  </w:num>
  <w:num w:numId="33">
    <w:abstractNumId w:val="34"/>
  </w:num>
  <w:num w:numId="34">
    <w:abstractNumId w:val="0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D401D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1505</Words>
  <Characters>1725</Characters>
  <TotalTime>11</TotalTime>
  <ScaleCrop>false</ScaleCrop>
  <LinksUpToDate>false</LinksUpToDate>
  <CharactersWithSpaces>1831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2026-05-16T09:05:00Z</dcterms:created>
  <dc:creator>Apache POI</dc:creator>
  <cp:lastModifiedBy>仰望天空</cp:lastModifiedBy>
  <dcterms:modified xsi:type="dcterms:W3CDTF">2026-05-22T11:38:12Z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eyJoZGlkIjoiYTczMTE5MmFkMzBjY2FhNzY5MWQwM2ZlZTM5OGNhNDgiLCJ1c2VySWQiOiI2MjkxNzEyNjIifQ==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A270CA96E5944E42940860A4F8E41D62_12</vt:lpwstr>
  </property>
</Properties>
</file>