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荧光蛋白颜色变异的突变路径解析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荧光蛋白发出不同颜色荧光的核心原因在于</w:t>
      </w:r>
      <w:r>
        <w:rPr>
          <w:rFonts w:eastAsia="等线" w:ascii="Arial" w:cs="Arial" w:hAnsi="Arial"/>
          <w:b w:val="true"/>
          <w:sz w:val="22"/>
        </w:rPr>
        <w:t>发色团的共价结构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电子共轭体系长度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质子化状态</w:t>
      </w:r>
      <w:r>
        <w:rPr>
          <w:rFonts w:eastAsia="等线" w:ascii="Arial" w:cs="Arial" w:hAnsi="Arial"/>
          <w:sz w:val="22"/>
        </w:rPr>
        <w:t>及</w:t>
      </w:r>
      <w:r>
        <w:rPr>
          <w:rFonts w:eastAsia="等线" w:ascii="Arial" w:cs="Arial" w:hAnsi="Arial"/>
          <w:b w:val="true"/>
          <w:sz w:val="22"/>
        </w:rPr>
        <w:t>周围微环境</w:t>
      </w:r>
      <w:r>
        <w:rPr>
          <w:rFonts w:eastAsia="等线" w:ascii="Arial" w:cs="Arial" w:hAnsi="Arial"/>
          <w:sz w:val="22"/>
        </w:rPr>
        <w:t>的差异，这些因素共同决定了其激发与发射光谱的波长位置。其物理化学结构以</w:t>
      </w:r>
      <w:r>
        <w:rPr>
          <w:rFonts w:eastAsia="等线" w:ascii="Arial" w:cs="Arial" w:hAnsi="Arial"/>
          <w:b w:val="true"/>
          <w:sz w:val="22"/>
        </w:rPr>
        <w:t>β- 桶状折叠</w:t>
      </w:r>
      <w:r>
        <w:rPr>
          <w:rFonts w:eastAsia="等线" w:ascii="Arial" w:cs="Arial" w:hAnsi="Arial"/>
          <w:sz w:val="22"/>
        </w:rPr>
        <w:t>为特征，内部包含由三肽自催化形成的</w:t>
      </w:r>
      <w:r>
        <w:rPr>
          <w:rFonts w:eastAsia="等线" w:ascii="Arial" w:cs="Arial" w:hAnsi="Arial"/>
          <w:b w:val="true"/>
          <w:sz w:val="22"/>
        </w:rPr>
        <w:t>共轭发色团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一、荧光蛋白的基本物理化学结构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1. 整体三维结构：β- 桶状保护壳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核心骨架</w:t>
      </w:r>
      <w:r>
        <w:rPr>
          <w:rFonts w:eastAsia="等线" w:ascii="Arial" w:cs="Arial" w:hAnsi="Arial"/>
          <w:sz w:val="22"/>
        </w:rPr>
        <w:t>：由</w:t>
      </w:r>
      <w:r>
        <w:rPr>
          <w:rFonts w:eastAsia="等线" w:ascii="Arial" w:cs="Arial" w:hAnsi="Arial"/>
          <w:b w:val="true"/>
          <w:sz w:val="22"/>
        </w:rPr>
        <w:t>11 条 β 折叠链</w:t>
      </w:r>
      <w:r>
        <w:rPr>
          <w:rFonts w:eastAsia="等线" w:ascii="Arial" w:cs="Arial" w:hAnsi="Arial"/>
          <w:sz w:val="22"/>
        </w:rPr>
        <w:t>构成的紧凑桶状结构（直径约 3nm，高度约 4nm），形成一个 “分子胶囊”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中心轴</w:t>
      </w:r>
      <w:r>
        <w:rPr>
          <w:rFonts w:eastAsia="等线" w:ascii="Arial" w:cs="Arial" w:hAnsi="Arial"/>
          <w:sz w:val="22"/>
        </w:rPr>
        <w:t>：桶内包含一条</w:t>
      </w:r>
      <w:r>
        <w:rPr>
          <w:rFonts w:eastAsia="等线" w:ascii="Arial" w:cs="Arial" w:hAnsi="Arial"/>
          <w:b w:val="true"/>
          <w:sz w:val="22"/>
        </w:rPr>
        <w:t>α 螺旋</w:t>
      </w:r>
      <w:r>
        <w:rPr>
          <w:rFonts w:eastAsia="等线" w:ascii="Arial" w:cs="Arial" w:hAnsi="Arial"/>
          <w:sz w:val="22"/>
        </w:rPr>
        <w:t>，发色团就位于这条螺旋上的第 65-67 位氨基酸之间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保护机制</w:t>
      </w:r>
      <w:r>
        <w:rPr>
          <w:rFonts w:eastAsia="等线" w:ascii="Arial" w:cs="Arial" w:hAnsi="Arial"/>
          <w:sz w:val="22"/>
        </w:rPr>
        <w:t>：β 桶结构隔绝了溶剂分子和淬灭剂，为发色团提供稳定的微环境，保障高效荧光发射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2. 发色团的形成与化学结构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前体</w:t>
      </w:r>
      <w:r>
        <w:rPr>
          <w:rFonts w:eastAsia="等线" w:ascii="Arial" w:cs="Arial" w:hAnsi="Arial"/>
          <w:sz w:val="22"/>
        </w:rPr>
        <w:t>：由蛋白质自身序列中的</w:t>
      </w:r>
      <w:r>
        <w:rPr>
          <w:rFonts w:eastAsia="等线" w:ascii="Arial" w:cs="Arial" w:hAnsi="Arial"/>
          <w:b w:val="true"/>
          <w:sz w:val="22"/>
        </w:rPr>
        <w:t>三肽基序</w:t>
      </w:r>
      <w:r>
        <w:rPr>
          <w:rFonts w:eastAsia="等线" w:ascii="Arial" w:cs="Arial" w:hAnsi="Arial"/>
          <w:sz w:val="22"/>
        </w:rPr>
        <w:t>（通常为 X-Tyr-Gly，X 在野生型 GFP 中为 Ser）通过</w:t>
      </w:r>
      <w:r>
        <w:rPr>
          <w:rFonts w:eastAsia="等线" w:ascii="Arial" w:cs="Arial" w:hAnsi="Arial"/>
          <w:b w:val="true"/>
          <w:sz w:val="22"/>
        </w:rPr>
        <w:t>自催化的后翻译修饰</w:t>
      </w:r>
      <w:r>
        <w:rPr>
          <w:rFonts w:eastAsia="等线" w:ascii="Arial" w:cs="Arial" w:hAnsi="Arial"/>
          <w:sz w:val="22"/>
        </w:rPr>
        <w:t>形成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成熟过程</w:t>
      </w:r>
      <w:r>
        <w:rPr>
          <w:rFonts w:eastAsia="等线" w:ascii="Arial" w:cs="Arial" w:hAnsi="Arial"/>
          <w:sz w:val="22"/>
        </w:rPr>
        <w:t>（三步关键反应）：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环化</w:t>
      </w:r>
      <w:r>
        <w:rPr>
          <w:rFonts w:eastAsia="等线" w:ascii="Arial" w:cs="Arial" w:hAnsi="Arial"/>
          <w:sz w:val="22"/>
        </w:rPr>
        <w:t>：第 67 位 Gly 的酰胺氮亲核进攻第 65 位氨基酸的羰基碳，形成五元咪唑啉酮环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脱水</w:t>
      </w:r>
      <w:r>
        <w:rPr>
          <w:rFonts w:eastAsia="等线" w:ascii="Arial" w:cs="Arial" w:hAnsi="Arial"/>
          <w:sz w:val="22"/>
        </w:rPr>
        <w:t>：第 65 位 Cα 与 Cβ 之间脱水，形成双键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氧化</w:t>
      </w:r>
      <w:r>
        <w:rPr>
          <w:rFonts w:eastAsia="等线" w:ascii="Arial" w:cs="Arial" w:hAnsi="Arial"/>
          <w:sz w:val="22"/>
        </w:rPr>
        <w:t>：分子氧参与，形成第 66 位 Tyr 的 Cα-Cβ 双键，完成共轭体系构建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野生型 GFP 发色团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4-(p - 羟基苯亚甲基) 咪唑啉 - 5 - 酮</w:t>
      </w:r>
      <w:r>
        <w:rPr>
          <w:rFonts w:eastAsia="等线" w:ascii="Arial" w:cs="Arial" w:hAnsi="Arial"/>
          <w:sz w:val="22"/>
        </w:rPr>
        <w:t>（p-hydroxybenzylideneimidazolin-5-one），具有</w:t>
      </w:r>
      <w:r>
        <w:rPr>
          <w:rFonts w:eastAsia="等线" w:ascii="Arial" w:cs="Arial" w:hAnsi="Arial"/>
          <w:b w:val="true"/>
          <w:sz w:val="22"/>
        </w:rPr>
        <w:t>双环共轭结构</w:t>
      </w:r>
      <w:r>
        <w:rPr>
          <w:rFonts w:eastAsia="等线" w:ascii="Arial" w:cs="Arial" w:hAnsi="Arial"/>
          <w:sz w:val="22"/>
        </w:rPr>
        <w:t>，π 电子离域体系决定了基础绿色荧光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二、荧光颜色多样性的核心决定因素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 发色团共轭体系长度（最关键因素）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共轭体系越长，发射波长越红移</w:t>
      </w:r>
      <w:r>
        <w:rPr>
          <w:rFonts w:eastAsia="等线" w:ascii="Arial" w:cs="Arial" w:hAnsi="Arial"/>
          <w:sz w:val="22"/>
        </w:rPr>
        <w:t>（能量越低）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1950"/>
        <w:gridCol w:w="1950"/>
        <w:gridCol w:w="195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荧光颜色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共轭体系特征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典型发色团结构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发射波长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蓝色 (BFP)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双环，无扩展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咪唑啉酮 + 咪唑环（Y66H 突变）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448-450nm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青色 (CFP)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双环，微扩展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咪唑啉酮 + 苯环（T65S 等突变）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475-485nm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 (GFP)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咪唑啉酮 + 对羟基苯环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509-510nm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黄色 (YFP)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双环 +π-π 堆积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咪唑啉酮 + 对羟基苯环（T203Y 突变）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527-530nm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橙色 / 红色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三环扩展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咪唑啉酮 + 苯环 + 额外环（如 DsRed、Kaede）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550-650nm+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红色荧光蛋白</w:t>
      </w:r>
      <w:r>
        <w:rPr>
          <w:rFonts w:eastAsia="等线" w:ascii="Arial" w:cs="Arial" w:hAnsi="Arial"/>
          <w:sz w:val="22"/>
        </w:rPr>
        <w:t>：通常具有</w:t>
      </w:r>
      <w:r>
        <w:rPr>
          <w:rFonts w:eastAsia="等线" w:ascii="Arial" w:cs="Arial" w:hAnsi="Arial"/>
          <w:b w:val="true"/>
          <w:sz w:val="22"/>
        </w:rPr>
        <w:t>三环共轭结构</w:t>
      </w:r>
      <w:r>
        <w:rPr>
          <w:rFonts w:eastAsia="等线" w:ascii="Arial" w:cs="Arial" w:hAnsi="Arial"/>
          <w:sz w:val="22"/>
        </w:rPr>
        <w:t>，通过额外环化或肽键断裂实现，如 Kaede 经光转化后形成三环绕苯并咪唑啉酮结构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 发色团质子化状态（影响光谱位移）</w:t>
      </w:r>
      <w:bookmarkEnd w:id="5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两种关键状态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质子化态</w:t>
      </w:r>
      <w:r>
        <w:rPr>
          <w:rFonts w:eastAsia="等线" w:ascii="Arial" w:cs="Arial" w:hAnsi="Arial"/>
          <w:sz w:val="22"/>
        </w:rPr>
        <w:t>：吸收峰约 395nm，荧光较弱，发射约 470nm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去质子化态</w:t>
      </w:r>
      <w:r>
        <w:rPr>
          <w:rFonts w:eastAsia="等线" w:ascii="Arial" w:cs="Arial" w:hAnsi="Arial"/>
          <w:sz w:val="22"/>
        </w:rPr>
        <w:t>：吸收峰约 475-480nm，荧光较强，发射约 509nm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GFP 的双激发峰</w:t>
      </w:r>
      <w:r>
        <w:rPr>
          <w:rFonts w:eastAsia="等线" w:ascii="Arial" w:cs="Arial" w:hAnsi="Arial"/>
          <w:sz w:val="22"/>
        </w:rPr>
        <w:t>：正是这两种状态共存的结果，pH 值和周围氢键网络影响两种状态的比例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 周围微环境调控（精细调谐）</w:t>
      </w:r>
      <w:bookmarkEnd w:id="6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氢键网络</w:t>
      </w:r>
      <w:r>
        <w:rPr>
          <w:rFonts w:eastAsia="等线" w:ascii="Arial" w:cs="Arial" w:hAnsi="Arial"/>
          <w:sz w:val="22"/>
        </w:rPr>
        <w:t>：周围氨基酸（如 Ser205、Glu222）与发色团形成氢键，影响电子分布和质子转移效率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静电相互作用</w:t>
      </w:r>
      <w:r>
        <w:rPr>
          <w:rFonts w:eastAsia="等线" w:ascii="Arial" w:cs="Arial" w:hAnsi="Arial"/>
          <w:sz w:val="22"/>
        </w:rPr>
        <w:t>：带电残基（如 Arg96）改变局部电场，影响激发态能量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空间位阻</w:t>
      </w:r>
      <w:r>
        <w:rPr>
          <w:rFonts w:eastAsia="等线" w:ascii="Arial" w:cs="Arial" w:hAnsi="Arial"/>
          <w:sz w:val="22"/>
        </w:rPr>
        <w:t>：氨基酸侧链限制发色团扭转，影响量子产率和光谱特性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π-π 堆积</w:t>
      </w:r>
      <w:r>
        <w:rPr>
          <w:rFonts w:eastAsia="等线" w:ascii="Arial" w:cs="Arial" w:hAnsi="Arial"/>
          <w:sz w:val="22"/>
        </w:rPr>
        <w:t>：如 YFP 中 T203Y 突变引入的酪氨酸与发色团形成 π-π 堆积，导致红移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4. 关键氨基酸突变（人工调控颜色）</w:t>
      </w:r>
      <w:bookmarkEnd w:id="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蓝移突变</w:t>
      </w:r>
      <w:r>
        <w:rPr>
          <w:rFonts w:eastAsia="等线" w:ascii="Arial" w:cs="Arial" w:hAnsi="Arial"/>
          <w:sz w:val="22"/>
        </w:rPr>
        <w:t>：Y66H（BFP），将酪氨酸替换为组氨酸，破坏酚羟基给电子能力，缩短共轭体系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黄移突变</w:t>
      </w:r>
      <w:r>
        <w:rPr>
          <w:rFonts w:eastAsia="等线" w:ascii="Arial" w:cs="Arial" w:hAnsi="Arial"/>
          <w:sz w:val="22"/>
        </w:rPr>
        <w:t>：T203Y（YFP），引入额外芳香环，增强 π-π 相互作用，延长有效共轭长度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红移突变</w:t>
      </w:r>
      <w:r>
        <w:rPr>
          <w:rFonts w:eastAsia="等线" w:ascii="Arial" w:cs="Arial" w:hAnsi="Arial"/>
          <w:sz w:val="22"/>
        </w:rPr>
        <w:t>：多位点突变（如 DsRed），导致发色团扩展为三环结构，大幅红移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亮度增强</w:t>
      </w:r>
      <w:r>
        <w:rPr>
          <w:rFonts w:eastAsia="等线" w:ascii="Arial" w:cs="Arial" w:hAnsi="Arial"/>
          <w:sz w:val="22"/>
        </w:rPr>
        <w:t>：F64L（EGFP），提高 37°C 折叠效率，增强荧光强度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三、典型荧光蛋白颜色变体的结构差异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关键突变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发色团结构变化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光谱特性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EBFP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Y66H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酚羟基→咪唑基，共轭减弱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激发 384nm，发射 448nm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ECFP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Y66W, N146I, M153T, V163A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酪氨酸→色氨酸，微扩展共轭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激发 433nm，发射 475nm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EGFP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S65T, F64L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羟基位置变化，增强去质子化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激发 488nm，发射 509nm，亮度提升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EYFP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T203Y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引入额外酪氨酸，π-π 堆积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激发 514nm，发射 527nm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mCherry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多突变（如 A69T, V70A）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三环共轭结构，扩展 π 系统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激发 587nm，发射 610nm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四、荧光发射的物理机制</w:t>
      </w:r>
      <w:bookmarkEnd w:id="9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激发</w:t>
      </w:r>
      <w:r>
        <w:rPr>
          <w:rFonts w:eastAsia="等线" w:ascii="Arial" w:cs="Arial" w:hAnsi="Arial"/>
          <w:sz w:val="22"/>
        </w:rPr>
        <w:t>：特定波长光子被发色团吸收，电子从基态（S₀）跃迁到激发态（S₁）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振动弛豫</w:t>
      </w:r>
      <w:r>
        <w:rPr>
          <w:rFonts w:eastAsia="等线" w:ascii="Arial" w:cs="Arial" w:hAnsi="Arial"/>
          <w:sz w:val="22"/>
        </w:rPr>
        <w:t>：激发态电子快速通过非辐射跃迁损失部分能量，降至 S₁最低振动能级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荧光发射</w:t>
      </w:r>
      <w:r>
        <w:rPr>
          <w:rFonts w:eastAsia="等线" w:ascii="Arial" w:cs="Arial" w:hAnsi="Arial"/>
          <w:sz w:val="22"/>
        </w:rPr>
        <w:t>：电子从 S₁返回 S₀，释放光子（能量低于激发光，波长更长）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量子产率</w:t>
      </w:r>
      <w:r>
        <w:rPr>
          <w:rFonts w:eastAsia="等线" w:ascii="Arial" w:cs="Arial" w:hAnsi="Arial"/>
          <w:sz w:val="22"/>
        </w:rPr>
        <w:t>：发射光子数与吸收光子数的比值，受发色团结构和微环境影响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总结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荧光蛋白的颜色多样性源于</w:t>
      </w:r>
      <w:r>
        <w:rPr>
          <w:rFonts w:eastAsia="等线" w:ascii="Arial" w:cs="Arial" w:hAnsi="Arial"/>
          <w:b w:val="true"/>
          <w:sz w:val="22"/>
        </w:rPr>
        <w:t>分子结构的多层次调控</w:t>
      </w:r>
      <w:r>
        <w:rPr>
          <w:rFonts w:eastAsia="等线" w:ascii="Arial" w:cs="Arial" w:hAnsi="Arial"/>
          <w:sz w:val="22"/>
        </w:rPr>
        <w:t>：从整体 β 桶提供的保护环境，到核心发色团的</w:t>
      </w:r>
      <w:r>
        <w:rPr>
          <w:rFonts w:eastAsia="等线" w:ascii="Arial" w:cs="Arial" w:hAnsi="Arial"/>
          <w:b w:val="true"/>
          <w:sz w:val="22"/>
        </w:rPr>
        <w:t>共轭体系长度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质子化状态</w:t>
      </w:r>
      <w:r>
        <w:rPr>
          <w:rFonts w:eastAsia="等线" w:ascii="Arial" w:cs="Arial" w:hAnsi="Arial"/>
          <w:sz w:val="22"/>
        </w:rPr>
        <w:t>，再到周围氨基酸的</w:t>
      </w:r>
      <w:r>
        <w:rPr>
          <w:rFonts w:eastAsia="等线" w:ascii="Arial" w:cs="Arial" w:hAnsi="Arial"/>
          <w:b w:val="true"/>
          <w:sz w:val="22"/>
        </w:rPr>
        <w:t>氢键、静电和空间相互作用</w:t>
      </w:r>
      <w:r>
        <w:rPr>
          <w:rFonts w:eastAsia="等线" w:ascii="Arial" w:cs="Arial" w:hAnsi="Arial"/>
          <w:sz w:val="22"/>
        </w:rPr>
        <w:t>，以及人工引入的</w:t>
      </w:r>
      <w:r>
        <w:rPr>
          <w:rFonts w:eastAsia="等线" w:ascii="Arial" w:cs="Arial" w:hAnsi="Arial"/>
          <w:b w:val="true"/>
          <w:sz w:val="22"/>
        </w:rPr>
        <w:t>关键突变</w:t>
      </w:r>
      <w:r>
        <w:rPr>
          <w:rFonts w:eastAsia="等线" w:ascii="Arial" w:cs="Arial" w:hAnsi="Arial"/>
          <w:sz w:val="22"/>
        </w:rPr>
        <w:t>。这些因素共同决定了发色团的电子跃迁能级，从而产生从紫外到近红外的广谱荧光颜色，为生物成像提供了强大的工具库。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需要我用一个具体的例子（如 GFP→YFP→mCherry 的突变路径），一步步拆解每个突变如何改变发色团结构与微环境，最终导致光谱红移的完整过程吗？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972937">
    <w:lvl>
      <w:numFmt w:val="bullet"/>
      <w:suff w:val="tab"/>
      <w:lvlText w:val="•"/>
      <w:rPr>
        <w:color w:val="3370ff"/>
      </w:rPr>
    </w:lvl>
  </w:abstractNum>
  <w:abstractNum w:abstractNumId="5972938">
    <w:lvl>
      <w:numFmt w:val="bullet"/>
      <w:suff w:val="tab"/>
      <w:lvlText w:val="•"/>
      <w:rPr>
        <w:color w:val="3370ff"/>
      </w:rPr>
    </w:lvl>
  </w:abstractNum>
  <w:abstractNum w:abstractNumId="5972939">
    <w:lvl>
      <w:numFmt w:val="bullet"/>
      <w:suff w:val="tab"/>
      <w:lvlText w:val="•"/>
      <w:rPr>
        <w:color w:val="3370ff"/>
      </w:rPr>
    </w:lvl>
  </w:abstractNum>
  <w:abstractNum w:abstractNumId="5972940">
    <w:lvl>
      <w:numFmt w:val="bullet"/>
      <w:suff w:val="tab"/>
      <w:lvlText w:val="•"/>
      <w:rPr>
        <w:color w:val="3370ff"/>
      </w:rPr>
    </w:lvl>
  </w:abstractNum>
  <w:abstractNum w:abstractNumId="5972941">
    <w:lvl>
      <w:numFmt w:val="bullet"/>
      <w:suff w:val="tab"/>
      <w:lvlText w:val="•"/>
      <w:rPr>
        <w:color w:val="3370ff"/>
      </w:rPr>
    </w:lvl>
  </w:abstractNum>
  <w:abstractNum w:abstractNumId="5972942">
    <w:lvl>
      <w:start w:val="1"/>
      <w:numFmt w:val="lowerLetter"/>
      <w:suff w:val="tab"/>
      <w:lvlText w:val="%1."/>
      <w:rPr>
        <w:color w:val="3370ff"/>
      </w:rPr>
    </w:lvl>
  </w:abstractNum>
  <w:abstractNum w:abstractNumId="5972943">
    <w:lvl>
      <w:start w:val="2"/>
      <w:numFmt w:val="lowerLetter"/>
      <w:suff w:val="tab"/>
      <w:lvlText w:val="%1."/>
      <w:rPr>
        <w:color w:val="3370ff"/>
      </w:rPr>
    </w:lvl>
  </w:abstractNum>
  <w:abstractNum w:abstractNumId="5972944">
    <w:lvl>
      <w:start w:val="3"/>
      <w:numFmt w:val="lowerLetter"/>
      <w:suff w:val="tab"/>
      <w:lvlText w:val="%1."/>
      <w:rPr>
        <w:color w:val="3370ff"/>
      </w:rPr>
    </w:lvl>
  </w:abstractNum>
  <w:abstractNum w:abstractNumId="5972945">
    <w:lvl>
      <w:numFmt w:val="bullet"/>
      <w:suff w:val="tab"/>
      <w:lvlText w:val="•"/>
      <w:rPr>
        <w:color w:val="3370ff"/>
      </w:rPr>
    </w:lvl>
  </w:abstractNum>
  <w:abstractNum w:abstractNumId="5972946">
    <w:lvl>
      <w:numFmt w:val="bullet"/>
      <w:suff w:val="tab"/>
      <w:lvlText w:val="•"/>
      <w:rPr>
        <w:color w:val="3370ff"/>
      </w:rPr>
    </w:lvl>
  </w:abstractNum>
  <w:abstractNum w:abstractNumId="5972947">
    <w:lvl>
      <w:numFmt w:val="bullet"/>
      <w:suff w:val="tab"/>
      <w:lvlText w:val="•"/>
      <w:rPr>
        <w:color w:val="3370ff"/>
      </w:rPr>
    </w:lvl>
  </w:abstractNum>
  <w:abstractNum w:abstractNumId="5972948">
    <w:lvl>
      <w:numFmt w:val="bullet"/>
      <w:suff w:val="tab"/>
      <w:lvlText w:val="•"/>
      <w:rPr>
        <w:color w:val="3370ff"/>
      </w:rPr>
    </w:lvl>
  </w:abstractNum>
  <w:abstractNum w:abstractNumId="5972949">
    <w:lvl>
      <w:numFmt w:val="bullet"/>
      <w:suff w:val="tab"/>
      <w:lvlText w:val="￮"/>
      <w:rPr>
        <w:color w:val="3370ff"/>
      </w:rPr>
    </w:lvl>
  </w:abstractNum>
  <w:abstractNum w:abstractNumId="5972950">
    <w:lvl>
      <w:numFmt w:val="bullet"/>
      <w:suff w:val="tab"/>
      <w:lvlText w:val="￮"/>
      <w:rPr>
        <w:color w:val="3370ff"/>
      </w:rPr>
    </w:lvl>
  </w:abstractNum>
  <w:abstractNum w:abstractNumId="5972951">
    <w:lvl>
      <w:numFmt w:val="bullet"/>
      <w:suff w:val="tab"/>
      <w:lvlText w:val="•"/>
      <w:rPr>
        <w:color w:val="3370ff"/>
      </w:rPr>
    </w:lvl>
  </w:abstractNum>
  <w:abstractNum w:abstractNumId="5972952">
    <w:lvl>
      <w:numFmt w:val="bullet"/>
      <w:suff w:val="tab"/>
      <w:lvlText w:val="•"/>
      <w:rPr>
        <w:color w:val="3370ff"/>
      </w:rPr>
    </w:lvl>
  </w:abstractNum>
  <w:abstractNum w:abstractNumId="5972953">
    <w:lvl>
      <w:numFmt w:val="bullet"/>
      <w:suff w:val="tab"/>
      <w:lvlText w:val="•"/>
      <w:rPr>
        <w:color w:val="3370ff"/>
      </w:rPr>
    </w:lvl>
  </w:abstractNum>
  <w:abstractNum w:abstractNumId="5972954">
    <w:lvl>
      <w:numFmt w:val="bullet"/>
      <w:suff w:val="tab"/>
      <w:lvlText w:val="•"/>
      <w:rPr>
        <w:color w:val="3370ff"/>
      </w:rPr>
    </w:lvl>
  </w:abstractNum>
  <w:abstractNum w:abstractNumId="5972955">
    <w:lvl>
      <w:numFmt w:val="bullet"/>
      <w:suff w:val="tab"/>
      <w:lvlText w:val="•"/>
      <w:rPr>
        <w:color w:val="3370ff"/>
      </w:rPr>
    </w:lvl>
  </w:abstractNum>
  <w:abstractNum w:abstractNumId="5972956">
    <w:lvl>
      <w:numFmt w:val="bullet"/>
      <w:suff w:val="tab"/>
      <w:lvlText w:val="•"/>
      <w:rPr>
        <w:color w:val="3370ff"/>
      </w:rPr>
    </w:lvl>
  </w:abstractNum>
  <w:abstractNum w:abstractNumId="5972957">
    <w:lvl>
      <w:numFmt w:val="bullet"/>
      <w:suff w:val="tab"/>
      <w:lvlText w:val="•"/>
      <w:rPr>
        <w:color w:val="3370ff"/>
      </w:rPr>
    </w:lvl>
  </w:abstractNum>
  <w:abstractNum w:abstractNumId="5972958">
    <w:lvl>
      <w:numFmt w:val="bullet"/>
      <w:suff w:val="tab"/>
      <w:lvlText w:val="•"/>
      <w:rPr>
        <w:color w:val="3370ff"/>
      </w:rPr>
    </w:lvl>
  </w:abstractNum>
  <w:abstractNum w:abstractNumId="5972959">
    <w:lvl>
      <w:numFmt w:val="bullet"/>
      <w:suff w:val="tab"/>
      <w:lvlText w:val="•"/>
      <w:rPr>
        <w:color w:val="3370ff"/>
      </w:rPr>
    </w:lvl>
  </w:abstractNum>
  <w:abstractNum w:abstractNumId="5972960">
    <w:lvl>
      <w:start w:val="1"/>
      <w:numFmt w:val="decimal"/>
      <w:suff w:val="tab"/>
      <w:lvlText w:val="%1."/>
      <w:rPr>
        <w:color w:val="3370ff"/>
      </w:rPr>
    </w:lvl>
  </w:abstractNum>
  <w:abstractNum w:abstractNumId="5972961">
    <w:lvl>
      <w:start w:val="2"/>
      <w:numFmt w:val="decimal"/>
      <w:suff w:val="tab"/>
      <w:lvlText w:val="%1."/>
      <w:rPr>
        <w:color w:val="3370ff"/>
      </w:rPr>
    </w:lvl>
  </w:abstractNum>
  <w:abstractNum w:abstractNumId="5972962">
    <w:lvl>
      <w:start w:val="3"/>
      <w:numFmt w:val="decimal"/>
      <w:suff w:val="tab"/>
      <w:lvlText w:val="%1."/>
      <w:rPr>
        <w:color w:val="3370ff"/>
      </w:rPr>
    </w:lvl>
  </w:abstractNum>
  <w:abstractNum w:abstractNumId="5972963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5972937"/>
  </w:num>
  <w:num w:numId="2">
    <w:abstractNumId w:val="5972938"/>
  </w:num>
  <w:num w:numId="3">
    <w:abstractNumId w:val="5972939"/>
  </w:num>
  <w:num w:numId="4">
    <w:abstractNumId w:val="5972940"/>
  </w:num>
  <w:num w:numId="5">
    <w:abstractNumId w:val="5972941"/>
  </w:num>
  <w:num w:numId="6">
    <w:abstractNumId w:val="5972942"/>
  </w:num>
  <w:num w:numId="7">
    <w:abstractNumId w:val="5972943"/>
  </w:num>
  <w:num w:numId="8">
    <w:abstractNumId w:val="5972944"/>
  </w:num>
  <w:num w:numId="9">
    <w:abstractNumId w:val="5972945"/>
  </w:num>
  <w:num w:numId="10">
    <w:abstractNumId w:val="5972946"/>
  </w:num>
  <w:num w:numId="11">
    <w:abstractNumId w:val="5972947"/>
  </w:num>
  <w:num w:numId="12">
    <w:abstractNumId w:val="5972948"/>
  </w:num>
  <w:num w:numId="13">
    <w:abstractNumId w:val="5972949"/>
  </w:num>
  <w:num w:numId="14">
    <w:abstractNumId w:val="5972950"/>
  </w:num>
  <w:num w:numId="15">
    <w:abstractNumId w:val="5972951"/>
  </w:num>
  <w:num w:numId="16">
    <w:abstractNumId w:val="5972952"/>
  </w:num>
  <w:num w:numId="17">
    <w:abstractNumId w:val="5972953"/>
  </w:num>
  <w:num w:numId="18">
    <w:abstractNumId w:val="5972954"/>
  </w:num>
  <w:num w:numId="19">
    <w:abstractNumId w:val="5972955"/>
  </w:num>
  <w:num w:numId="20">
    <w:abstractNumId w:val="5972956"/>
  </w:num>
  <w:num w:numId="21">
    <w:abstractNumId w:val="5972957"/>
  </w:num>
  <w:num w:numId="22">
    <w:abstractNumId w:val="5972958"/>
  </w:num>
  <w:num w:numId="23">
    <w:abstractNumId w:val="5972959"/>
  </w:num>
  <w:num w:numId="24">
    <w:abstractNumId w:val="5972960"/>
  </w:num>
  <w:num w:numId="25">
    <w:abstractNumId w:val="5972961"/>
  </w:num>
  <w:num w:numId="26">
    <w:abstractNumId w:val="5972962"/>
  </w:num>
  <w:num w:numId="27">
    <w:abstractNumId w:val="59729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2026-05-16T09:03:57Z</dcterms:created>
  <dc:creator>Apache POI</dc:creator>
</cp:coreProperties>
</file>