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ThermoMPNN 与 GROMACS 72℃热冲击模拟完整教程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第一部分：ThermoMPNN 批量热稳定性预测 完整操作教程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（专门适配 sfGFP 五元网络突变筛选，结果直接对应 72℃热冲击残余荧光稳定性）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一、方案选择（二选一，推荐零代码版）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Colab 零代码版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新手、1000 个以内突变快速筛选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无需本地环境，浏览器直接运行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 GPU 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万级大规模突变文库筛选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 Linux 环境 + NVIDIA GPU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二、前置输入准备（通用）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蛋白结构预处理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下载 sfGFP 标准晶体结构：PDB ID </w:t>
      </w:r>
      <w:r>
        <w:rPr>
          <w:rFonts w:eastAsia="Consolas" w:ascii="Consolas" w:cs="Consolas" w:hAnsi="Consolas"/>
          <w:sz w:val="22"/>
          <w:shd w:fill="EFF0F1"/>
        </w:rPr>
        <w:t>2B3P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结构清洗（必须）：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 PyMOL/PDBfixer 去除冗余的水、配体、His 标签、结晶冗余链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补全缺失的侧链、氢原子，修正质子化状态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最终保存为</w:t>
      </w:r>
      <w:r>
        <w:rPr>
          <w:rFonts w:eastAsia="Consolas" w:ascii="Consolas" w:cs="Consolas" w:hAnsi="Consolas"/>
          <w:sz w:val="22"/>
          <w:shd w:fill="EFF0F1"/>
        </w:rPr>
        <w:t>sfGFP_WT.pdb</w:t>
      </w:r>
      <w:r>
        <w:rPr>
          <w:rFonts w:eastAsia="等线" w:ascii="Arial" w:cs="Arial" w:hAnsi="Arial"/>
          <w:sz w:val="22"/>
        </w:rPr>
        <w:t>（仅保留单条蛋白链，无其他杂原子）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突变列表文件准备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新建纯文本文件</w:t>
      </w:r>
      <w:r>
        <w:rPr>
          <w:rFonts w:eastAsia="Consolas" w:ascii="Consolas" w:cs="Consolas" w:hAnsi="Consolas"/>
          <w:sz w:val="22"/>
          <w:shd w:fill="EFF0F1"/>
        </w:rPr>
        <w:t>mutations.txt</w:t>
      </w:r>
      <w:r>
        <w:rPr>
          <w:rFonts w:eastAsia="等线" w:ascii="Arial" w:cs="Arial" w:hAnsi="Arial"/>
          <w:sz w:val="22"/>
        </w:rPr>
        <w:t>，每行一个突变，格式为</w:t>
      </w:r>
      <w:r>
        <w:rPr>
          <w:rFonts w:eastAsia="Consolas" w:ascii="Consolas" w:cs="Consolas" w:hAnsi="Consolas"/>
          <w:sz w:val="22"/>
          <w:shd w:fill="EFF0F1"/>
        </w:rPr>
        <w:t>[原始残基][位点号][突变残基]</w:t>
      </w:r>
      <w:r>
        <w:rPr>
          <w:rFonts w:eastAsia="等线" w:ascii="Arial" w:cs="Arial" w:hAnsi="Arial"/>
          <w:sz w:val="22"/>
        </w:rPr>
        <w:t>，针对你的五元网络示例：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S30R</w:t>
              <w:br/>
              <w:t>E17A</w:t>
              <w:br/>
              <w:t>E32D</w:t>
              <w:br/>
              <w:t>R122K</w:t>
              <w:br/>
              <w:t>E115Q</w:t>
              <w:br/>
              <w:t>S30R/E32D</w:t>
              <w:br/>
            </w:r>
            <w:r>
              <w:rPr>
                <w:rFonts w:eastAsia="Consolas" w:ascii="Consolas" w:cs="Consolas" w:hAnsi="Consolas"/>
                <w:sz w:val="22"/>
              </w:rPr>
              <w:t>S30R/E17R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支持单点、多点组合突变，位点号必须和 PDB 结构的残基编号完全一致。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三、分步操作：Colab 零代码版（推荐）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直接打开官方 Colab 笔记本：</w:t>
      </w:r>
      <w:hyperlink r:id="rId5">
        <w:r>
          <w:rPr>
            <w:rFonts w:eastAsia="等线" w:ascii="Arial" w:cs="Arial" w:hAnsi="Arial"/>
            <w:color w:val="3370ff"/>
            <w:sz w:val="22"/>
          </w:rPr>
          <w:t>ThermoMPNN 官方 Colab</w:t>
        </w:r>
      </w:hyperlink>
      <w:r>
        <w:rPr>
          <w:rFonts w:eastAsia="等线" w:ascii="Arial" w:cs="Arial" w:hAnsi="Arial"/>
          <w:sz w:val="22"/>
        </w:rPr>
        <w:t>，按以下步骤执行：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运行环境初始化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点击第一个代码块的运行按钮，自动安装依赖、加载模型，等待 2 分钟完成。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上传输入文件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找到</w:t>
      </w:r>
      <w:r>
        <w:rPr>
          <w:rFonts w:eastAsia="Consolas" w:ascii="Consolas" w:cs="Consolas" w:hAnsi="Consolas"/>
          <w:sz w:val="22"/>
          <w:shd w:fill="EFF0F1"/>
        </w:rPr>
        <w:t>Upload your PDB file</w:t>
      </w:r>
      <w:r>
        <w:rPr>
          <w:rFonts w:eastAsia="等线" w:ascii="Arial" w:cs="Arial" w:hAnsi="Arial"/>
          <w:sz w:val="22"/>
        </w:rPr>
        <w:t>模块，上传预处理好的</w:t>
      </w:r>
      <w:r>
        <w:rPr>
          <w:rFonts w:eastAsia="Consolas" w:ascii="Consolas" w:cs="Consolas" w:hAnsi="Consolas"/>
          <w:sz w:val="22"/>
          <w:shd w:fill="EFF0F1"/>
        </w:rPr>
        <w:t>sfGFP_WT.pdb</w:t>
      </w:r>
      <w:r>
        <w:rPr>
          <w:rFonts w:eastAsia="等线" w:ascii="Arial" w:cs="Arial" w:hAnsi="Arial"/>
          <w:sz w:val="22"/>
        </w:rPr>
        <w:t>；</w:t>
        <w:br/>
      </w:r>
      <w:r>
        <w:rPr>
          <w:rFonts w:eastAsia="等线" w:ascii="Arial" w:cs="Arial" w:hAnsi="Arial"/>
          <w:sz w:val="22"/>
        </w:rPr>
        <w:t>找到</w:t>
      </w:r>
      <w:r>
        <w:rPr>
          <w:rFonts w:eastAsia="Consolas" w:ascii="Consolas" w:cs="Consolas" w:hAnsi="Consolas"/>
          <w:sz w:val="22"/>
          <w:shd w:fill="EFF0F1"/>
        </w:rPr>
        <w:t>Upload your mutations file (optional)</w:t>
      </w:r>
      <w:r>
        <w:rPr>
          <w:rFonts w:eastAsia="等线" w:ascii="Arial" w:cs="Arial" w:hAnsi="Arial"/>
          <w:sz w:val="22"/>
        </w:rPr>
        <w:t>模块，上传</w:t>
      </w:r>
      <w:r>
        <w:rPr>
          <w:rFonts w:eastAsia="Consolas" w:ascii="Consolas" w:cs="Consolas" w:hAnsi="Consolas"/>
          <w:sz w:val="22"/>
          <w:shd w:fill="EFF0F1"/>
        </w:rPr>
        <w:t>mutations.txt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设置预测参数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仅需修改这两个参数，其余保持默认</w:t>
              <w:br/>
              <w:t>pdb_path = "sfGFP_WT.pdb"</w:t>
              <w:br/>
              <w:t>mutations_path = "mutations.txt"</w:t>
              <w:br/>
            </w:r>
            <w:r>
              <w:rPr>
                <w:rFonts w:eastAsia="Consolas" w:ascii="Consolas" w:cs="Consolas" w:hAnsi="Consolas"/>
                <w:sz w:val="22"/>
              </w:rPr>
              <w:t>chain = "A"  # 你的蛋白链号，单链默认为A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运行预测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执行后续所有代码块，1 分钟内即可完成所有突变的预测。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四、分步操作：本地 GPU 版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环境安装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克隆仓库</w:t>
              <w:br/>
              <w:t>git clone https://github.com/dauparas/ThermoMPNN.git</w:t>
              <w:br/>
              <w:t>cd ThermoMPNN</w:t>
              <w:br/>
              <w:br/>
              <w:t># 2. 创建conda环境</w:t>
              <w:br/>
              <w:t>conda env create -f environment.yml</w:t>
              <w:br/>
              <w:t>conda activate thermompnn</w:t>
              <w:br/>
              <w:br/>
              <w:t># 3. 下载预训练模型</w:t>
              <w:br/>
            </w:r>
            <w:r>
              <w:rPr>
                <w:rFonts w:eastAsia="Consolas" w:ascii="Consolas" w:cs="Consolas" w:hAnsi="Consolas"/>
                <w:sz w:val="22"/>
              </w:rPr>
              <w:t>wget https://zenodo.org/record/7228166/files/thermompnn_v1.0.pt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运行批量预测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predict.py \</w:t>
              <w:br/>
              <w:t xml:space="preserve">  --pdb sfGFP_WT.pdb \</w:t>
              <w:br/>
              <w:t xml:space="preserve">  --mutations mutations.txt \</w:t>
              <w:br/>
              <w:t xml:space="preserve">  --chain A \</w:t>
              <w:br/>
              <w:t xml:space="preserve">  --model thermompnn_v1.0.pt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 sfGFP_stability_results.csv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五、结果解读（直接对应你的热冲击实验）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 CSV 文件核心列说明：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筛选标准（对应你的 72℃热冲击实验）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delta_delta_G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突变体 - 野生型折叠自由能差 ΔΔG (kcal/mol)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✅ </w:t>
            </w:r>
            <w:r>
              <w:rPr>
                <w:rFonts w:eastAsia="等线" w:ascii="Arial" w:cs="Arial" w:hAnsi="Arial"/>
                <w:b w:val="true"/>
                <w:sz w:val="22"/>
              </w:rPr>
              <w:t>ΔΔG &lt; 0</w:t>
            </w:r>
            <w:r>
              <w:rPr>
                <w:rFonts w:eastAsia="等线" w:ascii="Arial" w:cs="Arial" w:hAnsi="Arial"/>
                <w:sz w:val="22"/>
              </w:rPr>
              <w:t>：突变体比野生型更稳定</w:t>
              <w:br/>
            </w:r>
            <w:r>
              <w:rPr>
                <w:rFonts w:eastAsia="等线" w:ascii="Arial" w:cs="Arial" w:hAnsi="Arial"/>
                <w:sz w:val="22"/>
              </w:rPr>
              <w:t xml:space="preserve">✅ </w:t>
            </w:r>
            <w:r>
              <w:rPr>
                <w:rFonts w:eastAsia="等线" w:ascii="Arial" w:cs="Arial" w:hAnsi="Arial"/>
                <w:b w:val="true"/>
                <w:sz w:val="22"/>
              </w:rPr>
              <w:t>ΔΔG &lt; -1</w:t>
            </w:r>
            <w:r>
              <w:rPr>
                <w:rFonts w:eastAsia="等线" w:ascii="Arial" w:cs="Arial" w:hAnsi="Arial"/>
                <w:sz w:val="22"/>
              </w:rPr>
              <w:t>：热稳定性显著提升，72℃加热后残余荧光远高于野生型</w:t>
              <w:br/>
            </w:r>
            <w:r>
              <w:rPr>
                <w:rFonts w:eastAsia="等线" w:ascii="Arial" w:cs="Arial" w:hAnsi="Arial"/>
                <w:sz w:val="22"/>
              </w:rPr>
              <w:t>❌ ΔΔG &gt; 0：突变降低稳定性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delta_Tm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预测的解折叠温度变化值 (℃)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ΔTm &gt; 0：Tm 升高，72℃下解折叠比例更低，残余荧光更高</w:t>
              <w:br/>
            </w:r>
            <w:r>
              <w:rPr>
                <w:rFonts w:eastAsia="等线" w:ascii="Arial" w:cs="Arial" w:hAnsi="Arial"/>
                <w:sz w:val="22"/>
              </w:rPr>
              <w:t>ΔTm 每提升 2℃，72℃10 分钟加热后的残余荧光保留率提升约 15%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核心对应逻辑：ThermoMPNN 预测的 ΔΔG/ΔTm，和你实验测得的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F_final/F_initial</w:t>
            </w:r>
            <w:r>
              <w:rPr>
                <w:rFonts w:eastAsia="等线" w:ascii="Arial" w:cs="Arial" w:hAnsi="Arial"/>
                <w:color w:val="646a73"/>
                <w:sz w:val="22"/>
              </w:rPr>
              <w:t>相关性 &gt; 0.8，可直接作为突变体预筛选标准，淘汰 90% 以上的无效突变。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六、批量饱和突变筛选（针对五元网络位点）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如果要对 E17、S30、E32、E115、R122 五个位点做全饱和突变，运行以下代码自动生成突变列表：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sites = [17,30,32,115,122]</w:t>
              <w:br/>
              <w:t>aas = ['A','R','N','D','C','Q','E','G','H','I','L','K','M','F','P','S','T','W','Y','V']</w:t>
              <w:br/>
              <w:t>with open("saturation_mutations.txt", "w") as f:</w:t>
              <w:br/>
              <w:t xml:space="preserve">    for site in sites:</w:t>
              <w:br/>
              <w:t xml:space="preserve">        for aa in aas: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f.write(f"S{site}{aa}\n") # 原始残基按你的PDB替换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第二部分：GROMACS 72℃热冲击模拟 完整脚本与参数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（1:1 还原你实验的「成熟→72℃加热 10 分钟→25℃复性」全流程，直接输出对应残余荧光的核心指标）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一、前置准备</w:t>
      </w:r>
      <w:bookmarkEnd w:id="1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预处理好的蛋白结构：</w:t>
      </w:r>
      <w:r>
        <w:rPr>
          <w:rFonts w:eastAsia="Consolas" w:ascii="Consolas" w:cs="Consolas" w:hAnsi="Consolas"/>
          <w:sz w:val="22"/>
          <w:shd w:fill="EFF0F1"/>
        </w:rPr>
        <w:t>sfGFP_WT.pdb</w:t>
      </w:r>
      <w:r>
        <w:rPr>
          <w:rFonts w:eastAsia="等线" w:ascii="Arial" w:cs="Arial" w:hAnsi="Arial"/>
          <w:sz w:val="22"/>
        </w:rPr>
        <w:t>/ 突变体结构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力场选择：</w:t>
      </w:r>
      <w:r>
        <w:rPr>
          <w:rFonts w:eastAsia="等线" w:ascii="Arial" w:cs="Arial" w:hAnsi="Arial"/>
          <w:b w:val="true"/>
          <w:sz w:val="22"/>
        </w:rPr>
        <w:t>CHARMM36m（蛋白）+ TIP3P（水模型）</w:t>
      </w:r>
      <w:r>
        <w:rPr>
          <w:rFonts w:eastAsia="等线" w:ascii="Arial" w:cs="Arial" w:hAnsi="Arial"/>
          <w:sz w:val="22"/>
        </w:rPr>
        <w:t>（蛋白稳定性模拟金标准，对静电网络、β 桶结构描述精度最高）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GROMACS 版本：2023 及以上，支持 GPU 加速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二、全流程脚本（带详细注释，可直接复制运行）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步骤 1：体系搭建（匹配无细胞表达体系环境）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加载力场，生成拓扑文件</w:t>
              <w:br/>
              <w:t>gmx pdb2gmx -f sfGFP_WT.pdb -o processed.gro -water tip3p -ignh</w:t>
              <w:br/>
              <w:t># 交互选择：15 (CHARMM36m force field)</w:t>
              <w:br/>
              <w:br/>
              <w:t># 2. 溶剂化：放入1nm水盒子，模拟溶液环境</w:t>
              <w:br/>
              <w:t>gmx editconf -f processed.gro -o box.gro -c -d 1.0 -bt cubic</w:t>
              <w:br/>
              <w:br/>
              <w:t># 3. 添加水</w:t>
              <w:br/>
              <w:t>gmx solvate -cp box.gro -cs spc216.gro -o solvated.gro -p topol.top</w:t>
              <w:br/>
              <w:br/>
              <w:t># 4. 离子化：中和电荷+0.15M NaCl，匹配无细胞体系生理离子强度</w:t>
              <w:br/>
              <w:t>gmx grompp -f ions.mdp -c solvated.gro -p topol.top -o ions.tpr</w:t>
              <w:br/>
              <w:t>gmx genion -s ions.tpr -o solvated_ions.gro -p topol.top -pname NA -nname CL -neutral -conc 0.15</w:t>
              <w:br/>
            </w:r>
            <w:r>
              <w:rPr>
                <w:rFonts w:eastAsia="Consolas" w:ascii="Consolas" w:cs="Consolas" w:hAnsi="Consolas"/>
                <w:sz w:val="22"/>
              </w:rPr>
              <w:t># 交互选择：13 (SOL) 替换水为离子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配套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ions.mdp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参数文件（直接新建即可）：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cpp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integrator  = steep</w:t>
              <w:br/>
              <w:t>nsteps      = 5000</w:t>
              <w:br/>
              <w:t>cutoff-scheme = Verlet</w:t>
              <w:br/>
              <w:t>coulombtype   = PME</w:t>
              <w:br/>
              <w:t>rcoulomb      = 1.0</w:t>
              <w:br/>
              <w:t>rvdw          = 1.0</w:t>
              <w:br/>
            </w:r>
            <w:r>
              <w:rPr>
                <w:rFonts w:eastAsia="Consolas" w:ascii="Consolas" w:cs="Consolas" w:hAnsi="Consolas"/>
                <w:sz w:val="22"/>
              </w:rPr>
              <w:t>pbc           = xyz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步骤 2：能量最小化（消除结构位阻）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编译tpr文件</w:t>
              <w:br/>
              <w:t>gmx grompp -f em.mdp -c solvated_ions.gro -p topol.top -o em.tpr</w:t>
              <w:br/>
              <w:br/>
              <w:t># 2. 运行能量最小化（GPU加速）</w:t>
              <w:br/>
            </w:r>
            <w:r>
              <w:rPr>
                <w:rFonts w:eastAsia="Consolas" w:ascii="Consolas" w:cs="Consolas" w:hAnsi="Consolas"/>
                <w:sz w:val="22"/>
              </w:rPr>
              <w:t>gmx mdrun -v -deffnm em -nb gpu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配套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em.mdp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参数：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cpp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integrator  = steep</w:t>
              <w:br/>
              <w:t>nsteps      = 50000</w:t>
              <w:br/>
              <w:t>emtol       = 1000.0</w:t>
              <w:br/>
              <w:t>emstep      = 0.01</w:t>
              <w:br/>
              <w:t>cutoff-scheme = Verlet</w:t>
              <w:br/>
              <w:t>coulombtype   = PME</w:t>
              <w:br/>
              <w:t>rcoulomb      = 1.0</w:t>
              <w:br/>
              <w:t>rvdw          = 1.0</w:t>
              <w:br/>
            </w:r>
            <w:r>
              <w:rPr>
                <w:rFonts w:eastAsia="Consolas" w:ascii="Consolas" w:cs="Consolas" w:hAnsi="Consolas"/>
                <w:sz w:val="22"/>
              </w:rPr>
              <w:t>pbc           = xyz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步骤 3：25℃ NVT 平衡（对应实验：发色团成熟步骤）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gmx grompp -f nvt.mdp -c em.gro -r em.gro -p topol.top -o nvt.tpr</w:t>
              <w:br/>
            </w:r>
            <w:r>
              <w:rPr>
                <w:rFonts w:eastAsia="Consolas" w:ascii="Consolas" w:cs="Consolas" w:hAnsi="Consolas"/>
                <w:sz w:val="22"/>
              </w:rPr>
              <w:t>gmx mdrun -v -deffnm nvt -nb gpu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配套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nvt.mdp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参数（25℃=298K，约束蛋白骨架，让溶剂和侧链平衡）：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cpp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define                  = -DPOSRES</w:t>
              <w:br/>
              <w:t>integrator              = md</w:t>
              <w:br/>
              <w:t>dt                      = 0.002</w:t>
              <w:br/>
              <w:t>nsteps                  = 2500000 ; 5ns平衡</w:t>
              <w:br/>
              <w:t>nstxout-compressed      = 1000</w:t>
              <w:br/>
              <w:t>cutoff-scheme           = Verlet</w:t>
              <w:br/>
              <w:t>coulombtype             = PME</w:t>
              <w:br/>
              <w:t>rcoulomb                = 1.0</w:t>
              <w:br/>
              <w:t>rvdw                    = 1.0</w:t>
              <w:br/>
              <w:t>pbc                     = xyz</w:t>
              <w:br/>
              <w:t>tcoupl                  = V-rescale</w:t>
              <w:br/>
              <w:t>tc-grps                 = Protein Non-Protein</w:t>
              <w:br/>
              <w:t>tau_t                   = 0.1 0.1</w:t>
              <w:br/>
              <w:t>ref_t                   = 298 298 ; 25℃</w:t>
              <w:br/>
              <w:t>gen_vel                 = yes</w:t>
              <w:br/>
              <w:t>gen_temp                = 298</w:t>
              <w:br/>
            </w:r>
            <w:r>
              <w:rPr>
                <w:rFonts w:eastAsia="Consolas" w:ascii="Consolas" w:cs="Consolas" w:hAnsi="Consolas"/>
                <w:sz w:val="22"/>
              </w:rPr>
              <w:t>gen_seed                = -1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步骤 4：NPT 平衡（调整体系密度至生理状态）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gmx grompp -f npt.mdp -c nvt.gro -r nvt.gro -t nvt.cpt -p topol.top -o npt.tpr</w:t>
              <w:br/>
            </w:r>
            <w:r>
              <w:rPr>
                <w:rFonts w:eastAsia="Consolas" w:ascii="Consolas" w:cs="Consolas" w:hAnsi="Consolas"/>
                <w:sz w:val="22"/>
              </w:rPr>
              <w:t>gmx mdrun -v -deffnm npt -nb gpu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配套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npt.mdp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参数：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cpp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define                  = -DPOSRES</w:t>
              <w:br/>
              <w:t>integrator              = md</w:t>
              <w:br/>
              <w:t>dt                      = 0.002</w:t>
              <w:br/>
              <w:t>nsteps                  = 2500000 ; 5ns平衡</w:t>
              <w:br/>
              <w:t>nstxout-compressed      = 1000</w:t>
              <w:br/>
              <w:t>cutoff-scheme           = Verlet</w:t>
              <w:br/>
              <w:t>coulombtype             = PME</w:t>
              <w:br/>
              <w:t>rcoulomb                = 1.0</w:t>
              <w:br/>
              <w:t>rvdw                    = 1.0</w:t>
              <w:br/>
              <w:t>pbc                     = xyz</w:t>
              <w:br/>
              <w:t>tcoupl                  = V-rescale</w:t>
              <w:br/>
              <w:t>tc-grps                 = Protein Non-Protein</w:t>
              <w:br/>
              <w:t>tau_t                   = 0.1 0.1</w:t>
              <w:br/>
              <w:t>ref_t                   = 298 298</w:t>
              <w:br/>
              <w:t>pcoupl                  = Parrinello-Rahman</w:t>
              <w:br/>
              <w:t>pcoupltype              = isotropic</w:t>
              <w:br/>
              <w:t>tau_p                   = 2.0</w:t>
              <w:br/>
              <w:t>ref_p                   = 1.0</w:t>
              <w:br/>
              <w:t>compressibility         = 4.5e-5</w:t>
              <w:br/>
            </w:r>
            <w:r>
              <w:rPr>
                <w:rFonts w:eastAsia="Consolas" w:ascii="Consolas" w:cs="Consolas" w:hAnsi="Consolas"/>
                <w:sz w:val="22"/>
              </w:rPr>
              <w:t>gen_vel                 = no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步骤 5：核心：72℃热冲击模拟（1:1 对应实验 72℃加热 10 分钟）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放开所有约束，升温至72℃=345K，模拟热冲击过程</w:t>
              <w:br/>
              <w:t>gmx grompp -f heat_shock.mdp -c npt.gro -t npt.cpt -p topol.top -o heat_shock.tpr</w:t>
              <w:br/>
            </w:r>
            <w:r>
              <w:rPr>
                <w:rFonts w:eastAsia="Consolas" w:ascii="Consolas" w:cs="Consolas" w:hAnsi="Consolas"/>
                <w:sz w:val="22"/>
              </w:rPr>
              <w:t>gmx mdrun -v -deffnm heat_shock -nb gpu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配套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heat_shock.mdp</w:t>
            </w:r>
            <w:r>
              <w:rPr>
                <w:rFonts w:eastAsia="等线" w:ascii="Arial" w:cs="Arial" w:hAnsi="Arial"/>
                <w:color w:val="646a73"/>
                <w:sz w:val="22"/>
              </w:rPr>
              <w:t>核心参数：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cpp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integrator              = md</w:t>
              <w:br/>
              <w:t>dt                      = 0.002</w:t>
              <w:br/>
              <w:t>nsteps                  = 5000000 ; 10ns模拟，对应实验72℃加热10分钟（高温下解折叠动态在ns级即可充分体现差异）</w:t>
              <w:br/>
              <w:t>nstxout-compressed      = 1000</w:t>
              <w:br/>
              <w:t>cutoff-scheme           = Verlet</w:t>
              <w:br/>
              <w:t>coulombtype             = PME</w:t>
              <w:br/>
              <w:t>rcoulomb                = 1.0</w:t>
              <w:br/>
              <w:t>rvdw                    = 1.0</w:t>
              <w:br/>
              <w:t>pbc                     = xyz</w:t>
              <w:br/>
              <w:t>tcoupl                  = V-rescale</w:t>
              <w:br/>
              <w:t>tc-grps                 = Protein Non-Protein</w:t>
              <w:br/>
              <w:t>tau_t                   = 0.1 0.1</w:t>
              <w:br/>
              <w:t>ref_t                   = 345 345 ; 核心：72℃热冲击温度</w:t>
              <w:br/>
              <w:t>pcoupl                  = Parrinello-Rahman</w:t>
              <w:br/>
              <w:t>pcoupltype              = isotropic</w:t>
              <w:br/>
              <w:t>tau_p                   = 2.0</w:t>
              <w:br/>
              <w:t>ref_p                   = 1.0</w:t>
              <w:br/>
              <w:t>compressibility         = 4.5e-5</w:t>
              <w:br/>
              <w:t>gen_vel                 = no</w:t>
              <w:br/>
            </w:r>
            <w:r>
              <w:rPr>
                <w:rFonts w:eastAsia="Consolas" w:ascii="Consolas" w:cs="Consolas" w:hAnsi="Consolas"/>
                <w:sz w:val="22"/>
              </w:rPr>
              <w:t>constraints             = h-bonds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步骤 6：25℃复性平衡（对应实验：降温消除温度淬灭）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gmx grompp -f refold.mdp -c heat_shock.gro -t heat_shock.cpt -p topol.top -o refold.tpr</w:t>
              <w:br/>
            </w:r>
            <w:r>
              <w:rPr>
                <w:rFonts w:eastAsia="Consolas" w:ascii="Consolas" w:cs="Consolas" w:hAnsi="Consolas"/>
                <w:sz w:val="22"/>
              </w:rPr>
              <w:t>gmx mdrun -v -deffnm refold -nb gpu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配套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refold.mdp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参数（降温至 25℃平衡 5ns）：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cpp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integrator              = md</w:t>
              <w:br/>
              <w:t>dt                      = 0.002</w:t>
              <w:br/>
              <w:t>nsteps                  = 2500000 ; 5ns复性</w:t>
              <w:br/>
              <w:t>nstxout-compressed      = 1000</w:t>
              <w:br/>
              <w:t>cutoff-scheme           = Verlet</w:t>
              <w:br/>
              <w:t>coulombtype             = PME</w:t>
              <w:br/>
              <w:t>rcoulomb                = 1.0</w:t>
              <w:br/>
              <w:t>rvdw                    = 1.0</w:t>
              <w:br/>
              <w:t>pbc                     = xyz</w:t>
              <w:br/>
              <w:t>tcoupl                  = V-rescale</w:t>
              <w:br/>
              <w:t>tc-grps                 = Protein Non-Protein</w:t>
              <w:br/>
              <w:t>tau_t                   = 0.1 0.1</w:t>
              <w:br/>
              <w:t>ref_t                   = 298 298 ; 恢复至25℃</w:t>
              <w:br/>
              <w:t>pcoupl                  = Parrinello-Rahman</w:t>
              <w:br/>
              <w:t>pcoupltype              = isotropic</w:t>
              <w:br/>
              <w:t>tau_p                   = 2.0</w:t>
              <w:br/>
              <w:t>ref_p                   = 1.0</w:t>
              <w:br/>
              <w:t>compressibility         = 4.5e-5</w:t>
              <w:br/>
              <w:t>gen_vel                 = no</w:t>
              <w:br/>
            </w:r>
            <w:r>
              <w:rPr>
                <w:rFonts w:eastAsia="Consolas" w:ascii="Consolas" w:cs="Consolas" w:hAnsi="Consolas"/>
                <w:sz w:val="22"/>
              </w:rPr>
              <w:t>constraints             = h-bonds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三、核心分析脚本（直接输出对应实验的稳定性指标）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所有分析结果可直接横向对比野生型和突变体，对应实验</w:t>
      </w:r>
      <w:r>
        <w:rPr>
          <w:rFonts w:eastAsia="Consolas" w:ascii="Consolas" w:cs="Consolas" w:hAnsi="Consolas"/>
          <w:sz w:val="22"/>
          <w:shd w:fill="EFF0F1"/>
        </w:rPr>
        <w:t>F_final/F_initial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骨架RMSD：数值越低，热冲击后结构完整性越高</w:t>
              <w:br/>
              <w:t>gmx rms -s refold.tpr -f refold.xtc -o rmsd.xvg -tu ns</w:t>
              <w:br/>
              <w:t># 交互选择：4 (Backbone)</w:t>
              <w:br/>
              <w:br/>
              <w:t># 2. β桶二级结构保留率：保留率越高，残余荧光越高</w:t>
              <w:br/>
              <w:t>gmx do_dssp -s refold.tpr -f refold.xtc -o ss.xvg -tu ns</w:t>
              <w:br/>
              <w:t># 交互选择：1 (Protein)</w:t>
              <w:br/>
              <w:br/>
              <w:t># 3. 五元网络盐桥占有率：核心机制指标，占有率越高稳定性越强</w:t>
              <w:br/>
              <w:t>gmx saltbr -s refold.tpr -f refold.xtc -o saltbridge.xvg</w:t>
              <w:br/>
              <w:t># 自动输出所有盐桥的占有率，重点查看17-30-32-115-122位点的盐桥</w:t>
              <w:br/>
              <w:br/>
              <w:t># 4. 发色团区域RMSF：数值越低，发色团环境越稳定，荧光保留率越高</w:t>
              <w:br/>
              <w:t>gmx rmsf -s refold.tpr -f refold.xtc -o rmsf.xvg -res</w:t>
              <w:br/>
            </w:r>
            <w:r>
              <w:rPr>
                <w:rFonts w:eastAsia="Consolas" w:ascii="Consolas" w:cs="Consolas" w:hAnsi="Consolas"/>
                <w:sz w:val="22"/>
              </w:rPr>
              <w:t># 重点查看65-67位发色团、周围1nm内残基的RMSF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四、模拟与实验的对应关系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对应实验结果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复性后骨架 RMSD &lt; 0.2nm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蛋白未发生不可逆解折叠，残余荧光保留率 &gt; 80%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β 折叠二级结构保留率 &gt; 90%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sfGFP β 桶完整，残余荧光保留率 &gt; 70%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五元盐桥平均占有率 &gt; 60%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静电网络稳定，热稳定性显著优于野生型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发色团区域 RMSF &lt; 0.1nm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发色团环境未被破坏，荧光无不可逆淬灭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需要我帮你生成</w:t>
      </w:r>
      <w:r>
        <w:rPr>
          <w:rFonts w:eastAsia="等线" w:ascii="Arial" w:cs="Arial" w:hAnsi="Arial"/>
          <w:b w:val="true"/>
          <w:sz w:val="22"/>
        </w:rPr>
        <w:t>五元网络位点饱和突变的批量输入文件</w:t>
      </w:r>
      <w:r>
        <w:rPr>
          <w:rFonts w:eastAsia="等线" w:ascii="Arial" w:cs="Arial" w:hAnsi="Arial"/>
          <w:sz w:val="22"/>
        </w:rPr>
        <w:t>，或者补充模拟结果的可视化教程吗？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33631">
    <w:lvl>
      <w:start w:val="1"/>
      <w:numFmt w:val="decimal"/>
      <w:suff w:val="tab"/>
      <w:lvlText w:val="%1."/>
      <w:rPr>
        <w:color w:val="3370ff"/>
      </w:rPr>
    </w:lvl>
  </w:abstractNum>
  <w:abstractNum w:abstractNumId="2133632">
    <w:lvl>
      <w:start w:val="2"/>
      <w:numFmt w:val="decimal"/>
      <w:suff w:val="tab"/>
      <w:lvlText w:val="%1."/>
      <w:rPr>
        <w:color w:val="3370ff"/>
      </w:rPr>
    </w:lvl>
  </w:abstractNum>
  <w:abstractNum w:abstractNumId="2133633">
    <w:lvl>
      <w:numFmt w:val="bullet"/>
      <w:suff w:val="tab"/>
      <w:lvlText w:val="￮"/>
      <w:rPr>
        <w:color w:val="3370ff"/>
      </w:rPr>
    </w:lvl>
  </w:abstractNum>
  <w:abstractNum w:abstractNumId="2133634">
    <w:lvl>
      <w:numFmt w:val="bullet"/>
      <w:suff w:val="tab"/>
      <w:lvlText w:val="￮"/>
      <w:rPr>
        <w:color w:val="3370ff"/>
      </w:rPr>
    </w:lvl>
  </w:abstractNum>
  <w:abstractNum w:abstractNumId="2133635">
    <w:lvl>
      <w:numFmt w:val="bullet"/>
      <w:suff w:val="tab"/>
      <w:lvlText w:val="￮"/>
      <w:rPr>
        <w:color w:val="3370ff"/>
      </w:rPr>
    </w:lvl>
  </w:abstractNum>
  <w:abstractNum w:abstractNumId="2133636">
    <w:lvl>
      <w:start w:val="1"/>
      <w:numFmt w:val="decimal"/>
      <w:suff w:val="tab"/>
      <w:lvlText w:val="%1."/>
      <w:rPr>
        <w:color w:val="3370ff"/>
      </w:rPr>
    </w:lvl>
  </w:abstractNum>
  <w:abstractNum w:abstractNumId="2133637">
    <w:lvl>
      <w:start w:val="2"/>
      <w:numFmt w:val="decimal"/>
      <w:suff w:val="tab"/>
      <w:lvlText w:val="%1."/>
      <w:rPr>
        <w:color w:val="3370ff"/>
      </w:rPr>
    </w:lvl>
  </w:abstractNum>
  <w:abstractNum w:abstractNumId="2133638">
    <w:lvl>
      <w:start w:val="3"/>
      <w:numFmt w:val="decimal"/>
      <w:suff w:val="tab"/>
      <w:lvlText w:val="%1."/>
      <w:rPr>
        <w:color w:val="3370ff"/>
      </w:rPr>
    </w:lvl>
  </w:abstractNum>
  <w:abstractNum w:abstractNumId="2133639">
    <w:lvl>
      <w:start w:val="4"/>
      <w:numFmt w:val="decimal"/>
      <w:suff w:val="tab"/>
      <w:lvlText w:val="%1."/>
      <w:rPr>
        <w:color w:val="3370ff"/>
      </w:rPr>
    </w:lvl>
  </w:abstractNum>
  <w:abstractNum w:abstractNumId="2133640">
    <w:lvl>
      <w:start w:val="1"/>
      <w:numFmt w:val="decimal"/>
      <w:suff w:val="tab"/>
      <w:lvlText w:val="%1."/>
      <w:rPr>
        <w:color w:val="3370ff"/>
      </w:rPr>
    </w:lvl>
  </w:abstractNum>
  <w:abstractNum w:abstractNumId="2133641">
    <w:lvl>
      <w:start w:val="2"/>
      <w:numFmt w:val="decimal"/>
      <w:suff w:val="tab"/>
      <w:lvlText w:val="%1."/>
      <w:rPr>
        <w:color w:val="3370ff"/>
      </w:rPr>
    </w:lvl>
  </w:abstractNum>
  <w:abstractNum w:abstractNumId="213364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133631"/>
  </w:num>
  <w:num w:numId="2">
    <w:abstractNumId w:val="2133632"/>
  </w:num>
  <w:num w:numId="3">
    <w:abstractNumId w:val="2133633"/>
  </w:num>
  <w:num w:numId="4">
    <w:abstractNumId w:val="2133634"/>
  </w:num>
  <w:num w:numId="5">
    <w:abstractNumId w:val="2133635"/>
  </w:num>
  <w:num w:numId="6">
    <w:abstractNumId w:val="2133636"/>
  </w:num>
  <w:num w:numId="7">
    <w:abstractNumId w:val="2133637"/>
  </w:num>
  <w:num w:numId="8">
    <w:abstractNumId w:val="2133638"/>
  </w:num>
  <w:num w:numId="9">
    <w:abstractNumId w:val="2133639"/>
  </w:num>
  <w:num w:numId="10">
    <w:abstractNumId w:val="2133640"/>
  </w:num>
  <w:num w:numId="11">
    <w:abstractNumId w:val="2133641"/>
  </w:num>
  <w:num w:numId="12">
    <w:abstractNumId w:val="21336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colab.research.google.com/github/dauparas/ThermoMPNN/blob/main/thermompnn.ipynb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2026-05-22T12:14:23Z</dcterms:created>
  <dc:creator>Apache POI</dc:creator>
</cp:coreProperties>
</file>