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《2072》章节模板（带证据标签体系）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本文件是辅助写作工具，不修改主文件。它提供：① 章节标准结构（主张/内容/证据/关联）；② 证据标签体系（已研究/推断/假设/待核实/虚构）；③ 全文标注概览。</w:t>
      </w:r>
    </w:p>
    <w:p>
      <w:pPr>
        <w:spacing w:after="2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一、证据标签体系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证据标签的目的不是添加学术引用，而是帮助不同背景的协作者快速识别“这里的东西可信程度如何”，也方便未来扩写时判断哪些地方需要加固、哪些是成熟建构。</w:t>
      </w:r>
    </w:p>
    <w:p>
      <w:pPr>
        <w:spacing w:after="120" w:before="0"/>
      </w:pPr>
    </w:p>
    <w:tbl>
      <w:tblPr>
        <w:tblW w:type="dxa" w:w="9026"/>
        <w:tblBorders>
          <w:top w:val="single" w:color="2E5F9E" w:sz="4"/>
          <w:left w:val="single" w:color="2E5F9E" w:sz="4"/>
          <w:bottom w:val="single" w:color="2E5F9E" w:sz="4"/>
          <w:right w:val="single" w:color="2E5F9E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9026"/>
            <w:gridSpan w:val="3"/>
            <w:shd w:fill="2E5F9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证据标签体系总览</w:t>
            </w:r>
          </w:p>
        </w:tc>
      </w:tr>
      <w:tr>
        <w:trPr>
          <w:tblHeader/>
        </w:trPr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标签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含义</w:t>
            </w:r>
          </w:p>
        </w:tc>
        <w:tc>
          <w:tcPr>
            <w:tcW w:type="dxa" w:w="54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使用示例</w:t>
            </w:r>
          </w:p>
        </w:tc>
      </w:tr>
      <w:tr>
        <w:tc>
          <w:tcPr>
            <w:tcW w:type="dxa" w:w="1400"/>
            <w:shd w:fill="FFFB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18"/>
                <w:szCs w:val="18"/>
              </w:rPr>
              <w:t xml:space="preserve">[已研究]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有具体数据、案例或多来源佐证</w:t>
            </w:r>
          </w:p>
        </w:tc>
        <w:tc>
          <w:tcPr>
            <w:tcW w:type="dxa" w:w="5426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[已研究] 冰岛2015—2019缩短工时试点结果：产出持平，员工满意度显著提升（Bjornsson et al., 2021）</w:t>
            </w:r>
          </w:p>
        </w:tc>
      </w:tr>
      <w:tr>
        <w:tc>
          <w:tcPr>
            <w:tcW w:type="dxa" w:w="1400"/>
            <w:shd w:fill="FFFB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5F9E"/>
                <w:sz w:val="18"/>
                <w:szCs w:val="18"/>
              </w:rPr>
              <w:t xml:space="preserve">[推断]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基于已知规律的合理外推，无直接数据</w:t>
            </w:r>
          </w:p>
        </w:tc>
        <w:tc>
          <w:tcPr>
            <w:tcW w:type="dxa" w:w="5426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[推断] 2035年后聚变LCOE将低于煤电——基于L2渗透期典型成本曲线类比</w:t>
            </w:r>
          </w:p>
        </w:tc>
      </w:tr>
      <w:tr>
        <w:tc>
          <w:tcPr>
            <w:tcW w:type="dxa" w:w="1400"/>
            <w:shd w:fill="FFFB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D26E00"/>
                <w:sz w:val="18"/>
                <w:szCs w:val="18"/>
              </w:rPr>
              <w:t xml:space="preserve">[假设]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创作选择，无强证据支持，需后续核实</w:t>
            </w:r>
          </w:p>
        </w:tc>
        <w:tc>
          <w:tcPr>
            <w:tcW w:type="dxa" w:w="5426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[假设] 2028年台海危机以封锁为主要手段，登陆为次要威胁——战略判断，非历史先例</w:t>
            </w:r>
          </w:p>
        </w:tc>
      </w:tr>
      <w:tr>
        <w:tc>
          <w:tcPr>
            <w:tcW w:type="dxa" w:w="1400"/>
            <w:shd w:fill="FFFB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B22222"/>
                <w:sz w:val="18"/>
                <w:szCs w:val="18"/>
              </w:rPr>
              <w:t xml:space="preserve">[待核实]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存疑数字或描述，需查文献确认</w:t>
            </w:r>
          </w:p>
        </w:tc>
        <w:tc>
          <w:tcPr>
            <w:tcW w:type="dxa" w:w="5426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[待核实] BSC覆盖30%成年人口——数字来源不明，需核对</w:t>
            </w:r>
          </w:p>
        </w:tc>
      </w:tr>
      <w:tr>
        <w:tc>
          <w:tcPr>
            <w:tcW w:type="dxa" w:w="1400"/>
            <w:shd w:fill="FFFB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A2878"/>
                <w:sz w:val="18"/>
                <w:szCs w:val="18"/>
              </w:rPr>
              <w:t xml:space="preserve">[虚构]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纯粹世界观设定，不追求现实映射</w:t>
            </w:r>
          </w:p>
        </w:tc>
        <w:tc>
          <w:tcPr>
            <w:tcW w:type="dxa" w:w="5426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[虚构] Muule具有手机-车辆一体化数字身份——设定专有，无现实对应</w:t>
            </w:r>
          </w:p>
        </w:tc>
      </w:tr>
    </w:tbl>
    <w:p>
      <w:pPr>
        <w:spacing w:after="3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二、标注规则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　标签位置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标签直接嵌入正文，放在被标注的语句或数据之后。不建立独立注释层。</w:t>
      </w:r>
    </w:p>
    <w:p>
      <w:pPr>
        <w:shd w:fill="F0F0F0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示例：2037年聚变商业并网首个电站投入运营。[已研究] 参考ITER进展及主流预测。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　多标签并列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同一语句可并列多个标签。顺序建议：已研究 &gt; 推断 &gt; 假设 &gt; 待核实。</w:t>
      </w:r>
    </w:p>
    <w:p>
      <w:pPr>
        <w:shd w:fill="F0F0F0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示例：BSC覆盖率预计20—‘40%成年人口。[推断][待核实]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　章节头标注（可选）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对证据基础弱的整节，可在章节标题后添加总体说明：</w:t>
      </w:r>
    </w:p>
    <w:p>
      <w:pPr>
        <w:shd w:fill="F0F0F0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示例：### 7.5.4　台海冲突（2028—2029）[假设主，已研究辅]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2.4　不需要标注的内容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以下内容不需要标签：① 纯逢辑推理（无具体数据）；② 世界观内部定义的概念；③ 明确标注为「虚构」的设定性内容。</w:t>
      </w:r>
    </w:p>
    <w:p>
      <w:pPr>
        <w:spacing w:after="24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三、标准章节模板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每个新写或扩写的章节建议遵循以下四级结构。层级可根据章节长度简化。</w:t>
      </w:r>
    </w:p>
    <w:p>
      <w:pPr>
        <w:spacing w:after="120" w:before="0"/>
      </w:pPr>
    </w:p>
    <w:tbl>
      <w:tblPr>
        <w:tblW w:type="dxa" w:w="9026"/>
        <w:tblBorders>
          <w:top w:val="single" w:color="2E5F9E" w:sz="4"/>
          <w:left w:val="single" w:color="2E5F9E" w:sz="4"/>
          <w:bottom w:val="single" w:color="2E5F9E" w:sz="4"/>
          <w:right w:val="single" w:color="2E5F9E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2E5F9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7826"/>
            <w:shd w:fill="2E5F9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2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核心主张</w:t>
            </w:r>
          </w:p>
        </w:tc>
        <w:tc>
          <w:tcPr>
            <w:tcW w:type="dxa" w:w="7826"/>
            <w:shd w:fill="FAFC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本节要回答的核心问题是什么？这里的结论是一句话能说清楚的。</w:t>
            </w:r>
          </w:p>
        </w:tc>
      </w:tr>
      <w:tr>
        <w:tc>
          <w:tcPr>
            <w:tcW w:type="dxa" w:w="1200"/>
            <w:shd w:fill="FAFB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内容层</w:t>
            </w:r>
          </w:p>
        </w:tc>
        <w:tc>
          <w:tcPr>
            <w:tcW w:type="dxa" w:w="7826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具体推演、数据、历史、比较、机制说明。嵌入证据标签。</w:t>
            </w:r>
          </w:p>
        </w:tc>
      </w:tr>
      <w:tr>
        <w:tc>
          <w:tcPr>
            <w:tcW w:type="dxa" w:w="12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外部关联</w:t>
            </w:r>
          </w:p>
        </w:tc>
        <w:tc>
          <w:tcPr>
            <w:tcW w:type="dxa" w:w="7826"/>
            <w:shd w:fill="FAFC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前决条件来自哪些章节，后续影响哪些章节。用“见X.X节”形式。</w:t>
            </w:r>
          </w:p>
        </w:tc>
      </w:tr>
      <w:tr>
        <w:tc>
          <w:tcPr>
            <w:tcW w:type="dxa" w:w="1200"/>
            <w:shd w:fill="FAFB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待完善</w:t>
            </w:r>
          </w:p>
        </w:tc>
        <w:tc>
          <w:tcPr>
            <w:tcW w:type="dxa" w:w="7826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明确标注哪些数据待查、哪些判断待专家确认。</w:t>
            </w:r>
          </w:p>
        </w:tc>
      </w:tr>
    </w:tbl>
    <w:p>
      <w:pPr>
        <w:spacing w:after="3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　可拷贝的空白模板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复制以下块加入新章节时使用：</w:t>
      </w:r>
    </w:p>
    <w:p>
      <w:pPr>
        <w:spacing w:after="12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X.X.X　章节标题（在此填写）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《使用说明》需要填写的字段用【方括号】标注，缩写一律先用中文全称。</w:t>
      </w:r>
    </w:p>
    <w:p>
      <w:pPr>
        <w:spacing w:after="80" w:before="0"/>
      </w:pP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核心主张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【必填】本节要回答的核心问题：如何？为什么？结果是什么？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内容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【填写正文】内容层次建议：“结论 → 机制 → 影响”或“历史 → 现状 → 趋势”。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标注与证据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将证据标签直接嵌入正文后，格式：「证据内容 [已研究/推断/假设/待核实/虚构]」。不追求学术引用格式。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与其他节的关联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先决条件：见 X.X.X 节 | 后续影响：见 X.X.X 节</w:t>
      </w:r>
    </w:p>
    <w:p>
      <w:pPr>
        <w:spacing w:after="3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四、标注概览示例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以下为示例用法。实际使用时，可将本表扩展为全文各章节标注汇总表。</w:t>
      </w:r>
    </w:p>
    <w:p>
      <w:pPr>
        <w:spacing w:after="120" w:before="0"/>
      </w:pPr>
    </w:p>
    <w:tbl>
      <w:tblPr>
        <w:tblW w:type="dxa" w:w="9026"/>
        <w:tblBorders>
          <w:top w:val="single" w:color="2E5F9E" w:sz="4"/>
          <w:left w:val="single" w:color="2E5F9E" w:sz="4"/>
          <w:bottom w:val="single" w:color="2E5F9E" w:sz="4"/>
          <w:right w:val="single" w:color="2E5F9E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600"/>
        <w:gridCol w:w="4726"/>
      </w:tblGrid>
      <w:tr>
        <w:trPr>
          <w:tblHeader/>
        </w:trPr>
        <w:tc>
          <w:tcPr>
            <w:tcW w:type="dxa" w:w="700"/>
            <w:shd w:fill="2E5F9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章节</w:t>
            </w:r>
          </w:p>
        </w:tc>
        <w:tc>
          <w:tcPr>
            <w:tcW w:type="dxa" w:w="1000"/>
            <w:shd w:fill="2E5F9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领域</w:t>
            </w:r>
          </w:p>
        </w:tc>
        <w:tc>
          <w:tcPr>
            <w:tcW w:type="dxa" w:w="2600"/>
            <w:shd w:fill="2E5F9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标题</w:t>
            </w:r>
          </w:p>
        </w:tc>
        <w:tc>
          <w:tcPr>
            <w:tcW w:type="dxa" w:w="4726"/>
            <w:shd w:fill="2E5F9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标签备注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F9E"/>
                <w:sz w:val="16"/>
                <w:szCs w:val="16"/>
              </w:rPr>
              <w:t xml:space="preserve">3.2.1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聚变主线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从净能量输出到商业并网（2037—2046）</w:t>
            </w:r>
          </w:p>
        </w:tc>
        <w:tc>
          <w:tcPr>
            <w:tcW w:type="dxa" w:w="4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[已研究] 净能量输出时间轴参考ITER/NIF进展及主流预测；[推断] 商业并网速度参考太阳能L2曲线类比</w:t>
            </w:r>
          </w:p>
        </w:tc>
      </w:tr>
      <w:tr>
        <w:tc>
          <w:tcPr>
            <w:tcW w:type="dxa" w:w="700"/>
            <w:shd w:fill="F2F7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F9E"/>
                <w:sz w:val="16"/>
                <w:szCs w:val="16"/>
              </w:rPr>
              <w:t xml:space="preserve">4.7.2</w:t>
            </w:r>
          </w:p>
        </w:tc>
        <w:tc>
          <w:tcPr>
            <w:tcW w:type="dxa" w:w="1000"/>
            <w:shd w:fill="F2F7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劳动经济</w:t>
            </w:r>
          </w:p>
        </w:tc>
        <w:tc>
          <w:tcPr>
            <w:tcW w:type="dxa" w:w="2600"/>
            <w:shd w:fill="F2F7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标准工时的历史收缩路径与2072年均衡</w:t>
            </w:r>
          </w:p>
        </w:tc>
        <w:tc>
          <w:tcPr>
            <w:tcW w:type="dxa" w:w="4726"/>
            <w:shd w:fill="F2F7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[已研究] 工时缩短历史数据（1870—2020）有充分统计；[假设] 2050年均衡工时20小时/周——基于V1高位推断，非实证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F9E"/>
                <w:sz w:val="16"/>
                <w:szCs w:val="16"/>
              </w:rPr>
              <w:t xml:space="preserve">7.5.4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地缘政治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台海冲突（2028—2029）</w:t>
            </w:r>
          </w:p>
        </w:tc>
        <w:tc>
          <w:tcPr>
            <w:tcW w:type="dxa" w:w="4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[假设] 冲突形态与时序为创作判断；[已研究] 封锁战略可行性有学术支撑（Beckley 2017, Hammes 2012）；[待核实] 经济融合速度</w:t>
            </w:r>
          </w:p>
        </w:tc>
      </w:tr>
    </w:tbl>
    <w:p>
      <w:pPr>
        <w:spacing w:after="3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五、术语缩写规范（与v100一致）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主文中缩写词第一次出现时使用格式：「中文全称（英文缩写）」，后续出现直接用缩写。</w:t>
      </w:r>
    </w:p>
    <w:p>
      <w:pPr>
        <w:spacing w:after="120" w:before="0"/>
      </w:pPr>
    </w:p>
    <w:tbl>
      <w:tblPr>
        <w:tblW w:type="dxa" w:w="9026"/>
        <w:tblBorders>
          <w:top w:val="single" w:color="2E5F9E" w:sz="4"/>
          <w:left w:val="single" w:color="2E5F9E" w:sz="4"/>
          <w:bottom w:val="single" w:color="2E5F9E" w:sz="4"/>
          <w:right w:val="single" w:color="2E5F9E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shd w:fill="2E5F9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缩写</w:t>
            </w:r>
          </w:p>
        </w:tc>
        <w:tc>
          <w:tcPr>
            <w:tcW w:type="dxa" w:w="3200"/>
            <w:shd w:fill="2E5F9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首次出现格式</w:t>
            </w:r>
          </w:p>
        </w:tc>
        <w:tc>
          <w:tcPr>
            <w:tcW w:type="dxa" w:w="4026"/>
            <w:shd w:fill="2E5F9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示例语境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5F9E"/>
                <w:sz w:val="18"/>
                <w:szCs w:val="18"/>
              </w:rPr>
              <w:t xml:space="preserve">BSC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基本支持积分（BSC）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基本支持积分（BSC）覆盖食品、医疗、住房、教育、交通五大领域。</w:t>
            </w:r>
          </w:p>
        </w:tc>
      </w:tr>
      <w:tr>
        <w:tc>
          <w:tcPr>
            <w:tcW w:type="dxa" w:w="1800"/>
            <w:shd w:fill="F2F7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5F9E"/>
                <w:sz w:val="18"/>
                <w:szCs w:val="18"/>
              </w:rPr>
              <w:t xml:space="preserve">AGI</w:t>
            </w:r>
          </w:p>
        </w:tc>
        <w:tc>
          <w:tcPr>
            <w:tcW w:type="dxa" w:w="3200"/>
            <w:shd w:fill="F2F7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通用人工智能（AGI）</w:t>
            </w:r>
          </w:p>
        </w:tc>
        <w:tc>
          <w:tcPr>
            <w:tcW w:type="dxa" w:w="4026"/>
            <w:shd w:fill="F2F7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通用人工智能（AGI）拓展节点在本文件设定为2027年。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5F9E"/>
                <w:sz w:val="18"/>
                <w:szCs w:val="18"/>
              </w:rPr>
              <w:t xml:space="preserve">LCOE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均化度电成本（LCOE）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聚变均化度电成本（LCOE）预计将在两射2060年前后据降至超竞争区间。</w:t>
            </w:r>
          </w:p>
        </w:tc>
      </w:tr>
      <w:tr>
        <w:tc>
          <w:tcPr>
            <w:tcW w:type="dxa" w:w="1800"/>
            <w:shd w:fill="F2F7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5F9E"/>
                <w:sz w:val="18"/>
                <w:szCs w:val="18"/>
              </w:rPr>
              <w:t xml:space="preserve">WIG</w:t>
            </w:r>
          </w:p>
        </w:tc>
        <w:tc>
          <w:tcPr>
            <w:tcW w:type="dxa" w:w="3200"/>
            <w:shd w:fill="F2F7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地效应飞行器（WIG）</w:t>
            </w:r>
          </w:p>
        </w:tc>
        <w:tc>
          <w:tcPr>
            <w:tcW w:type="dxa" w:w="4026"/>
            <w:shd w:fill="F2F7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地效应飞行器（WIG）适用于跨洋大宗货物速度层。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5F9E"/>
                <w:sz w:val="18"/>
                <w:szCs w:val="18"/>
              </w:rPr>
              <w:t xml:space="preserve">SAF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合成航空燃料（SAF）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合成航空燃料（SAF）将是2072年长途航空的主要能源。</w:t>
            </w:r>
          </w:p>
        </w:tc>
      </w:tr>
      <w:tr>
        <w:tc>
          <w:tcPr>
            <w:tcW w:type="dxa" w:w="1800"/>
            <w:shd w:fill="F2F7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5F9E"/>
                <w:sz w:val="18"/>
                <w:szCs w:val="18"/>
              </w:rPr>
              <w:t xml:space="preserve">UBI</w:t>
            </w:r>
          </w:p>
        </w:tc>
        <w:tc>
          <w:tcPr>
            <w:tcW w:type="dxa" w:w="3200"/>
            <w:shd w:fill="F2F7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普遗基本收入（UBI）</w:t>
            </w:r>
          </w:p>
        </w:tc>
        <w:tc>
          <w:tcPr>
            <w:tcW w:type="dxa" w:w="4026"/>
            <w:shd w:fill="F2F7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UBI与BSC的布局差异在A1体系内王有争议。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2026-04-15T18:22:15.966Z</dcterms:created>
  <dcterms:modified xsi:type="dcterms:W3CDTF">2026-04-15T18:22:15.967Z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