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第八部分-日常质感待扩充"/>
    <w:p>
      <w:pPr>
        <w:pStyle w:val="Heading1"/>
      </w:pPr>
      <w:r>
        <w:t xml:space="preserve">第八部分　日常质感（待扩充）</w:t>
      </w:r>
    </w:p>
    <w:bookmarkStart w:id="26" w:name="年五条路径的日常质感"/>
    <w:p>
      <w:pPr>
        <w:pStyle w:val="Heading2"/>
      </w:pPr>
      <w:r>
        <w:t xml:space="preserve">8.1　2072年：五条路径的日常质感</w:t>
      </w:r>
    </w:p>
    <w:p>
      <w:pPr>
        <w:pStyle w:val="FirstParagraph"/>
      </w:pPr>
      <w:r>
        <w:t xml:space="preserve">以下不是统计描述，而是五种生活在同一物理年份、不同功能性历史时间里的人，各自的内在处境。</w:t>
      </w:r>
    </w:p>
    <w:bookmarkStart w:id="20" w:name="a1路径"/>
    <w:p>
      <w:pPr>
        <w:pStyle w:val="Heading3"/>
      </w:pPr>
      <w:r>
        <w:t xml:space="preserve">8.1.1　A1路径</w:t>
      </w:r>
    </w:p>
    <w:p>
      <w:pPr>
        <w:pStyle w:val="FirstParagraph"/>
      </w:pPr>
      <w:r>
        <w:t xml:space="preserve">选择空间前所未有地宽，但宽到失去地图的感觉。以前路是窄的但清晰，现在路是宽的但不知道自己在哪里。内部多态成熟之后，「选择你的速度」成为真实可能，但选择本身变成了负担——选错了意味着你本可以活得更好。意义危机有名字，文化产业持续生产关于它的内容，但命名不等于解决。技术受益者与功能性闲置者在同一座城市里生活，越来越少相遇。</w:t>
      </w:r>
    </w:p>
    <w:p>
      <w:pPr>
        <w:pStyle w:val="BodyText"/>
      </w:pPr>
      <w:r>
        <w:t xml:space="preserve">就业格局的内部分化比”工作减少”这个简单图景复杂。医疗和教育是AI时代少数就业需求上升的领域：老龄化扩大了护理和陪伴需求，教育中社会性塑造功能的不可替代性使教师岗位保持稳定甚至增加，职业门槛和薪资溢价随之上升。这与大量白领中层被AI系统性替代的现实并行存在，两种力量制造的是就业格局的极化，而非均匀收缩。24小时标准工时的确立改变了时间结构，育婴假在工时压缩后逐步延长，退休年龄随之下移——人生时间轴的重组正在悄然改变对”正常生命周期”的预期。</w:t>
      </w:r>
    </w:p>
    <w:p>
      <w:pPr>
        <w:pStyle w:val="BodyText"/>
      </w:pPr>
      <w:r>
        <w:t xml:space="preserve">体力劳动由机器人承担这一技术事实，在2072年已深刻重塑了地区社会形态的基础条件。经济参与的门槛完全转向认知能力、情感能力和稀缺判断力，这些能力的分布没有性别上的结构性差异。这是第一次，地区经济的性别样态脱离了历史上由体力劳动塑造的分工结构——不是政策推动的，而是技术条件改变后的自然结果。照料劳动和情感劳动仍然存在历史性的性别分布惯性，但惯性是在缓慢演变，而非在2072年就完全消失。</w:t>
      </w:r>
    </w:p>
    <w:p>
      <w:pPr>
        <w:pStyle w:val="BodyText"/>
      </w:pPr>
      <w:r>
        <w:rPr>
          <w:bCs/>
          <w:b/>
        </w:rPr>
        <w:t xml:space="preserve">城市群核心区</w:t>
      </w:r>
    </w:p>
    <w:p>
      <w:pPr>
        <w:pStyle w:val="BodyText"/>
      </w:pPr>
      <w:r>
        <w:t xml:space="preserve">AI资本受益者、稀缺人类能力持有者（复杂判断、情感劳动、创意策展、高端照料）、平台经济管理端在这里高度集中。工作机会稀缺但真实存在，且以市场溢价定价。高产出移民以劳动合同身份参与其中，不享受BSC，但归化路径明确可预期——完成居住年限和公民资格程序后，进入BSC保障网络。在过渡期内，他们依赖市场工资管理风险，市场表现良好时生活质量高于BSC依赖的公民，但经济周期下行时没有制度兜底，风险暴露真实存在。</w:t>
      </w:r>
    </w:p>
    <w:p>
      <w:pPr>
        <w:pStyle w:val="BodyText"/>
      </w:pPr>
      <w:r>
        <w:t xml:space="preserve">BSC覆盖核心区公民中的非就业人口，但住房成本极高，BSC的实际购买力在这里最低。依赖BSC的公民通常居住在高密度共享住宅，为有产出阶层提供照料、情感陪伴、社区维护服务，是城市中物质上生存、可见性却最低的人口层。他们与AI资本受益者在同一街区生活，但几乎不发生真实的社会交换。</w:t>
      </w:r>
    </w:p>
    <w:p>
      <w:pPr>
        <w:pStyle w:val="BodyText"/>
      </w:pPr>
      <w:r>
        <w:t xml:space="preserve">人口动态：工作机会的存在使年轻人口持续流入，老龄化程度低于全国。总人口在减少的大背景下相对稳定，是A1体系内人口结构最年轻的地带。社区样态最多元：精英协作社区、BSC互助公社、情感劳动市场、AI增强创意工坊并行存在，彼此真实交流稀少，是并行现实最密集的地带。意义危机在这里最容易被公开命名，但命名往往被导入身份政治——AI资本所有权、数据权利、公民与移民边界的争论消耗大量政治能量，很少转化为稳定的制度输出。</w:t>
      </w:r>
    </w:p>
    <w:p>
      <w:pPr>
        <w:pStyle w:val="BodyText"/>
      </w:pPr>
      <w:r>
        <w:rPr>
          <w:bCs/>
          <w:b/>
        </w:rPr>
        <w:t xml:space="preserve">中型城市与城市群外围区</w:t>
      </w:r>
    </w:p>
    <w:p>
      <w:pPr>
        <w:pStyle w:val="BodyText"/>
      </w:pPr>
      <w:r>
        <w:t xml:space="preserve">总产出接近或略低于消耗，BSC覆盖公民占多数，生活成本相对可控，BSC实际购买力全国最高——基础食物、住房、医疗在这里的成本相对核心区低得多，依赖BSC的公民在这里的生活质量最接近其名义设计目标。这里是”BSC生活”真正可行的地带。</w:t>
      </w:r>
    </w:p>
    <w:p>
      <w:pPr>
        <w:pStyle w:val="BodyText"/>
      </w:pPr>
      <w:r>
        <w:t xml:space="preserve">工作机会减少但未消失：AI系统维护与巡检、设施协调、照料服务、本地教育、社区管理等岗位仍然存在。养老移民——从核心区退休后迁入以降低生活成本——带来稳定的外来财富，但这一流向有前提条件：只有当中型城市主动建设了有质量的老年医疗设施时，养老移民流入才会实际发生；管理良好的城市主动投资医疗，因此能够维持或扩大规模，管理差的城市无法形成这一循环，进入缓慢萎缩轨道。</w:t>
      </w:r>
    </w:p>
    <w:p>
      <w:pPr>
        <w:pStyle w:val="BodyText"/>
      </w:pPr>
      <w:r>
        <w:t xml:space="preserve">协商型政治在这里最活跃也最耗人。意义工作补贴、照料劳动认证、技能培训资金的分配都通过社区协商机制运作，产生了高度的协商疲劳：有时间参与讨论的人影响了没有时间参与的人，循环下去制造新型参与不平等。非正式声望系统弥补了协商机制的覆盖空白。代际张力：留下的人在问”这里的真实能维持多久”，准备离开的年轻人在问”我能把这里的积累带走吗”。</w:t>
      </w:r>
    </w:p>
    <w:p>
      <w:pPr>
        <w:pStyle w:val="BodyText"/>
      </w:pPr>
      <w:r>
        <w:rPr>
          <w:bCs/>
          <w:b/>
        </w:rPr>
        <w:t xml:space="preserve">小城镇与乡村社区</w:t>
      </w:r>
    </w:p>
    <w:p>
      <w:pPr>
        <w:pStyle w:val="BodyText"/>
      </w:pPr>
      <w:r>
        <w:t xml:space="preserve">市场已经退出，BSC仍在。这一组合产生了独特的生态条件：没有外部雇主，但有基础生存保障；没有正式经济活动，但有真实的社会需求需要被满足。非正式经济自发填补了正式经济的空白——技能交换、旧物改造、照料劳动、手工精品、地方知识传递在长期低资源条件下演化为自洽的价值体系，本地声望系统是真正运作的分配机制。</w:t>
      </w:r>
    </w:p>
    <w:p>
      <w:pPr>
        <w:pStyle w:val="BodyText"/>
      </w:pPr>
      <w:r>
        <w:t xml:space="preserve">体力劳动消失对乡村的冲击是一个2030至2060年间的渐进过程，不是已经完成的事实。到2072年，建筑业和农业的机器人化已经接近完成，原先维系乡村男性经济地位的重体力产业类工作实质上消失，性别分工的经济基础被移走。这一转变不是政策推动的，也没有在话语上被特别标注，但日常生活中的影响是深层的：家庭内部的权威结构、社区内的性别期待，都在与这一经济现实缓慢协商。</w:t>
      </w:r>
    </w:p>
    <w:p>
      <w:pPr>
        <w:pStyle w:val="BodyText"/>
      </w:pPr>
      <w:r>
        <w:t xml:space="preserve">部分社区吸引了主动选择”退出市场生活”的新移民，带入外来技能和财富，与本地BSC人口之间形成互补，可以实现净增长。但总体轨迹是衰退。学校关闭是人口加速流失的触发点——学校不只是教育设施，更是家长社群的核心组织节点，学校消失后社区凝聚力通常在数年内显著下降。关键技能持有者的离开往往无法补位。</w:t>
      </w:r>
    </w:p>
    <w:p>
      <w:pPr>
        <w:pStyle w:val="BodyText"/>
      </w:pPr>
      <w:r>
        <w:t xml:space="preserve">慢生活社区是多态社区实验最集中的地带，原因正是低约束性：没有大量资本利益需要保护，没有高密度人口需要统一管理，新社区模式在这里的试错成本最低。但”选择慢速”和”只能慢速”是两种完全不同的内在经验，他们可能在同一条路上，彼此都以为对方和自己一样。</w:t>
      </w:r>
    </w:p>
    <w:p>
      <w:pPr>
        <w:pStyle w:val="BodyText"/>
      </w:pPr>
      <w:r>
        <w:rPr>
          <w:bCs/>
          <w:b/>
        </w:rPr>
        <w:t xml:space="preserve">深海采矿城镇</w:t>
      </w:r>
    </w:p>
    <w:p>
      <w:pPr>
        <w:pStyle w:val="BodyText"/>
      </w:pPr>
      <w:r>
        <w:t xml:space="preserve">A1深海城镇是经济充裕的小型公民自治社区。私营矿业资本建设和运营基础设施，但居民是完整意义上的公民，适用普通公民的全套权利框架。规模小、移民严格筛选、资源相对充裕，这三个条件叠加使深海城镇成为2072年治理成本最低的社区类型之一——矛盾少，管理容易。</w:t>
      </w:r>
    </w:p>
    <w:p>
      <w:pPr>
        <w:pStyle w:val="BodyText"/>
      </w:pPr>
      <w:r>
        <w:t xml:space="preserve">治理结构因此可以极度精简：居民选出一个镇长和一个治安官，在居民日常配合下就能运转，不需要复杂的官僚机构。这不是象征性的民主，而是规模够小使选举结果真实反映居民意志、当选者认识大多数选民的直接民主形态。矿业公司的运营权与社区自治权之间有明确边界：公司管生产，社区管生活。这条边界在实践中存在摩擦——资本会渗透社区决策，社区也对生产条件提出要求——但边界本身是真实的，双方都知道它在哪里。</w:t>
      </w:r>
    </w:p>
    <w:p>
      <w:pPr>
        <w:pStyle w:val="BodyText"/>
      </w:pPr>
      <w:r>
        <w:t xml:space="preserve">体力劳动由深海自主系统承担，人类职能集中在远端操控、设备异常判断、工程维护决策和管理协调，与性别无关，社区性别构成由人才供给自然决定。深海城镇是功能完整的居住社区：有教育、医疗、娱乐设施，有长期定居家庭，有在这里出生的孩子。财政上是净贡献者：高工资产生大量消费税和所得税，消耗的联邦公共服务相对有限。</w:t>
      </w:r>
    </w:p>
    <w:p>
      <w:pPr>
        <w:pStyle w:val="BodyText"/>
      </w:pPr>
      <w:r>
        <w:t xml:space="preserve">特有张力在于物理隔绝与公民权利之间的落差：法庭在陆地，记者在陆地，政治代表在陆地，</w:t>
      </w:r>
      <w:r>
        <w:t xml:space="preserve">“</w:t>
      </w:r>
      <w:r>
        <w:t xml:space="preserve">你有权利诉诸外部机制</w:t>
      </w:r>
      <w:r>
        <w:t xml:space="preserve">”</w:t>
      </w:r>
      <w:r>
        <w:t xml:space="preserve">和”你实际上很难这么做”同时为真。封闭空间的强制接近性使社区内的关系压力与陆地不同，冲突解决规范在相对隔绝的条件下自发演化。长期在这里生活的人与陆地城市之间形成了日常经验上的鸿沟，返陆后的适应困难是普遍的。</w:t>
      </w:r>
    </w:p>
    <w:p>
      <w:pPr>
        <w:pStyle w:val="BodyText"/>
      </w:pPr>
      <w:r>
        <w:rPr>
          <w:bCs/>
          <w:b/>
        </w:rPr>
        <w:t xml:space="preserve">归化过渡层（横跨各类地区的制度性状态）</w:t>
      </w:r>
    </w:p>
    <w:p>
      <w:pPr>
        <w:pStyle w:val="BodyText"/>
      </w:pPr>
      <w:r>
        <w:t xml:space="preserve">这不是地理类型，而是一个存在于各类地区内部的制度性处境。高产出移民在归化完成之前完全依赖市场工资自持，没有BSC兜底。这是机制的设计边界，不是遗漏：能在低保障条件下自持数年，本身是归化资格的隐性证明。大多数处于过渡期的移民工资高于BSC保障线，正常状态下生活质量并不低；真正的脆弱性集中在合同中断或经济下行时——没有缓冲，风险暴露是真实的。</w:t>
      </w:r>
    </w:p>
    <w:p>
      <w:pPr>
        <w:pStyle w:val="BodyText"/>
      </w:pPr>
      <w:r>
        <w:t xml:space="preserve">归化完成后处境发生实质性转变，不只是物质上的，也是身份认同上的。过渡期积累的警觉性不随归化完成而消失：对制度保障的珍视往往比出生公民更强烈，对经济周期的敏感度更高。这类人在社区中通常是最不愿意冒险的那一批，也是最清楚BSC实际价值的那一批。</w:t>
      </w:r>
    </w:p>
    <w:bookmarkEnd w:id="20"/>
    <w:bookmarkStart w:id="21" w:name="a2路径"/>
    <w:p>
      <w:pPr>
        <w:pStyle w:val="Heading3"/>
      </w:pPr>
      <w:r>
        <w:t xml:space="preserve">8.1.2　A2路径</w:t>
      </w:r>
    </w:p>
    <w:p>
      <w:pPr>
        <w:pStyle w:val="FirstParagraph"/>
      </w:pPr>
      <w:r>
        <w:t xml:space="preserve">基本生存需求通过配给体系覆盖，私人领域的选择空间在不触碰政治边界的范围内相当宽泛，只是需求边界本身由制度定义而非个人决定。政治边界本身已经很少需要被明确划出——AI环境塑造使大多数人自然不会走向那个方向。不是压迫感，是背景噪音。意义危机已经沉淀了将近二十年，大多数人找到了某种与它共处的方式：公共场合表演合规，私人生活退缩到可以不被解释的空间里。慢生活社区是这个退缩的物理形式——不是反抗，只是暂时停止被系统需要。</w:t>
      </w:r>
    </w:p>
    <w:p>
      <w:pPr>
        <w:pStyle w:val="BodyText"/>
      </w:pPr>
      <w:r>
        <w:t xml:space="preserve">分配体系在生活层面制造了清晰可感的两重世界：有工作单位的人口以货币薪资为主要收入，在市场上保留相当的消费自主权；依赖供应票据的人口消费选择被框定在规定品类内，日常节律围绕配给的品类和衰减周期运转。两重世界并非封闭——考试和选拔提供了真实但竞争激烈的流动通道，成功者的故事被系统性呈现——但差距是结构性的，不会因个别流动而消解。</w:t>
      </w:r>
    </w:p>
    <w:p>
      <w:pPr>
        <w:pStyle w:val="BodyText"/>
      </w:pPr>
      <w:r>
        <w:t xml:space="preserve">A2的分析逻辑以配给替代BSC，以行政引导替代市场流动。核心机制：配给额度和质量与绩效挂钩，城市落户依赖积分制形成软性门槛，人口流向通过差异化激励而非强制管控。</w:t>
      </w:r>
    </w:p>
    <w:p>
      <w:pPr>
        <w:pStyle w:val="BodyText"/>
      </w:pPr>
      <w:r>
        <w:t xml:space="preserve">农村户口作为独立制度类别将成为历史。AI替代使农村劳动力与城市劳动力面临同样的结构性失业压力，差异消失后维持城乡二元户籍体系的行政成本无法被正当化。农业人口逐步纳入与市民相同的社保配给体系，制度性身份区隔转变为事实上的地理与机会差异。农业本身高度集中化、工业化：大型农业自动化综合体取代分散耕作，为提高资源效率和应对人口老龄化，人口向城市集群进一步集中。村庄和小镇在2030—2060年间大量消失，这是国家规划主导的主动清理，不是市场退出的自然结果。被迁移人口由国家提供安置，安置质量与战略优先级挂钩，低优先级地区的安置通常是城市边缘的最低限度住房配给。</w:t>
      </w:r>
    </w:p>
    <w:p>
      <w:pPr>
        <w:pStyle w:val="BodyText"/>
      </w:pPr>
      <w:r>
        <w:t xml:space="preserve">体力劳动消失的技术条件与A1相同，但在A2语境下，性别经济关系的演变被刻意低叙事化——这不是话题禁区，而是官方叙事不鼓励围绕此类议题进行公开讨论的背景效果。配给数额层面可以是性别等同的，但绩效晋升通道的历史性别分布不因体力劳动消失而自动对称，两者需要分开讨论。</w:t>
      </w:r>
    </w:p>
    <w:p>
      <w:pPr>
        <w:pStyle w:val="BodyText"/>
      </w:pPr>
      <w:r>
        <w:rPr>
          <w:bCs/>
          <w:b/>
        </w:rPr>
        <w:t xml:space="preserve">城市集群核心区</w:t>
      </w:r>
    </w:p>
    <w:p>
      <w:pPr>
        <w:pStyle w:val="BodyText"/>
      </w:pPr>
      <w:r>
        <w:t xml:space="preserve">技术官僚体系执行端、AI基础设施管理人员、高端制造与研发人员在这里高度集中。落户积分制使进入门槛明确可预期，高贡献者获得完整城市身份和最高等级配给（更大住房面积分配优先权、更快医疗通道、更密集公共文化设施）。配给的可预期性是这里最重要的社会事实，居民知道自己能得到什么，知道如何在绩效体系中定位自己。</w:t>
      </w:r>
    </w:p>
    <w:p>
      <w:pPr>
        <w:pStyle w:val="BodyText"/>
      </w:pPr>
      <w:r>
        <w:t xml:space="preserve">配给满足统计意义上的平均需求，但无法满足每个人”被当作具体的人对待”的需求。有意思的事情往往在私下发生，在公共场合不被讨论。绩效与配给挂钩制造了弥散性表现焦虑：努力是必要的，但努力的具体方向不总是透明，不确定自己的行为是否被正确计分形成持续低度压力。</w:t>
      </w:r>
    </w:p>
    <w:p>
      <w:pPr>
        <w:pStyle w:val="BodyText"/>
      </w:pPr>
      <w:r>
        <w:t xml:space="preserve">大量来自原农村区域的人口居住在城市，从事非正式服务业，构成城市非正式经济的主体。户籍制度消亡后，他们在名义上与城市居民身份等同，但落户积分的积累速度因岗位性质差异显著——非正式服务业的积分积累缓慢，意味着在实践中长期无法获得完整城市身份的配给优先权。制度性身份区隔已经消失，机会性差距顽固存在。这不再是”你是农村人”，而是”你的岗位不够高”——话语上更难被质疑，在实践中同样制造出阶层固化的效果。</w:t>
      </w:r>
    </w:p>
    <w:p>
      <w:pPr>
        <w:pStyle w:val="BodyText"/>
      </w:pPr>
      <w:r>
        <w:rPr>
          <w:bCs/>
          <w:b/>
        </w:rPr>
        <w:t xml:space="preserve">标准配给区</w:t>
      </w:r>
    </w:p>
    <w:p>
      <w:pPr>
        <w:pStyle w:val="BodyText"/>
      </w:pPr>
      <w:r>
        <w:t xml:space="preserve">A2人口最密集的地带，配给稳定，总产出接近消耗，行政体系完整在场。配给覆盖食物、住房、基础医疗，额度与地区整体绩效评估挂钩，个人无法脱离集体绩效单独优化。AI辅助情绪监测、社区参与项目、正向叙事建构是主要稳定维护机制。痛苦倾向于被制度静默吸收，而非公开命名。</w:t>
      </w:r>
    </w:p>
    <w:p>
      <w:pPr>
        <w:pStyle w:val="BodyText"/>
      </w:pPr>
      <w:r>
        <w:t xml:space="preserve">真实的生活发生在配给体系的缝隙里：私人关系、家庭内部的微小特殊性、非正式技能互换和情感支持网络在监管视野之外生长。缝隙是可预期的、稳定的，成为”系统管不到的地方”这种私人自由感的来源，对意义感有真实的支撑作用。</w:t>
      </w:r>
    </w:p>
    <w:p>
      <w:pPr>
        <w:pStyle w:val="BodyText"/>
      </w:pPr>
      <w:r>
        <w:t xml:space="preserve">代际问题：父母一代对配给体系有更高信任感（他们经历过更大的不确定性），年轻一代在接受稳定性的同时更清楚地感知选择空间的边界。这不是代际冲突，而是对同一套制度的不同情感权重。</w:t>
      </w:r>
    </w:p>
    <w:p>
      <w:pPr>
        <w:pStyle w:val="BodyText"/>
      </w:pPr>
      <w:r>
        <w:rPr>
          <w:bCs/>
          <w:b/>
        </w:rPr>
        <w:t xml:space="preserve">低优先级区</w:t>
      </w:r>
    </w:p>
    <w:p>
      <w:pPr>
        <w:pStyle w:val="BodyText"/>
      </w:pPr>
      <w:r>
        <w:t xml:space="preserve">计划体系覆盖最低限度，配给维持底线秩序，行政在场但资源有限。国家不放弃这类区域（放弃会产生失控风险），但也不真正投入（资源优先级更低）。结果是一种”最低维护”状态：国家清楚知道这里有人，选择以最低成本维持他们的在场。这与A1低速区”被市场放弃”的处境根本不同——A1的放弃是无人称的，是市场计算后的转身；A2的低投入是有主体的，是优先级排列的结果。后一种处境在心理上有时更难承受：不是被世界遗忘，而是被应该记住你的体系排到了最后。</w:t>
      </w:r>
    </w:p>
    <w:p>
      <w:pPr>
        <w:pStyle w:val="BodyText"/>
      </w:pPr>
      <w:r>
        <w:t xml:space="preserve">非正式经济在监管缝隙中存在，但受到隐性约束，规模和透明度都低于A1低速区。自发组织有足够的行政存在来约束，但没有足够资源来支撑有意义的制度生活。既无A1低速区”BSC加上自由自组织”的活力，也无A2中间层”配给加上完整行政支持”的稳定。</w:t>
      </w:r>
    </w:p>
    <w:p>
      <w:pPr>
        <w:pStyle w:val="BodyText"/>
      </w:pPr>
      <w:r>
        <w:rPr>
          <w:bCs/>
          <w:b/>
        </w:rPr>
        <w:t xml:space="preserve">战略资源区与重点建设区</w:t>
      </w:r>
    </w:p>
    <w:p>
      <w:pPr>
        <w:pStyle w:val="BodyText"/>
      </w:pPr>
      <w:r>
        <w:t xml:space="preserve">配给额度最高、质量最好，带有”战略性附加配给”，是A2体系内绩效展示功能最强的地带。这类地区由国家战略规划直接决定选址：能源生产基地、高端制造区、科研中心、重大基础设施节点的管理端。物质条件刻意维持在高水平，公共空间整洁，服务设施完备，文化活动丰富。但设施的存在逻辑是”体现制度效能”，而非”回应居民自发需求”。居民清楚这一点，通常不公开讨论。</w:t>
      </w:r>
    </w:p>
    <w:p>
      <w:pPr>
        <w:pStyle w:val="BodyText"/>
      </w:pPr>
      <w:r>
        <w:t xml:space="preserve">绩效压力在这里最显著：配给质量与个人绩效评估直接挂钩，评分低者可能被降配或行政调迁，稳定感和焦虑感同时为真。这里的岗位结构全部是认知、判断、协调类工作，性别比例由人才供给决定，不由产业需求决定。</w:t>
      </w:r>
    </w:p>
    <w:p>
      <w:pPr>
        <w:pStyle w:val="BodyText"/>
      </w:pPr>
      <w:r>
        <w:rPr>
          <w:bCs/>
          <w:b/>
        </w:rPr>
        <w:t xml:space="preserve">深海采矿城镇</w:t>
      </w:r>
    </w:p>
    <w:p>
      <w:pPr>
        <w:pStyle w:val="BodyText"/>
      </w:pPr>
      <w:r>
        <w:t xml:space="preserve">A2深海城镇是国有企业办社会的现代变体。国有矿业集团不只是生产主体，也是社区的全部管理主体：住房、医疗、教育、配给、日常秩序，全部通过企业及其保安部门运作。这不是制度设计的异常，而是封闭环境中企业管理权自然延伸的结果——外部行政机构不在场，内部管理结构填补了这个空间。</w:t>
      </w:r>
    </w:p>
    <w:p>
      <w:pPr>
        <w:pStyle w:val="BodyText"/>
      </w:pPr>
      <w:r>
        <w:t xml:space="preserve">治理结构极度精简，运转成本极低：资源充裕、移民严格筛选、人口规模小，矛盾少，管理容易。企业保安部承担纠纷仲裁、违规处罚和日常秩序维护的全部功能，理论上受上级国有企业总部约束，但总部在陆地，信息传递有延迟，现场执行标准很大程度上由保安负责人的判断决定。高薪和严格的绩效考核使公然滥权的成本很高，日常运作通常平稳。问题不在于系统日常失灵，而在于当系统失灵时没有外部纠偏机制——申诉路径是企业内部的，裁判是企业内部的，执行也是企业内部的。</w:t>
      </w:r>
    </w:p>
    <w:p>
      <w:pPr>
        <w:pStyle w:val="BodyText"/>
      </w:pPr>
      <w:r>
        <w:t xml:space="preserve">居民以国家分配岗位的形式进入，深海岗位是高绩效激励路径的一种，完成规定服务期后可获得城市集群核心区的落户积分加成。体力劳动由深海自主系统承担，人类职能集中在异常判断和管理协调，与性别无关。社区功能完整，有长期定居家庭和在这里出生的孩子。信息环境对外部技术信息相对开放，对政治内容高度管控，与陆地标准配给区相比是管控结构不同而非更严。</w:t>
      </w:r>
    </w:p>
    <w:bookmarkEnd w:id="21"/>
    <w:bookmarkStart w:id="22" w:name="欧洲路径"/>
    <w:p>
      <w:pPr>
        <w:pStyle w:val="Heading3"/>
      </w:pPr>
      <w:r>
        <w:t xml:space="preserve">8.1.3　欧洲路径</w:t>
      </w:r>
    </w:p>
    <w:p>
      <w:pPr>
        <w:pStyle w:val="FirstParagraph"/>
      </w:pPr>
      <w:r>
        <w:t xml:space="preserve">制度说你有价值，法律保护你的慢生活选择权，福利体系覆盖你的基本需求。但制度的保障和内在的感受之间有一道缝隙：被告知有价值，和感受到被需要，是两件不同的事。这道缝隙是欧洲版意义危机的具体形态——比美国更安静，比中国更可以被公开讨论，但同样真实。</w:t>
      </w:r>
    </w:p>
    <w:bookmarkEnd w:id="22"/>
    <w:bookmarkStart w:id="23" w:name="全球南方路径中国体系内"/>
    <w:p>
      <w:pPr>
        <w:pStyle w:val="Heading3"/>
      </w:pPr>
      <w:r>
        <w:t xml:space="preserve">8.1.4　全球南方路径（中国体系内）</w:t>
      </w:r>
    </w:p>
    <w:p>
      <w:pPr>
        <w:pStyle w:val="FirstParagraph"/>
      </w:pPr>
      <w:r>
        <w:t xml:space="preserve">技术红利刚刚开始渗透，物质生活可见改善，但改善的速度和身边某些人相比让人沮丧。没有明确的愤怒对象。社区里开始分成两种人：进入聚变体系的和没有的，两种人已经开始说不同的语言。意义危机尚未到来——还在处理更基本的问题——但能隐约看见它在前方等待。</w:t>
      </w:r>
    </w:p>
    <w:bookmarkEnd w:id="23"/>
    <w:bookmarkStart w:id="24" w:name="被遗忘地带"/>
    <w:p>
      <w:pPr>
        <w:pStyle w:val="Heading3"/>
      </w:pPr>
      <w:r>
        <w:t xml:space="preserve">8.1.5　被遗忘地带</w:t>
      </w:r>
    </w:p>
    <w:p>
      <w:pPr>
        <w:pStyle w:val="FirstParagraph"/>
      </w:pPr>
      <w:r>
        <w:t xml:space="preserve">外面的世界在讲一种听不懂的语言。但这里还是日升日落，还是需要彼此，还是知道今天要做什么。没有意义危机，不是因为问题被解决了，而是因为生存本身仍然提供足够的结构。这里的慢速不是选择，是唯一的速度——也因此，慢速本身不产生任何特别的意义，就像空气不产生意义一样。</w:t>
      </w:r>
    </w:p>
    <w:bookmarkEnd w:id="24"/>
    <w:bookmarkStart w:id="25" w:name="a1与a2地区形态对照"/>
    <w:p>
      <w:pPr>
        <w:pStyle w:val="Heading3"/>
      </w:pPr>
      <w:r>
        <w:t xml:space="preserve">8.1.6　A1与A2地区形态对照</w:t>
      </w:r>
    </w:p>
    <w:p>
      <w:pPr>
        <w:pStyle w:val="FirstParagraph"/>
      </w:pPr>
      <w:r>
        <w:t xml:space="preserve">两套体系的地区分化有一个对称的深层逻辑。A1的地区差异主要是市场覆盖与市场退出的差异，BSC是统一的制度底线，地区之间的分化体现在BSC之上能够建立什么；A2的地区差异主要是配给质量与绩效等级的差异，体现在国家愿意为这个地区投入多少，以及居民如何在配给阶梯上定位自己。</w:t>
      </w:r>
    </w:p>
    <w:p>
      <w:pPr>
        <w:pStyle w:val="BodyText"/>
      </w:pPr>
      <w:r>
        <w:t xml:space="preserve">两者共同的技术背景是：体力劳动消失使经济参与的物理门槛消失，这是历史上第一次经济样态在结构层面与性别脱钩。但”脱钩”描述的是经济参与的门槛条件，不是社会关系的全貌。照料劳动和情感劳动中的历史性性别分布仍在缓慢演变，家庭结构和代际关系中的性别不对称不会因为体力门槛消失而自动消失。这是多态社会内部差异中最安静、最深层、也最难被命名的一条裂缝——在A1可以被公开讨论，在A2被刻意低叙事化，但两种体系都在面对同一个未解决的问题。</w:t>
      </w:r>
    </w:p>
    <w:p>
      <w:pPr>
        <w:pStyle w:val="BodyText"/>
      </w:pPr>
      <w:r>
        <w:t xml:space="preserve">照护机器人作为医疗设备的一部分，按与其他医疗设备相同的逻辑演化配置。高资源地区（城市群核心区、战略区、深海城镇）医疗配置完整，照护机器人覆盖率高，机器人承担老年照护和康复辅助的主要功能。中间层城市部分覆盖，设备可及但不均衡。低资源区（A1小城镇、A2低优先级区）医疗设施老化，照护机器人可及性低，人工照护仍是主要方式，历史性别分布的惯性在这里最为显著，也是2072年照护劳动性别不对称最集中的地带。这一分层在A1体系中沿医疗投资能力分化，在A2体系中沿配给优先级分化，但两套体系的地理结果高度相似：离核心越远，照护机器人越少，人工照护越多，女性承担的照护比重越高。</w:t>
      </w:r>
    </w:p>
    <w:p>
      <w:pPr>
        <w:pStyle w:val="BodyText"/>
      </w:pPr>
      <w:r>
        <w:t xml:space="preserve">地区社会形态是技术条件、制度安排和人口选择在半个世纪里相互作用的累积输出，不是任何单一设计的结果。它们的差异揭示的不是哪套体系更优越，而是同一套技术现实在不同制度逻辑下生成了哪些不同的生活质感——以及这些质感对于活在其中的人意味着什么。</w:t>
      </w:r>
    </w:p>
    <w:bookmarkEnd w:id="25"/>
    <w:bookmarkEnd w:id="26"/>
    <w:bookmarkStart w:id="30" w:name="城市案例旅游城市的存活与脆弱性"/>
    <w:p>
      <w:pPr>
        <w:pStyle w:val="Heading2"/>
      </w:pPr>
      <w:r>
        <w:t xml:space="preserve">8.2　城市案例：旅游城市的存活与脆弱性</w:t>
      </w:r>
    </w:p>
    <w:bookmarkStart w:id="27" w:name="成都非季节性旅游城市样本"/>
    <w:p>
      <w:pPr>
        <w:pStyle w:val="Heading3"/>
      </w:pPr>
      <w:r>
        <w:t xml:space="preserve">成都：非季节性旅游城市样本</w:t>
      </w:r>
    </w:p>
    <w:p>
      <w:pPr>
        <w:pStyle w:val="FirstParagraph"/>
      </w:pPr>
      <w:r>
        <w:t xml:space="preserve">成都的核心优势是文化密度和生活方式的真实性——川菜的地方性（本地食材、本地技法、本地用餐文化）、茶馆的慢时间（坐半天喝一杯茶）、街道的尺度和质感，都是真实的地方积累，无法被合成，无法被复制。这是成都与被AI合成体验竞争的内陆城市不同的地方：它的吸引力本身就是多态社会意义感危机的解药。</w:t>
      </w:r>
    </w:p>
    <w:p>
      <w:pPr>
        <w:pStyle w:val="BodyText"/>
      </w:pPr>
      <w:r>
        <w:rPr>
          <w:bCs/>
          <w:b/>
        </w:rPr>
        <w:t xml:space="preserve">存活理由组合。</w:t>
      </w:r>
      <w:r>
        <w:t xml:space="preserve">区域枢纽（医疗+教育+行政）× 旅游（文化密度+美食+生活方式）× 慢速移民目的地——三个理由叠加，韧性极高。医疗和教育资源的集中使成都不完全依赖旅游，这是与纯旅游城市最重要的区别。</w:t>
      </w:r>
    </w:p>
    <w:p>
      <w:pPr>
        <w:pStyle w:val="BodyText"/>
      </w:pPr>
      <w:r>
        <w:rPr>
          <w:bCs/>
          <w:b/>
        </w:rPr>
        <w:t xml:space="preserve">人口结构。</w:t>
      </w:r>
      <w:r>
        <w:t xml:space="preserve">永久本地居民是文化承载者，生计越来越依赖服务业，但保持了与旅游无关的本地经济（餐饮、小型制造、文创）。慢速移民（从北上深迁入的远程工作者）占永久居民约20–30%，拉高房价但带来消费力。长期停留旅游者全年均匀分布，平均停留约2周，不形成季节性冲击。</w:t>
      </w:r>
    </w:p>
    <w:p>
      <w:pPr>
        <w:pStyle w:val="BodyText"/>
      </w:pPr>
      <w:r>
        <w:rPr>
          <w:bCs/>
          <w:b/>
        </w:rPr>
        <w:t xml:space="preserve">真实性保护的核心矛盾。</w:t>
      </w:r>
      <w:r>
        <w:t xml:space="preserve">旅游需求推动商业化，商业化侵蚀真实性，真实性被侵蚀后吸引力下降。成都靠城市腹地的广度稀释旅游压力——锦里、宽窄巷子进一步商业化，但玉林、望平街一带保留真实本地生活质感，这反而成为更高端的旅游目的地：不是参观景点，而是住进真实的成都社区。</w:t>
      </w:r>
    </w:p>
    <w:bookmarkEnd w:id="27"/>
    <w:bookmarkStart w:id="28" w:name="洛迦诺季节性旅游城市样本"/>
    <w:p>
      <w:pPr>
        <w:pStyle w:val="Heading3"/>
      </w:pPr>
      <w:r>
        <w:t xml:space="preserve">洛迦诺：季节性旅游城市样本</w:t>
      </w:r>
    </w:p>
    <w:p>
      <w:pPr>
        <w:pStyle w:val="FirstParagraph"/>
      </w:pPr>
      <w:r>
        <w:t xml:space="preserve">洛迦诺，瑞士南部提契诺州，马焦雷湖畔，人口约16,000，地中海气候，八月举办国际电影节（创立1946年，皮亚扎格兰德露天放映是其独一无二的特征）。典型的小型季节性旅游城市，同时具备季节性（夏季湖滨旺季+电影节）和非季节性元素（温和气候全年可达）。</w:t>
      </w:r>
    </w:p>
    <w:p>
      <w:pPr>
        <w:pStyle w:val="BodyText"/>
      </w:pPr>
      <w:r>
        <w:rPr>
          <w:bCs/>
          <w:b/>
        </w:rPr>
        <w:t xml:space="preserve">气候变化的影响。</w:t>
      </w:r>
      <w:r>
        <w:t xml:space="preserve">到2072年年均气温比今天高约2–3°C，地中海气候北移。夏季偶尔出现35°C以上高温，削弱避暑功能；但春秋季变得更宜人，旅游窗口从夏季单峰扩展为春秋双峰。阿尔卑斯山积雪线上移，背后山区徒步路线延长，高海拔夏季更长。马焦雷湖水温上升，湖泳季节延长，但蓝藻问题可能加重。净效果：夏季旺季被部分侵蚀，春秋季得到补偿，年度总量维持，季节分布改变。</w:t>
      </w:r>
    </w:p>
    <w:p>
      <w:pPr>
        <w:pStyle w:val="BodyText"/>
      </w:pPr>
      <w:r>
        <w:rPr>
          <w:bCs/>
          <w:b/>
        </w:rPr>
        <w:t xml:space="preserve">电影节的升级价值。</w:t>
      </w:r>
      <w:r>
        <w:t xml:space="preserve">在仿真仓和XR体验普及的时代，真实的露天集会、真实的共同观影、真实的夜风和湖边气氛成为稀缺的意义感来源。电影节从「文化产业活动」升级为「真实体验的仪式」，这种升级在多态社会里有真实市场价值。电影节期间（约两周）城市人口从16,000膨胀到约150,000，这个极端峰值在2072年仍然存在甚至更强。</w:t>
      </w:r>
    </w:p>
    <w:p>
      <w:pPr>
        <w:pStyle w:val="BodyText"/>
      </w:pPr>
      <w:r>
        <w:rPr>
          <w:bCs/>
          <w:b/>
        </w:rPr>
        <w:t xml:space="preserve">人口结构。</w:t>
      </w:r>
      <w:r>
        <w:t xml:space="preserve">传统本地居民（提契诺意大利语区）是城市身份认同的核心，但比例持续下降。慢速移民（来自苏黎世、日内瓦、伦敦、柏林的远程工作者）占永久居民约30–40%，选择洛迦诺的气候、湖景和意大利语文化氛围。电影节和旺季期间大量季节性服务人员涌入（主要来自意大利北部和东欧），不构成永久居民，但对基础设施造成临时压力。</w:t>
      </w:r>
    </w:p>
    <w:p>
      <w:pPr>
        <w:pStyle w:val="BodyText"/>
      </w:pPr>
      <w:r>
        <w:rPr>
          <w:bCs/>
          <w:b/>
        </w:rPr>
        <w:t xml:space="preserve">脆弱性。</w:t>
      </w:r>
      <w:r>
        <w:t xml:space="preserve">存活理由只有两个（旅游×慢速移民目的地），且都依赖外部人口，本地经济基础薄弱。冬季仍然是相对淡季——洛迦诺海拔低，不是滑雪胜地，需要主动开发冬季体验（温泉、室内文化、美食节）。房价对本地居民的排挤压力比成都更尖锐（城市规模小，缓冲空间有限），瑞士的制度框架提供了相对保护。</w:t>
      </w:r>
    </w:p>
    <w:bookmarkEnd w:id="28"/>
    <w:bookmarkStart w:id="29" w:name="成都与洛迦诺的对比"/>
    <w:p>
      <w:pPr>
        <w:pStyle w:val="Heading3"/>
      </w:pPr>
      <w:r>
        <w:t xml:space="preserve">成都与洛迦诺的对比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维度</w:t>
            </w:r>
          </w:p>
        </w:tc>
        <w:tc>
          <w:tcPr/>
          <w:p>
            <w:pPr>
              <w:pStyle w:val="Compact"/>
              <w:jc w:val="left"/>
            </w:pPr>
            <w:r>
              <w:rPr>
                <w:bCs/>
                <w:b/>
              </w:rPr>
              <w:t xml:space="preserve">成都</w:t>
            </w:r>
          </w:p>
        </w:tc>
        <w:tc>
          <w:tcPr/>
          <w:p>
            <w:pPr>
              <w:pStyle w:val="Compact"/>
              <w:jc w:val="left"/>
            </w:pPr>
            <w:r>
              <w:rPr>
                <w:bCs/>
                <w:b/>
              </w:rPr>
              <w:t xml:space="preserve">洛迦诺</w:t>
            </w:r>
          </w:p>
        </w:tc>
      </w:tr>
      <w:tr>
        <w:tc>
          <w:tcPr/>
          <w:p>
            <w:pPr>
              <w:pStyle w:val="Compact"/>
              <w:jc w:val="left"/>
            </w:pPr>
            <w:r>
              <w:t xml:space="preserve">规模</w:t>
            </w:r>
          </w:p>
        </w:tc>
        <w:tc>
          <w:tcPr/>
          <w:p>
            <w:pPr>
              <w:pStyle w:val="Compact"/>
              <w:jc w:val="left"/>
            </w:pPr>
            <w:r>
              <w:t xml:space="preserve">大都市（约2,000万）</w:t>
            </w:r>
          </w:p>
        </w:tc>
        <w:tc>
          <w:tcPr/>
          <w:p>
            <w:pPr>
              <w:pStyle w:val="Compact"/>
              <w:jc w:val="left"/>
            </w:pPr>
            <w:r>
              <w:t xml:space="preserve">小城镇（约16,000）</w:t>
            </w:r>
          </w:p>
        </w:tc>
      </w:tr>
      <w:tr>
        <w:tc>
          <w:tcPr/>
          <w:p>
            <w:pPr>
              <w:pStyle w:val="Compact"/>
              <w:jc w:val="left"/>
            </w:pPr>
            <w:r>
              <w:t xml:space="preserve">季节性</w:t>
            </w:r>
          </w:p>
        </w:tc>
        <w:tc>
          <w:tcPr/>
          <w:p>
            <w:pPr>
              <w:pStyle w:val="Compact"/>
              <w:jc w:val="left"/>
            </w:pPr>
            <w:r>
              <w:t xml:space="preserve">非季节性，全年均衡</w:t>
            </w:r>
          </w:p>
        </w:tc>
        <w:tc>
          <w:tcPr/>
          <w:p>
            <w:pPr>
              <w:pStyle w:val="Compact"/>
              <w:jc w:val="left"/>
            </w:pPr>
            <w:r>
              <w:t xml:space="preserve">季节性，春秋双峰+电影节极峰</w:t>
            </w:r>
          </w:p>
        </w:tc>
      </w:tr>
      <w:tr>
        <w:tc>
          <w:tcPr/>
          <w:p>
            <w:pPr>
              <w:pStyle w:val="Compact"/>
              <w:jc w:val="left"/>
            </w:pPr>
            <w:r>
              <w:t xml:space="preserve">核心吸引力</w:t>
            </w:r>
          </w:p>
        </w:tc>
        <w:tc>
          <w:tcPr/>
          <w:p>
            <w:pPr>
              <w:pStyle w:val="Compact"/>
              <w:jc w:val="left"/>
            </w:pPr>
            <w:r>
              <w:t xml:space="preserve">文化密度、美食、生活方式</w:t>
            </w:r>
          </w:p>
        </w:tc>
        <w:tc>
          <w:tcPr/>
          <w:p>
            <w:pPr>
              <w:pStyle w:val="Compact"/>
              <w:jc w:val="left"/>
            </w:pPr>
            <w:r>
              <w:t xml:space="preserve">湖景、气候、电影节、阿尔卑斯徒步</w:t>
            </w:r>
          </w:p>
        </w:tc>
      </w:tr>
      <w:tr>
        <w:tc>
          <w:tcPr/>
          <w:p>
            <w:pPr>
              <w:pStyle w:val="Compact"/>
              <w:jc w:val="left"/>
            </w:pPr>
            <w:r>
              <w:t xml:space="preserve">存活理由组合</w:t>
            </w:r>
          </w:p>
        </w:tc>
        <w:tc>
          <w:tcPr/>
          <w:p>
            <w:pPr>
              <w:pStyle w:val="Compact"/>
              <w:jc w:val="left"/>
            </w:pPr>
            <w:r>
              <w:t xml:space="preserve">区域枢纽×旅游×慢速移民（三重）</w:t>
            </w:r>
          </w:p>
        </w:tc>
        <w:tc>
          <w:tcPr/>
          <w:p>
            <w:pPr>
              <w:pStyle w:val="Compact"/>
              <w:jc w:val="left"/>
            </w:pPr>
            <w:r>
              <w:t xml:space="preserve">旅游×慢速移民（两重）</w:t>
            </w:r>
          </w:p>
        </w:tc>
      </w:tr>
      <w:tr>
        <w:tc>
          <w:tcPr/>
          <w:p>
            <w:pPr>
              <w:pStyle w:val="Compact"/>
              <w:jc w:val="left"/>
            </w:pPr>
            <w:r>
              <w:t xml:space="preserve">气候变化影响</w:t>
            </w:r>
          </w:p>
        </w:tc>
        <w:tc>
          <w:tcPr/>
          <w:p>
            <w:pPr>
              <w:pStyle w:val="Compact"/>
              <w:jc w:val="left"/>
            </w:pPr>
            <w:r>
              <w:t xml:space="preserve">轻微（四川盆地气候相对稳定）</w:t>
            </w:r>
          </w:p>
        </w:tc>
        <w:tc>
          <w:tcPr/>
          <w:p>
            <w:pPr>
              <w:pStyle w:val="Compact"/>
              <w:jc w:val="left"/>
            </w:pPr>
            <w:r>
              <w:t xml:space="preserve">显著（夏季变热，季节分布改变）</w:t>
            </w:r>
          </w:p>
        </w:tc>
      </w:tr>
      <w:tr>
        <w:tc>
          <w:tcPr/>
          <w:p>
            <w:pPr>
              <w:pStyle w:val="Compact"/>
              <w:jc w:val="left"/>
            </w:pPr>
            <w:r>
              <w:t xml:space="preserve">慢速移民比例</w:t>
            </w:r>
          </w:p>
        </w:tc>
        <w:tc>
          <w:tcPr/>
          <w:p>
            <w:pPr>
              <w:pStyle w:val="Compact"/>
              <w:jc w:val="left"/>
            </w:pPr>
            <w:r>
              <w:t xml:space="preserve">约20–30%</w:t>
            </w:r>
          </w:p>
        </w:tc>
        <w:tc>
          <w:tcPr/>
          <w:p>
            <w:pPr>
              <w:pStyle w:val="Compact"/>
              <w:jc w:val="left"/>
            </w:pPr>
            <w:r>
              <w:t xml:space="preserve">约30–40%</w:t>
            </w:r>
          </w:p>
        </w:tc>
      </w:tr>
      <w:tr>
        <w:tc>
          <w:tcPr/>
          <w:p>
            <w:pPr>
              <w:pStyle w:val="Compact"/>
              <w:jc w:val="left"/>
            </w:pPr>
            <w:r>
              <w:t xml:space="preserve">真实性压力</w:t>
            </w:r>
          </w:p>
        </w:tc>
        <w:tc>
          <w:tcPr/>
          <w:p>
            <w:pPr>
              <w:pStyle w:val="Compact"/>
              <w:jc w:val="left"/>
            </w:pPr>
            <w:r>
              <w:t xml:space="preserve">高（商业化侵蚀）</w:t>
            </w:r>
          </w:p>
        </w:tc>
        <w:tc>
          <w:tcPr/>
          <w:p>
            <w:pPr>
              <w:pStyle w:val="Compact"/>
              <w:jc w:val="left"/>
            </w:pPr>
            <w:r>
              <w:t xml:space="preserve">中高（规模小更脆弱，制度保护较强）</w:t>
            </w:r>
          </w:p>
        </w:tc>
      </w:tr>
    </w:tbl>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2026-04-15T14:29:28Z</dcterms:created>
  <dcterms:modified xsi:type="dcterms:W3CDTF">2026-04-15T14:29:28Z</dcterms:modified>
</cp:coreProperties>
</file>

<file path=docProps/custom.xml><?xml version="1.0" encoding="utf-8"?>
<Properties xmlns="http://schemas.openxmlformats.org/officeDocument/2006/custom-properties" xmlns:vt="http://schemas.openxmlformats.org/officeDocument/2006/docPropsVTypes"/>
</file>