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2072</w:t>
      </w:r>
    </w:p>
    <w:p>
      <w:pPr>
        <w:pStyle w:val="BodyText"/>
      </w:pPr>
      <w:r>
        <w:t xml:space="preserve">世界观文件 · 第一版</w:t>
      </w:r>
    </w:p>
    <w:p>
      <w:pPr>
        <w:pStyle w:val="BodyText"/>
      </w:pPr>
      <w:r>
        <w:t xml:space="preserve">2026–2076年 · 多态社会框架</w:t>
      </w:r>
    </w:p>
    <w:p>
      <w:pPr>
        <w:pStyle w:val="BodyText"/>
      </w:pPr>
      <w:r>
        <w:rPr>
          <w:iCs/>
          <w:i/>
        </w:rPr>
        <w:t xml:space="preserve">向乔治·奥威尔《1984》致敬</w:t>
      </w:r>
    </w:p>
    <w:p>
      <w:pPr>
        <w:pStyle w:val="BodyText"/>
      </w:pPr>
      <w:r>
        <w:t xml:space="preserve">本文件包含：理论基础 · 技术发展时间线 · 经济图景 · 社会发展时间线 · 滞后量框架 · 地理图景 · 动荡期设计</w:t>
      </w:r>
    </w:p>
    <w:bookmarkStart w:id="20" w:name="前言"/>
    <w:p>
      <w:pPr>
        <w:pStyle w:val="Heading1"/>
      </w:pPr>
      <w:r>
        <w:t xml:space="preserve">前言</w:t>
      </w:r>
    </w:p>
    <w:p>
      <w:pPr>
        <w:pStyle w:val="FirstParagraph"/>
      </w:pPr>
      <w:r>
        <w:rPr>
          <w:bCs/>
          <w:b/>
        </w:rPr>
        <w:t xml:space="preserve">关于本文件。</w:t>
      </w:r>
      <w:r>
        <w:t xml:space="preserve">《2072》是一个大型中文科幻世界观构建项目，设定于2026—2076年的多极社会，以AI深化与聚变能源商业化为双核驱动力，探索技术加速时代人类社会的路径分化与稳态形成。</w:t>
      </w:r>
    </w:p>
    <w:p>
      <w:pPr>
        <w:pStyle w:val="BodyText"/>
      </w:pPr>
      <w:r>
        <w:rPr>
          <w:bCs/>
          <w:b/>
        </w:rPr>
        <w:t xml:space="preserve">关于生成方式。</w:t>
      </w:r>
      <w:r>
        <w:t xml:space="preserve">本文件由Sean主导构思与设计，以Claude（Anthropic）为主要生成工具，并结合ChatGPT（OpenAI）、Gemini（Google）等其他AI工具辅助生成与校验。所有设定、判断与叙事选择均由作者审核确认；AI工具承担的是执行与扩展，而非框架的原创。</w:t>
      </w:r>
    </w:p>
    <w:p>
      <w:pPr>
        <w:pStyle w:val="BodyText"/>
      </w:pPr>
      <w:r>
        <w:rPr>
          <w:bCs/>
          <w:b/>
        </w:rPr>
        <w:t xml:space="preserve">关于方法论立场。</w:t>
      </w:r>
      <w:r>
        <w:t xml:space="preserve">本文件不是预测，而是条件推演——在给定的初始条件和因果逻辑下，推演最可能的演化路径。所有描述遵循三个原则：客观中立（不为任何路径背书）、符合实际（以2026年可见的技术和社会现实为起点）、逻辑自洽（内部因果链不矛盾）。价值判断由故事人物承载，不由文件本身表达。</w:t>
      </w:r>
    </w:p>
    <w:bookmarkEnd w:id="20"/>
    <w:bookmarkStart w:id="21" w:name="目录"/>
    <w:p>
      <w:pPr>
        <w:pStyle w:val="Heading1"/>
      </w:pPr>
      <w:r>
        <w:t xml:space="preserve">目录</w:t>
      </w:r>
    </w:p>
    <w:p>
      <w:pPr>
        <w:pStyle w:val="FirstParagraph"/>
      </w:pPr>
      <w:r>
        <w:rPr>
          <w:bCs/>
          <w:b/>
        </w:rPr>
        <w:t xml:space="preserve">前言</w:t>
      </w:r>
    </w:p>
    <w:p>
      <w:pPr>
        <w:pStyle w:val="BodyText"/>
      </w:pPr>
      <w:r>
        <w:rPr>
          <w:bCs/>
          <w:b/>
        </w:rPr>
        <w:t xml:space="preserve">速览页：2072框架总览</w:t>
      </w:r>
      <w:r>
        <w:t xml:space="preserve"> </w:t>
      </w:r>
      <w:r>
        <w:t xml:space="preserve">- 速览一　核心变量与主因果链总览 - 速览二　2072年世界路径总览表 - 速览三　2026–2072时间轴关键节点 - 速览四　A1与A2体系关键比较</w:t>
      </w:r>
    </w:p>
    <w:p>
      <w:pPr>
        <w:pStyle w:val="BodyText"/>
      </w:pPr>
      <w:r>
        <w:rPr>
          <w:bCs/>
          <w:b/>
        </w:rPr>
        <w:t xml:space="preserve">第一部分　多态社会：理论基础</w:t>
      </w:r>
    </w:p>
    <w:p>
      <w:pPr>
        <w:numPr>
          <w:ilvl w:val="0"/>
          <w:numId w:val="1001"/>
        </w:numPr>
      </w:pPr>
      <w:r>
        <w:t xml:space="preserve">1.1　方法论说明</w:t>
      </w:r>
    </w:p>
    <w:p>
      <w:pPr>
        <w:numPr>
          <w:ilvl w:val="0"/>
          <w:numId w:val="1001"/>
        </w:numPr>
      </w:pPr>
      <w:r>
        <w:t xml:space="preserve">1.1.1　统计理性与个体不确定性</w:t>
      </w:r>
    </w:p>
    <w:p>
      <w:pPr>
        <w:numPr>
          <w:ilvl w:val="0"/>
          <w:numId w:val="1001"/>
        </w:numPr>
      </w:pPr>
      <w:r>
        <w:t xml:space="preserve">1.1.2　本文件的方法论局限</w:t>
      </w:r>
    </w:p>
    <w:p>
      <w:pPr>
        <w:numPr>
          <w:ilvl w:val="0"/>
          <w:numId w:val="1001"/>
        </w:numPr>
      </w:pPr>
      <w:r>
        <w:t xml:space="preserve">1.2　社会模型总纲</w:t>
      </w:r>
    </w:p>
    <w:p>
      <w:pPr>
        <w:numPr>
          <w:ilvl w:val="0"/>
          <w:numId w:val="1001"/>
        </w:numPr>
      </w:pPr>
      <w:r>
        <w:t xml:space="preserve">1.2.1　核心变量（V1–V8）</w:t>
      </w:r>
    </w:p>
    <w:p>
      <w:pPr>
        <w:numPr>
          <w:ilvl w:val="0"/>
          <w:numId w:val="1001"/>
        </w:numPr>
      </w:pPr>
      <w:r>
        <w:t xml:space="preserve">1.2.2　主因果链（A–F）</w:t>
      </w:r>
    </w:p>
    <w:p>
      <w:pPr>
        <w:numPr>
          <w:ilvl w:val="0"/>
          <w:numId w:val="1001"/>
        </w:numPr>
      </w:pPr>
      <w:r>
        <w:t xml:space="preserve">1.2.3　模型失效条件</w:t>
      </w:r>
    </w:p>
    <w:p>
      <w:pPr>
        <w:numPr>
          <w:ilvl w:val="0"/>
          <w:numId w:val="1001"/>
        </w:numPr>
      </w:pPr>
      <w:r>
        <w:t xml:space="preserve">1.3　根本命题</w:t>
      </w:r>
    </w:p>
    <w:p>
      <w:pPr>
        <w:numPr>
          <w:ilvl w:val="0"/>
          <w:numId w:val="1001"/>
        </w:numPr>
      </w:pPr>
      <w:r>
        <w:t xml:space="preserve">1.4　核心机制</w:t>
      </w:r>
    </w:p>
    <w:p>
      <w:pPr>
        <w:numPr>
          <w:ilvl w:val="0"/>
          <w:numId w:val="1001"/>
        </w:numPr>
      </w:pPr>
      <w:r>
        <w:t xml:space="preserve">1.4.1　劳动价值的结构性弱化</w:t>
      </w:r>
    </w:p>
    <w:p>
      <w:pPr>
        <w:numPr>
          <w:ilvl w:val="0"/>
          <w:numId w:val="1001"/>
        </w:numPr>
      </w:pPr>
      <w:r>
        <w:t xml:space="preserve">1.4.2　流动性衰退机制（经济驱动）</w:t>
      </w:r>
    </w:p>
    <w:p>
      <w:pPr>
        <w:numPr>
          <w:ilvl w:val="0"/>
          <w:numId w:val="1001"/>
        </w:numPr>
      </w:pPr>
      <w:r>
        <w:t xml:space="preserve">1.4.3　相互忽视均衡</w:t>
      </w:r>
    </w:p>
    <w:p>
      <w:pPr>
        <w:numPr>
          <w:ilvl w:val="0"/>
          <w:numId w:val="1001"/>
        </w:numPr>
      </w:pPr>
      <w:r>
        <w:t xml:space="preserve">1.4.4　价值感机制：被需要，而非被市场定价</w:t>
      </w:r>
    </w:p>
    <w:p>
      <w:pPr>
        <w:numPr>
          <w:ilvl w:val="0"/>
          <w:numId w:val="1001"/>
        </w:numPr>
      </w:pPr>
      <w:r>
        <w:t xml:space="preserve">1.4.4.1　社区的负面可能性</w:t>
      </w:r>
    </w:p>
    <w:p>
      <w:pPr>
        <w:numPr>
          <w:ilvl w:val="0"/>
          <w:numId w:val="1001"/>
        </w:numPr>
      </w:pPr>
      <w:r>
        <w:t xml:space="preserve">1.4.5　劳动时间的演化与闲暇的双重可能性</w:t>
      </w:r>
    </w:p>
    <w:p>
      <w:pPr>
        <w:numPr>
          <w:ilvl w:val="0"/>
          <w:numId w:val="1001"/>
        </w:numPr>
      </w:pPr>
      <w:r>
        <w:t xml:space="preserve">1.4.6　大众心态转变：相互忽视均衡的主观条件</w:t>
      </w:r>
    </w:p>
    <w:p>
      <w:pPr>
        <w:numPr>
          <w:ilvl w:val="0"/>
          <w:numId w:val="1001"/>
        </w:numPr>
      </w:pPr>
      <w:r>
        <w:t xml:space="preserve">1.5　多态社会的三个内因</w:t>
      </w:r>
    </w:p>
    <w:p>
      <w:pPr>
        <w:numPr>
          <w:ilvl w:val="0"/>
          <w:numId w:val="1001"/>
        </w:numPr>
      </w:pPr>
      <w:r>
        <w:t xml:space="preserve">1.5.1　内因一：滞后消化进度不一（结构性）</w:t>
      </w:r>
    </w:p>
    <w:p>
      <w:pPr>
        <w:numPr>
          <w:ilvl w:val="0"/>
          <w:numId w:val="1001"/>
        </w:numPr>
      </w:pPr>
      <w:r>
        <w:t xml:space="preserve">1.5.2　内因二：流动动力的系统性衰退（经济性）</w:t>
      </w:r>
    </w:p>
    <w:p>
      <w:pPr>
        <w:numPr>
          <w:ilvl w:val="0"/>
          <w:numId w:val="1001"/>
        </w:numPr>
      </w:pPr>
      <w:r>
        <w:t xml:space="preserve">1.5.3　内因三：价值锚点的多元化（文化性）</w:t>
      </w:r>
    </w:p>
    <w:p>
      <w:pPr>
        <w:numPr>
          <w:ilvl w:val="0"/>
          <w:numId w:val="1001"/>
        </w:numPr>
      </w:pPr>
      <w:r>
        <w:t xml:space="preserve">1.6　动荡的真实来源</w:t>
      </w:r>
    </w:p>
    <w:p>
      <w:pPr>
        <w:numPr>
          <w:ilvl w:val="0"/>
          <w:numId w:val="1001"/>
        </w:numPr>
      </w:pPr>
      <w:r>
        <w:t xml:space="preserve">1.7　精神健康宏观结构</w:t>
      </w:r>
    </w:p>
    <w:p>
      <w:pPr>
        <w:numPr>
          <w:ilvl w:val="0"/>
          <w:numId w:val="1001"/>
        </w:numPr>
      </w:pPr>
      <w:r>
        <w:t xml:space="preserve">1.7.1　主要精神健康向量</w:t>
      </w:r>
    </w:p>
    <w:p>
      <w:pPr>
        <w:numPr>
          <w:ilvl w:val="0"/>
          <w:numId w:val="1001"/>
        </w:numPr>
      </w:pPr>
      <w:r>
        <w:t xml:space="preserve">1.7.2　路径差异</w:t>
      </w:r>
    </w:p>
    <w:p>
      <w:pPr>
        <w:numPr>
          <w:ilvl w:val="0"/>
          <w:numId w:val="1001"/>
        </w:numPr>
      </w:pPr>
      <w:r>
        <w:t xml:space="preserve">1.7.3　精神健康与多态稳定的关系</w:t>
      </w:r>
    </w:p>
    <w:p>
      <w:pPr>
        <w:pStyle w:val="FirstParagraph"/>
      </w:pPr>
      <w:r>
        <w:rPr>
          <w:bCs/>
          <w:b/>
        </w:rPr>
        <w:t xml:space="preserve">第二部分　滞后量框架</w:t>
      </w:r>
    </w:p>
    <w:p>
      <w:pPr>
        <w:numPr>
          <w:ilvl w:val="0"/>
          <w:numId w:val="1002"/>
        </w:numPr>
      </w:pPr>
      <w:r>
        <w:t xml:space="preserve">2.1　双主轴总论：AI的渐进演化与聚变的阶段性跃迁</w:t>
      </w:r>
    </w:p>
    <w:p>
      <w:pPr>
        <w:numPr>
          <w:ilvl w:val="0"/>
          <w:numId w:val="1002"/>
        </w:numPr>
      </w:pPr>
      <w:r>
        <w:t xml:space="preserve">2.2　AI发展及影响时序</w:t>
      </w:r>
    </w:p>
    <w:p>
      <w:pPr>
        <w:numPr>
          <w:ilvl w:val="0"/>
          <w:numId w:val="1002"/>
        </w:numPr>
      </w:pPr>
      <w:r>
        <w:t xml:space="preserve">2.3　聚变滞后量框架</w:t>
      </w:r>
    </w:p>
    <w:p>
      <w:pPr>
        <w:numPr>
          <w:ilvl w:val="0"/>
          <w:numId w:val="1002"/>
        </w:numPr>
      </w:pPr>
      <w:r>
        <w:t xml:space="preserve">2.3.1　聚变的L1—L4时序</w:t>
      </w:r>
    </w:p>
    <w:p>
      <w:pPr>
        <w:numPr>
          <w:ilvl w:val="0"/>
          <w:numId w:val="1002"/>
        </w:numPr>
      </w:pPr>
      <w:r>
        <w:t xml:space="preserve">2.3.2　各类经济体的接入路径与滞后差异</w:t>
      </w:r>
    </w:p>
    <w:p>
      <w:pPr>
        <w:numPr>
          <w:ilvl w:val="0"/>
          <w:numId w:val="1002"/>
        </w:numPr>
      </w:pPr>
      <w:r>
        <w:t xml:space="preserve">2.3.3　聚变的经济传导机制</w:t>
      </w:r>
    </w:p>
    <w:p>
      <w:pPr>
        <w:numPr>
          <w:ilvl w:val="0"/>
          <w:numId w:val="1002"/>
        </w:numPr>
      </w:pPr>
      <w:r>
        <w:t xml:space="preserve">2.4　聚变主线的社会时序</w:t>
      </w:r>
    </w:p>
    <w:p>
      <w:pPr>
        <w:numPr>
          <w:ilvl w:val="0"/>
          <w:numId w:val="1002"/>
        </w:numPr>
      </w:pPr>
      <w:r>
        <w:t xml:space="preserve">2.5　双主线总时序与关键交汇点</w:t>
      </w:r>
    </w:p>
    <w:p>
      <w:pPr>
        <w:numPr>
          <w:ilvl w:val="0"/>
          <w:numId w:val="1002"/>
        </w:numPr>
      </w:pPr>
      <w:r>
        <w:t xml:space="preserve">2.6　本框架如何使用：读者导引</w:t>
      </w:r>
    </w:p>
    <w:p>
      <w:pPr>
        <w:pStyle w:val="FirstParagraph"/>
      </w:pPr>
      <w:r>
        <w:rPr>
          <w:bCs/>
          <w:b/>
        </w:rPr>
        <w:t xml:space="preserve">第三部分　技术发展时间线（2026–2076）</w:t>
      </w:r>
    </w:p>
    <w:p>
      <w:pPr>
        <w:numPr>
          <w:ilvl w:val="0"/>
          <w:numId w:val="1003"/>
        </w:numPr>
      </w:pPr>
      <w:r>
        <w:t xml:space="preserve">3.1　AI发展时间线与社会影响（2026–2076）</w:t>
      </w:r>
    </w:p>
    <w:p>
      <w:pPr>
        <w:numPr>
          <w:ilvl w:val="0"/>
          <w:numId w:val="1003"/>
        </w:numPr>
      </w:pPr>
      <w:r>
        <w:t xml:space="preserve">3.1.1　通用人工智能（AGI）：定义、临界判断与2027年设定的依据</w:t>
      </w:r>
    </w:p>
    <w:p>
      <w:pPr>
        <w:numPr>
          <w:ilvl w:val="0"/>
          <w:numId w:val="1003"/>
        </w:numPr>
      </w:pPr>
      <w:r>
        <w:t xml:space="preserve">3.1.2　AI发展时间线（2026–2076）</w:t>
      </w:r>
    </w:p>
    <w:p>
      <w:pPr>
        <w:numPr>
          <w:ilvl w:val="0"/>
          <w:numId w:val="1003"/>
        </w:numPr>
      </w:pPr>
      <w:r>
        <w:t xml:space="preserve">3.2　聚变突破与工程化（2035—2047）</w:t>
      </w:r>
    </w:p>
    <w:p>
      <w:pPr>
        <w:numPr>
          <w:ilvl w:val="0"/>
          <w:numId w:val="1003"/>
        </w:numPr>
      </w:pPr>
      <w:r>
        <w:t xml:space="preserve">3.2.1　从净能量输出到商业并网（2037—2046）</w:t>
      </w:r>
    </w:p>
    <w:p>
      <w:pPr>
        <w:numPr>
          <w:ilvl w:val="0"/>
          <w:numId w:val="1003"/>
        </w:numPr>
      </w:pPr>
      <w:r>
        <w:t xml:space="preserve">3.2.2　能源红利渗透阶段（2047—2072）</w:t>
      </w:r>
    </w:p>
    <w:p>
      <w:pPr>
        <w:numPr>
          <w:ilvl w:val="0"/>
          <w:numId w:val="1003"/>
        </w:numPr>
      </w:pPr>
      <w:r>
        <w:t xml:space="preserve">3.2.3　聚变成本结构：为何不能真正归零</w:t>
      </w:r>
    </w:p>
    <w:p>
      <w:pPr>
        <w:numPr>
          <w:ilvl w:val="0"/>
          <w:numId w:val="1003"/>
        </w:numPr>
      </w:pPr>
      <w:r>
        <w:t xml:space="preserve">3.3　能源技术的分层共存</w:t>
      </w:r>
    </w:p>
    <w:p>
      <w:pPr>
        <w:numPr>
          <w:ilvl w:val="0"/>
          <w:numId w:val="1003"/>
        </w:numPr>
      </w:pPr>
      <w:r>
        <w:t xml:space="preserve">3.3.1　旧技术的持续理由</w:t>
      </w:r>
    </w:p>
    <w:p>
      <w:pPr>
        <w:numPr>
          <w:ilvl w:val="0"/>
          <w:numId w:val="1003"/>
        </w:numPr>
      </w:pPr>
      <w:r>
        <w:t xml:space="preserve">3.3.2　新的储能方式</w:t>
      </w:r>
    </w:p>
    <w:p>
      <w:pPr>
        <w:numPr>
          <w:ilvl w:val="0"/>
          <w:numId w:val="1003"/>
        </w:numPr>
      </w:pPr>
      <w:r>
        <w:t xml:space="preserve">3.3.3　2072年的能源分层地图</w:t>
      </w:r>
    </w:p>
    <w:p>
      <w:pPr>
        <w:numPr>
          <w:ilvl w:val="0"/>
          <w:numId w:val="1003"/>
        </w:numPr>
      </w:pPr>
      <w:r>
        <w:t xml:space="preserve">3.3.4　2072年电网图景</w:t>
      </w:r>
    </w:p>
    <w:p>
      <w:pPr>
        <w:numPr>
          <w:ilvl w:val="0"/>
          <w:numId w:val="1003"/>
        </w:numPr>
      </w:pPr>
      <w:r>
        <w:t xml:space="preserve">3.4　资源体系：地缘博弈与2072年图景</w:t>
      </w:r>
    </w:p>
    <w:p>
      <w:pPr>
        <w:numPr>
          <w:ilvl w:val="0"/>
          <w:numId w:val="1003"/>
        </w:numPr>
      </w:pPr>
      <w:r>
        <w:t xml:space="preserve">3.4.1　资源地缘博弈时间线（2029—2065）</w:t>
      </w:r>
    </w:p>
    <w:p>
      <w:pPr>
        <w:numPr>
          <w:ilvl w:val="0"/>
          <w:numId w:val="1003"/>
        </w:numPr>
      </w:pPr>
      <w:r>
        <w:t xml:space="preserve">3.4.2　2072年资源体系：开采、回收与合成</w:t>
      </w:r>
    </w:p>
    <w:p>
      <w:pPr>
        <w:numPr>
          <w:ilvl w:val="0"/>
          <w:numId w:val="1003"/>
        </w:numPr>
      </w:pPr>
      <w:r>
        <w:t xml:space="preserve">3.4.3　资源体系的整体逻辑</w:t>
      </w:r>
    </w:p>
    <w:p>
      <w:pPr>
        <w:numPr>
          <w:ilvl w:val="0"/>
          <w:numId w:val="1003"/>
        </w:numPr>
      </w:pPr>
      <w:r>
        <w:t xml:space="preserve">3.5　全自动工厂与无人制造生态</w:t>
      </w:r>
    </w:p>
    <w:p>
      <w:pPr>
        <w:numPr>
          <w:ilvl w:val="0"/>
          <w:numId w:val="1003"/>
        </w:numPr>
      </w:pPr>
      <w:r>
        <w:t xml:space="preserve">3.6　生物技术的双重性：医疗进步与武器扩散风险</w:t>
      </w:r>
    </w:p>
    <w:p>
      <w:pPr>
        <w:numPr>
          <w:ilvl w:val="0"/>
          <w:numId w:val="1003"/>
        </w:numPr>
      </w:pPr>
      <w:r>
        <w:t xml:space="preserve">3.6.1　医疗进步</w:t>
      </w:r>
    </w:p>
    <w:p>
      <w:pPr>
        <w:numPr>
          <w:ilvl w:val="0"/>
          <w:numId w:val="1003"/>
        </w:numPr>
      </w:pPr>
      <w:r>
        <w:t xml:space="preserve">3.6.2　武器扩散风险</w:t>
      </w:r>
    </w:p>
    <w:p>
      <w:pPr>
        <w:numPr>
          <w:ilvl w:val="0"/>
          <w:numId w:val="1003"/>
        </w:numPr>
      </w:pPr>
      <w:r>
        <w:t xml:space="preserve">3.6.3　结构性缓解因素</w:t>
      </w:r>
    </w:p>
    <w:p>
      <w:pPr>
        <w:numPr>
          <w:ilvl w:val="0"/>
          <w:numId w:val="1003"/>
        </w:numPr>
      </w:pPr>
      <w:r>
        <w:t xml:space="preserve">3.6.4　生物武器能否取代核武器成为中等国家的威慑力量？</w:t>
      </w:r>
    </w:p>
    <w:p>
      <w:pPr>
        <w:numPr>
          <w:ilvl w:val="0"/>
          <w:numId w:val="1003"/>
        </w:numPr>
      </w:pPr>
      <w:r>
        <w:t xml:space="preserve">3.7　延寿与永生技术</w:t>
      </w:r>
    </w:p>
    <w:p>
      <w:pPr>
        <w:numPr>
          <w:ilvl w:val="0"/>
          <w:numId w:val="1003"/>
        </w:numPr>
      </w:pPr>
      <w:r>
        <w:t xml:space="preserve">3.7.1　生物性延寿：时间的物质抵抗</w:t>
      </w:r>
    </w:p>
    <w:p>
      <w:pPr>
        <w:numPr>
          <w:ilvl w:val="0"/>
          <w:numId w:val="1003"/>
        </w:numPr>
      </w:pPr>
      <w:r>
        <w:t xml:space="preserve">3.7.2　数字永生：神经上限的想象性突破</w:t>
      </w:r>
    </w:p>
    <w:p>
      <w:pPr>
        <w:numPr>
          <w:ilvl w:val="0"/>
          <w:numId w:val="1003"/>
        </w:numPr>
      </w:pPr>
      <w:r>
        <w:t xml:space="preserve">3.7.3　核心争议：这个副本是「你」吗？</w:t>
      </w:r>
    </w:p>
    <w:p>
      <w:pPr>
        <w:numPr>
          <w:ilvl w:val="0"/>
          <w:numId w:val="1003"/>
        </w:numPr>
      </w:pPr>
      <w:r>
        <w:t xml:space="preserve">3.7.4　时间的绝对线性：锁定”我”的唯一地址</w:t>
      </w:r>
    </w:p>
    <w:p>
      <w:pPr>
        <w:numPr>
          <w:ilvl w:val="0"/>
          <w:numId w:val="1003"/>
        </w:numPr>
      </w:pPr>
      <w:r>
        <w:t xml:space="preserve">3.7.5　生物噪声：人类认知的不可复制基底</w:t>
      </w:r>
    </w:p>
    <w:p>
      <w:pPr>
        <w:numPr>
          <w:ilvl w:val="0"/>
          <w:numId w:val="1003"/>
        </w:numPr>
      </w:pPr>
      <w:r>
        <w:t xml:space="preserve">3.7.6　知识的有界性：封闭数据环境中的存在</w:t>
      </w:r>
    </w:p>
    <w:p>
      <w:pPr>
        <w:numPr>
          <w:ilvl w:val="0"/>
          <w:numId w:val="1003"/>
        </w:numPr>
      </w:pPr>
      <w:r>
        <w:t xml:space="preserve">3.7.7　工程资本叙事：副本是延续</w:t>
      </w:r>
    </w:p>
    <w:p>
      <w:pPr>
        <w:numPr>
          <w:ilvl w:val="0"/>
          <w:numId w:val="1003"/>
        </w:numPr>
      </w:pPr>
      <w:r>
        <w:t xml:space="preserve">3.7.8　制度裁决：法律先于哲学做出保守判定</w:t>
      </w:r>
    </w:p>
    <w:p>
      <w:pPr>
        <w:numPr>
          <w:ilvl w:val="0"/>
          <w:numId w:val="1003"/>
        </w:numPr>
      </w:pPr>
      <w:r>
        <w:t xml:space="preserve">3.7.9　政治现实：副本在A1与A2体系中的命运</w:t>
      </w:r>
    </w:p>
    <w:p>
      <w:pPr>
        <w:numPr>
          <w:ilvl w:val="0"/>
          <w:numId w:val="1003"/>
        </w:numPr>
      </w:pPr>
      <w:r>
        <w:t xml:space="preserve">3.8　人，机器人，机器与人</w:t>
      </w:r>
    </w:p>
    <w:p>
      <w:pPr>
        <w:numPr>
          <w:ilvl w:val="0"/>
          <w:numId w:val="1003"/>
        </w:numPr>
      </w:pPr>
      <w:r>
        <w:t xml:space="preserve">3.8.1　人：修复与增强的伦理边界</w:t>
      </w:r>
    </w:p>
    <w:p>
      <w:pPr>
        <w:numPr>
          <w:ilvl w:val="0"/>
          <w:numId w:val="1003"/>
        </w:numPr>
      </w:pPr>
      <w:r>
        <w:t xml:space="preserve">3.8.2　机器人：形态无关的伦理统一性</w:t>
      </w:r>
    </w:p>
    <w:p>
      <w:pPr>
        <w:numPr>
          <w:ilvl w:val="0"/>
          <w:numId w:val="1003"/>
        </w:numPr>
      </w:pPr>
      <w:r>
        <w:t xml:space="preserve">3.8.3　机器与人：情感依恋、权益延伸与法律应对</w:t>
      </w:r>
    </w:p>
    <w:p>
      <w:pPr>
        <w:numPr>
          <w:ilvl w:val="0"/>
          <w:numId w:val="1003"/>
        </w:numPr>
      </w:pPr>
      <w:r>
        <w:t xml:space="preserve">3.9　通信技术：量子、激光与网络演化</w:t>
      </w:r>
    </w:p>
    <w:p>
      <w:pPr>
        <w:numPr>
          <w:ilvl w:val="0"/>
          <w:numId w:val="1003"/>
        </w:numPr>
      </w:pPr>
      <w:r>
        <w:t xml:space="preserve">3.9.1　基础网络：无感的基础设施</w:t>
      </w:r>
    </w:p>
    <w:p>
      <w:pPr>
        <w:numPr>
          <w:ilvl w:val="0"/>
          <w:numId w:val="1003"/>
        </w:numPr>
      </w:pPr>
      <w:r>
        <w:t xml:space="preserve">3.9.2　激光通信：极端环境的专业工具</w:t>
      </w:r>
    </w:p>
    <w:p>
      <w:pPr>
        <w:numPr>
          <w:ilvl w:val="0"/>
          <w:numId w:val="1003"/>
        </w:numPr>
      </w:pPr>
      <w:r>
        <w:t xml:space="preserve">3.9.3　量子计算：专业工具，不是通用替代</w:t>
      </w:r>
    </w:p>
    <w:p>
      <w:pPr>
        <w:numPr>
          <w:ilvl w:val="0"/>
          <w:numId w:val="1003"/>
        </w:numPr>
      </w:pPr>
      <w:r>
        <w:t xml:space="preserve">3.9.4　量子通信：中国的先发优势</w:t>
      </w:r>
    </w:p>
    <w:p>
      <w:pPr>
        <w:numPr>
          <w:ilvl w:val="0"/>
          <w:numId w:val="1003"/>
        </w:numPr>
      </w:pPr>
      <w:r>
        <w:t xml:space="preserve">3.9.5　对普通用户的整体影响</w:t>
      </w:r>
    </w:p>
    <w:p>
      <w:pPr>
        <w:numPr>
          <w:ilvl w:val="0"/>
          <w:numId w:val="1003"/>
        </w:numPr>
      </w:pPr>
      <w:r>
        <w:t xml:space="preserve">3.10　仿真仓：沉浸式全感知平台</w:t>
      </w:r>
    </w:p>
    <w:p>
      <w:pPr>
        <w:numPr>
          <w:ilvl w:val="0"/>
          <w:numId w:val="1003"/>
        </w:numPr>
      </w:pPr>
      <w:r>
        <w:t xml:space="preserve">3.11　个人穿戴与随身设备系统</w:t>
      </w:r>
    </w:p>
    <w:p>
      <w:pPr>
        <w:numPr>
          <w:ilvl w:val="0"/>
          <w:numId w:val="1003"/>
        </w:numPr>
      </w:pPr>
      <w:r>
        <w:t xml:space="preserve">3.11.1　手机模块（核心）</w:t>
      </w:r>
    </w:p>
    <w:p>
      <w:pPr>
        <w:numPr>
          <w:ilvl w:val="0"/>
          <w:numId w:val="1003"/>
        </w:numPr>
      </w:pPr>
      <w:r>
        <w:t xml:space="preserve">3.11.2　电池模块</w:t>
      </w:r>
    </w:p>
    <w:p>
      <w:pPr>
        <w:numPr>
          <w:ilvl w:val="0"/>
          <w:numId w:val="1003"/>
        </w:numPr>
      </w:pPr>
      <w:r>
        <w:t xml:space="preserve">3.11.3　眼镜模块</w:t>
      </w:r>
    </w:p>
    <w:p>
      <w:pPr>
        <w:numPr>
          <w:ilvl w:val="0"/>
          <w:numId w:val="1003"/>
        </w:numPr>
      </w:pPr>
      <w:r>
        <w:t xml:space="preserve">3.11.4　指环模块</w:t>
      </w:r>
    </w:p>
    <w:p>
      <w:pPr>
        <w:numPr>
          <w:ilvl w:val="0"/>
          <w:numId w:val="1003"/>
        </w:numPr>
      </w:pPr>
      <w:r>
        <w:t xml:space="preserve">3.11.5　典型使用组合</w:t>
      </w:r>
    </w:p>
    <w:p>
      <w:pPr>
        <w:numPr>
          <w:ilvl w:val="0"/>
          <w:numId w:val="1003"/>
        </w:numPr>
      </w:pPr>
      <w:r>
        <w:t xml:space="preserve">3.11.6　产品形态与社会使用</w:t>
      </w:r>
    </w:p>
    <w:p>
      <w:pPr>
        <w:numPr>
          <w:ilvl w:val="0"/>
          <w:numId w:val="1003"/>
        </w:numPr>
      </w:pPr>
      <w:r>
        <w:t xml:space="preserve">3.12　Muule：个人运动模块</w:t>
      </w:r>
    </w:p>
    <w:p>
      <w:pPr>
        <w:numPr>
          <w:ilvl w:val="0"/>
          <w:numId w:val="1003"/>
        </w:numPr>
      </w:pPr>
      <w:r>
        <w:t xml:space="preserve">3.12.1　控制架构：始终连接，自动驾驶为默认</w:t>
      </w:r>
    </w:p>
    <w:p>
      <w:pPr>
        <w:numPr>
          <w:ilvl w:val="0"/>
          <w:numId w:val="1003"/>
        </w:numPr>
      </w:pPr>
      <w:r>
        <w:t xml:space="preserve">3.12.2　四种工作状态</w:t>
      </w:r>
    </w:p>
    <w:p>
      <w:pPr>
        <w:numPr>
          <w:ilvl w:val="0"/>
          <w:numId w:val="1003"/>
        </w:numPr>
      </w:pPr>
      <w:r>
        <w:t xml:space="preserve">3.12.3　电池与自动换电体系</w:t>
      </w:r>
    </w:p>
    <w:p>
      <w:pPr>
        <w:numPr>
          <w:ilvl w:val="0"/>
          <w:numId w:val="1003"/>
        </w:numPr>
      </w:pPr>
      <w:r>
        <w:t xml:space="preserve">3.12.4　停放逻辑：停放桩作为城市基础设施</w:t>
      </w:r>
    </w:p>
    <w:p>
      <w:pPr>
        <w:numPr>
          <w:ilvl w:val="0"/>
          <w:numId w:val="1003"/>
        </w:numPr>
      </w:pPr>
      <w:r>
        <w:t xml:space="preserve">3.12.5　手机-Muule整合：数字身份的物理延伸</w:t>
      </w:r>
    </w:p>
    <w:p>
      <w:pPr>
        <w:numPr>
          <w:ilvl w:val="0"/>
          <w:numId w:val="1003"/>
        </w:numPr>
      </w:pPr>
      <w:r>
        <w:t xml:space="preserve">3.12.6　设计哲学：核心极简，网络整合，功能扩展</w:t>
      </w:r>
    </w:p>
    <w:p>
      <w:pPr>
        <w:numPr>
          <w:ilvl w:val="0"/>
          <w:numId w:val="1003"/>
        </w:numPr>
      </w:pPr>
      <w:r>
        <w:t xml:space="preserve">3.12.7　高铁载车模式</w:t>
      </w:r>
    </w:p>
    <w:p>
      <w:pPr>
        <w:numPr>
          <w:ilvl w:val="0"/>
          <w:numId w:val="1003"/>
        </w:numPr>
      </w:pPr>
      <w:r>
        <w:t xml:space="preserve">3.12.8　货舱扩展</w:t>
      </w:r>
    </w:p>
    <w:p>
      <w:pPr>
        <w:numPr>
          <w:ilvl w:val="0"/>
          <w:numId w:val="1003"/>
        </w:numPr>
      </w:pPr>
      <w:r>
        <w:t xml:space="preserve">3.12.9　个人数字设备：2072年人的完整延伸</w:t>
      </w:r>
    </w:p>
    <w:p>
      <w:pPr>
        <w:numPr>
          <w:ilvl w:val="0"/>
          <w:numId w:val="1003"/>
        </w:numPr>
      </w:pPr>
      <w:r>
        <w:t xml:space="preserve">3.13　传统车辆体系：Muule之外的交通生态</w:t>
      </w:r>
    </w:p>
    <w:p>
      <w:pPr>
        <w:numPr>
          <w:ilvl w:val="0"/>
          <w:numId w:val="1003"/>
        </w:numPr>
      </w:pPr>
      <w:r>
        <w:t xml:space="preserve">3.13.1　电力可及性：太阳能填补的真实范围</w:t>
      </w:r>
    </w:p>
    <w:p>
      <w:pPr>
        <w:numPr>
          <w:ilvl w:val="0"/>
          <w:numId w:val="1003"/>
        </w:numPr>
      </w:pPr>
      <w:r>
        <w:t xml:space="preserve">3.13.2　燃料基础设施的侵蚀逻辑</w:t>
      </w:r>
    </w:p>
    <w:p>
      <w:pPr>
        <w:numPr>
          <w:ilvl w:val="0"/>
          <w:numId w:val="1003"/>
        </w:numPr>
      </w:pPr>
      <w:r>
        <w:t xml:space="preserve">3.13.3　电动化率与燃料站的负向螺旋</w:t>
      </w:r>
    </w:p>
    <w:p>
      <w:pPr>
        <w:numPr>
          <w:ilvl w:val="0"/>
          <w:numId w:val="1003"/>
        </w:numPr>
      </w:pPr>
      <w:r>
        <w:t xml:space="preserve">3.13.4　合成燃料真正可及的地方</w:t>
      </w:r>
    </w:p>
    <w:p>
      <w:pPr>
        <w:numPr>
          <w:ilvl w:val="0"/>
          <w:numId w:val="1003"/>
        </w:numPr>
      </w:pPr>
      <w:r>
        <w:t xml:space="preserve">3.13.5　修正后的车辆角色定位</w:t>
      </w:r>
    </w:p>
    <w:p>
      <w:pPr>
        <w:numPr>
          <w:ilvl w:val="0"/>
          <w:numId w:val="1003"/>
        </w:numPr>
      </w:pPr>
      <w:r>
        <w:t xml:space="preserve">3.13.6　电动工作车：基础设施缺位时的主力</w:t>
      </w:r>
    </w:p>
    <w:p>
      <w:pPr>
        <w:numPr>
          <w:ilvl w:val="0"/>
          <w:numId w:val="1003"/>
        </w:numPr>
      </w:pPr>
      <w:r>
        <w:t xml:space="preserve">3.13.8　合成燃油车：港口节点的制度性存在</w:t>
      </w:r>
    </w:p>
    <w:p>
      <w:pPr>
        <w:numPr>
          <w:ilvl w:val="0"/>
          <w:numId w:val="1003"/>
        </w:numPr>
      </w:pPr>
      <w:r>
        <w:t xml:space="preserve">3.13.7　A1与A2体系的差异化演化</w:t>
      </w:r>
    </w:p>
    <w:p>
      <w:pPr>
        <w:numPr>
          <w:ilvl w:val="0"/>
          <w:numId w:val="1003"/>
        </w:numPr>
      </w:pPr>
      <w:r>
        <w:t xml:space="preserve">3.13.9　城市与城际货运车辆</w:t>
      </w:r>
    </w:p>
    <w:p>
      <w:pPr>
        <w:numPr>
          <w:ilvl w:val="0"/>
          <w:numId w:val="1003"/>
        </w:numPr>
      </w:pPr>
      <w:r>
        <w:t xml:space="preserve">3.14　地面交通控制系统</w:t>
      </w:r>
    </w:p>
    <w:p>
      <w:pPr>
        <w:numPr>
          <w:ilvl w:val="0"/>
          <w:numId w:val="1003"/>
        </w:numPr>
      </w:pPr>
      <w:r>
        <w:t xml:space="preserve">3.14.1　双层架构：流量管理与车辆自主</w:t>
      </w:r>
    </w:p>
    <w:p>
      <w:pPr>
        <w:numPr>
          <w:ilvl w:val="0"/>
          <w:numId w:val="1003"/>
        </w:numPr>
      </w:pPr>
      <w:r>
        <w:t xml:space="preserve">3.14.2　封闭环境：全控高速的物理前提</w:t>
      </w:r>
    </w:p>
    <w:p>
      <w:pPr>
        <w:numPr>
          <w:ilvl w:val="0"/>
          <w:numId w:val="1003"/>
        </w:numPr>
      </w:pPr>
      <w:r>
        <w:t xml:space="preserve">3.14.3　速度层级与控制模式</w:t>
      </w:r>
    </w:p>
    <w:p>
      <w:pPr>
        <w:numPr>
          <w:ilvl w:val="0"/>
          <w:numId w:val="1003"/>
        </w:numPr>
      </w:pPr>
      <w:r>
        <w:t xml:space="preserve">3.14.4　全控路网：跨越城市边界的延伸</w:t>
      </w:r>
    </w:p>
    <w:p>
      <w:pPr>
        <w:numPr>
          <w:ilvl w:val="0"/>
          <w:numId w:val="1003"/>
        </w:numPr>
      </w:pPr>
      <w:r>
        <w:t xml:space="preserve">3.14.5　控制权的逐级移交</w:t>
      </w:r>
    </w:p>
    <w:p>
      <w:pPr>
        <w:numPr>
          <w:ilvl w:val="0"/>
          <w:numId w:val="1003"/>
        </w:numPr>
      </w:pPr>
      <w:r>
        <w:t xml:space="preserve">3.14.6　人工审查节点：六秒窗口的制度设计</w:t>
      </w:r>
    </w:p>
    <w:p>
      <w:pPr>
        <w:numPr>
          <w:ilvl w:val="0"/>
          <w:numId w:val="1003"/>
        </w:numPr>
      </w:pPr>
      <w:r>
        <w:t xml:space="preserve">3.14.7　算力架构：三千万城市的系统规模</w:t>
      </w:r>
    </w:p>
    <w:p>
      <w:pPr>
        <w:numPr>
          <w:ilvl w:val="0"/>
          <w:numId w:val="1003"/>
        </w:numPr>
      </w:pPr>
      <w:r>
        <w:t xml:space="preserve">3.14.8　数据副产品与监控整合</w:t>
      </w:r>
    </w:p>
    <w:p>
      <w:pPr>
        <w:numPr>
          <w:ilvl w:val="0"/>
          <w:numId w:val="1003"/>
        </w:numPr>
      </w:pPr>
      <w:r>
        <w:t xml:space="preserve">3.14.9　中美两套体系的技术差异</w:t>
      </w:r>
    </w:p>
    <w:p>
      <w:pPr>
        <w:numPr>
          <w:ilvl w:val="0"/>
          <w:numId w:val="1003"/>
        </w:numPr>
      </w:pPr>
      <w:r>
        <w:t xml:space="preserve">3.14.10　演化脉络：从人工驾驶到制度性冗余</w:t>
      </w:r>
    </w:p>
    <w:p>
      <w:pPr>
        <w:numPr>
          <w:ilvl w:val="0"/>
          <w:numId w:val="1003"/>
        </w:numPr>
      </w:pPr>
      <w:r>
        <w:t xml:space="preserve">3.14.11　高速体系的覆盖边界：全控高速路段</w:t>
      </w:r>
    </w:p>
    <w:p>
      <w:pPr>
        <w:numPr>
          <w:ilvl w:val="0"/>
          <w:numId w:val="1003"/>
        </w:numPr>
      </w:pPr>
      <w:r>
        <w:t xml:space="preserve">3.14.12　固定高速入口与出口</w:t>
      </w:r>
    </w:p>
    <w:p>
      <w:pPr>
        <w:numPr>
          <w:ilvl w:val="0"/>
          <w:numId w:val="1003"/>
        </w:numPr>
      </w:pPr>
      <w:r>
        <w:t xml:space="preserve">3.14.13　道路控制安全性框架</w:t>
      </w:r>
    </w:p>
    <w:p>
      <w:pPr>
        <w:numPr>
          <w:ilvl w:val="0"/>
          <w:numId w:val="1003"/>
        </w:numPr>
      </w:pPr>
      <w:r>
        <w:t xml:space="preserve">3.14.14　安全层级</w:t>
      </w:r>
    </w:p>
    <w:p>
      <w:pPr>
        <w:numPr>
          <w:ilvl w:val="0"/>
          <w:numId w:val="1003"/>
        </w:numPr>
      </w:pPr>
      <w:r>
        <w:t xml:space="preserve">3.14.15　用户在车内的决策权</w:t>
      </w:r>
    </w:p>
    <w:p>
      <w:pPr>
        <w:numPr>
          <w:ilvl w:val="0"/>
          <w:numId w:val="1003"/>
        </w:numPr>
      </w:pPr>
      <w:r>
        <w:t xml:space="preserve">3.14.16　网络安全与双体系隔离</w:t>
      </w:r>
    </w:p>
    <w:p>
      <w:pPr>
        <w:numPr>
          <w:ilvl w:val="0"/>
          <w:numId w:val="1003"/>
        </w:numPr>
      </w:pPr>
      <w:r>
        <w:t xml:space="preserve">3.14.17　Muule的最小自主安全能力</w:t>
      </w:r>
    </w:p>
    <w:p>
      <w:pPr>
        <w:numPr>
          <w:ilvl w:val="0"/>
          <w:numId w:val="1003"/>
        </w:numPr>
      </w:pPr>
      <w:r>
        <w:t xml:space="preserve">3.14.18　与多态社会的对应</w:t>
      </w:r>
    </w:p>
    <w:p>
      <w:pPr>
        <w:numPr>
          <w:ilvl w:val="0"/>
          <w:numId w:val="1003"/>
        </w:numPr>
      </w:pPr>
      <w:r>
        <w:t xml:space="preserve">3.15　海洋运输体系</w:t>
      </w:r>
    </w:p>
    <w:p>
      <w:pPr>
        <w:numPr>
          <w:ilvl w:val="0"/>
          <w:numId w:val="1003"/>
        </w:numPr>
      </w:pPr>
      <w:r>
        <w:t xml:space="preserve">3.15.1　传统远洋货运：效率革新，结构延续</w:t>
      </w:r>
    </w:p>
    <w:p>
      <w:pPr>
        <w:numPr>
          <w:ilvl w:val="0"/>
          <w:numId w:val="1003"/>
        </w:numPr>
      </w:pPr>
      <w:r>
        <w:t xml:space="preserve">3.15.2　地效应飞行器：大宗货物的速度层</w:t>
      </w:r>
    </w:p>
    <w:p>
      <w:pPr>
        <w:numPr>
          <w:ilvl w:val="0"/>
          <w:numId w:val="1003"/>
        </w:numPr>
      </w:pPr>
      <w:r>
        <w:t xml:space="preserve">3.15.3　深海城镇供应链：极端环境下的三层物流</w:t>
      </w:r>
    </w:p>
    <w:p>
      <w:pPr>
        <w:numPr>
          <w:ilvl w:val="0"/>
          <w:numId w:val="1003"/>
        </w:numPr>
      </w:pPr>
      <w:r>
        <w:t xml:space="preserve">3.15.4　补给浮台：深海经济的物流节点</w:t>
      </w:r>
    </w:p>
    <w:p>
      <w:pPr>
        <w:numPr>
          <w:ilvl w:val="0"/>
          <w:numId w:val="1003"/>
        </w:numPr>
      </w:pPr>
      <w:r>
        <w:t xml:space="preserve">3.16　航空交通体系</w:t>
      </w:r>
    </w:p>
    <w:p>
      <w:pPr>
        <w:numPr>
          <w:ilvl w:val="0"/>
          <w:numId w:val="1003"/>
        </w:numPr>
      </w:pPr>
      <w:r>
        <w:t xml:space="preserve">3.16.1　常规旅客航空：无可替代的长距离主干</w:t>
      </w:r>
    </w:p>
    <w:p>
      <w:pPr>
        <w:numPr>
          <w:ilvl w:val="0"/>
          <w:numId w:val="1003"/>
        </w:numPr>
      </w:pPr>
      <w:r>
        <w:t xml:space="preserve">3.16.2　城际支线航空：高铁边界之外的中距离填补</w:t>
      </w:r>
    </w:p>
    <w:p>
      <w:pPr>
        <w:numPr>
          <w:ilvl w:val="0"/>
          <w:numId w:val="1003"/>
        </w:numPr>
      </w:pPr>
      <w:r>
        <w:t xml:space="preserve">3.16.3　STOL与eVTOL：末梢连通的填补层</w:t>
      </w:r>
    </w:p>
    <w:p>
      <w:pPr>
        <w:numPr>
          <w:ilvl w:val="0"/>
          <w:numId w:val="1003"/>
        </w:numPr>
      </w:pPr>
      <w:r>
        <w:t xml:space="preserve">3.16.4　STOL的四个真实场景</w:t>
      </w:r>
    </w:p>
    <w:p>
      <w:pPr>
        <w:numPr>
          <w:ilvl w:val="0"/>
          <w:numId w:val="1003"/>
        </w:numPr>
      </w:pPr>
      <w:r>
        <w:t xml:space="preserve">3.16.6　航空体系与合成燃料的相互支撑</w:t>
      </w:r>
    </w:p>
    <w:p>
      <w:pPr>
        <w:numPr>
          <w:ilvl w:val="0"/>
          <w:numId w:val="1003"/>
        </w:numPr>
      </w:pPr>
      <w:r>
        <w:t xml:space="preserve">3.16.7　内陆连接飞行器：应对机场荒废的设计</w:t>
      </w:r>
    </w:p>
    <w:p>
      <w:pPr>
        <w:numPr>
          <w:ilvl w:val="0"/>
          <w:numId w:val="1003"/>
        </w:numPr>
      </w:pPr>
      <w:r>
        <w:t xml:space="preserve">3.16.8　燃料技术方案比较</w:t>
      </w:r>
    </w:p>
    <w:p>
      <w:pPr>
        <w:numPr>
          <w:ilvl w:val="0"/>
          <w:numId w:val="1003"/>
        </w:numPr>
      </w:pPr>
      <w:r>
        <w:t xml:space="preserve">3.16.9　内陆连接飞行器技术参数</w:t>
      </w:r>
    </w:p>
    <w:p>
      <w:pPr>
        <w:numPr>
          <w:ilvl w:val="0"/>
          <w:numId w:val="1003"/>
        </w:numPr>
      </w:pPr>
      <w:r>
        <w:t xml:space="preserve">3.17　2072年货运体系全貌</w:t>
      </w:r>
    </w:p>
    <w:p>
      <w:pPr>
        <w:numPr>
          <w:ilvl w:val="0"/>
          <w:numId w:val="1003"/>
        </w:numPr>
      </w:pPr>
      <w:r>
        <w:t xml:space="preserve">3.17.1　货运链的完整逻辑</w:t>
      </w:r>
    </w:p>
    <w:p>
      <w:pPr>
        <w:numPr>
          <w:ilvl w:val="0"/>
          <w:numId w:val="1003"/>
        </w:numPr>
      </w:pPr>
      <w:r>
        <w:t xml:space="preserve">3.18　城市数字基础设施：AI治理系统与节点</w:t>
      </w:r>
    </w:p>
    <w:p>
      <w:pPr>
        <w:numPr>
          <w:ilvl w:val="0"/>
          <w:numId w:val="1003"/>
        </w:numPr>
      </w:pPr>
      <w:r>
        <w:t xml:space="preserve">3.18.1　核心系统架构</w:t>
      </w:r>
    </w:p>
    <w:p>
      <w:pPr>
        <w:numPr>
          <w:ilvl w:val="0"/>
          <w:numId w:val="1003"/>
        </w:numPr>
      </w:pPr>
      <w:r>
        <w:t xml:space="preserve">3.18.2　城市AI治理的极限</w:t>
      </w:r>
    </w:p>
    <w:p>
      <w:pPr>
        <w:numPr>
          <w:ilvl w:val="0"/>
          <w:numId w:val="1003"/>
        </w:numPr>
      </w:pPr>
      <w:r>
        <w:t xml:space="preserve">3.19　数字数据基础设施</w:t>
      </w:r>
    </w:p>
    <w:p>
      <w:pPr>
        <w:numPr>
          <w:ilvl w:val="0"/>
          <w:numId w:val="1003"/>
        </w:numPr>
      </w:pPr>
      <w:r>
        <w:t xml:space="preserve">3.19.1　数据采集的技术基础</w:t>
      </w:r>
    </w:p>
    <w:p>
      <w:pPr>
        <w:numPr>
          <w:ilvl w:val="0"/>
          <w:numId w:val="1003"/>
        </w:numPr>
      </w:pPr>
      <w:r>
        <w:t xml:space="preserve">3.19.2　A1体系：分散架构、商业驱动的数据质量与法律边界</w:t>
      </w:r>
    </w:p>
    <w:p>
      <w:pPr>
        <w:numPr>
          <w:ilvl w:val="0"/>
          <w:numId w:val="1003"/>
        </w:numPr>
      </w:pPr>
      <w:r>
        <w:t xml:space="preserve">3.19.3　A2体系：国家统一数据架构与系统性滞后</w:t>
      </w:r>
    </w:p>
    <w:p>
      <w:pPr>
        <w:numPr>
          <w:ilvl w:val="0"/>
          <w:numId w:val="1003"/>
        </w:numPr>
      </w:pPr>
      <w:r>
        <w:t xml:space="preserve">3.19.4　数据体系的结构性比较</w:t>
      </w:r>
    </w:p>
    <w:p>
      <w:pPr>
        <w:numPr>
          <w:ilvl w:val="0"/>
          <w:numId w:val="1003"/>
        </w:numPr>
      </w:pPr>
      <w:r>
        <w:t xml:space="preserve">3.20　媒体生态：专业媒体与自媒体</w:t>
      </w:r>
    </w:p>
    <w:p>
      <w:pPr>
        <w:numPr>
          <w:ilvl w:val="0"/>
          <w:numId w:val="1003"/>
        </w:numPr>
      </w:pPr>
      <w:r>
        <w:t xml:space="preserve">3.20.1　技术基础：生产侧与分发侧的双重颠覆</w:t>
      </w:r>
    </w:p>
    <w:p>
      <w:pPr>
        <w:numPr>
          <w:ilvl w:val="0"/>
          <w:numId w:val="1003"/>
        </w:numPr>
      </w:pPr>
      <w:r>
        <w:t xml:space="preserve">3.20.2　A1体系：专业媒体的收缩、自媒体的分层与第一修正案的张力</w:t>
      </w:r>
    </w:p>
    <w:p>
      <w:pPr>
        <w:numPr>
          <w:ilvl w:val="0"/>
          <w:numId w:val="1003"/>
        </w:numPr>
      </w:pPr>
      <w:r>
        <w:t xml:space="preserve">3.20.3　A2体系：媒体作为治理组件</w:t>
      </w:r>
    </w:p>
    <w:p>
      <w:pPr>
        <w:numPr>
          <w:ilvl w:val="0"/>
          <w:numId w:val="1003"/>
        </w:numPr>
      </w:pPr>
      <w:r>
        <w:t xml:space="preserve">3.20.4　跨体系信息流动</w:t>
      </w:r>
    </w:p>
    <w:p>
      <w:pPr>
        <w:numPr>
          <w:ilvl w:val="0"/>
          <w:numId w:val="1003"/>
        </w:numPr>
      </w:pPr>
      <w:r>
        <w:t xml:space="preserve">3.21　信息战与认知战争</w:t>
      </w:r>
    </w:p>
    <w:p>
      <w:pPr>
        <w:numPr>
          <w:ilvl w:val="0"/>
          <w:numId w:val="1003"/>
        </w:numPr>
      </w:pPr>
      <w:r>
        <w:t xml:space="preserve">3.21.1　主要战法</w:t>
      </w:r>
    </w:p>
    <w:p>
      <w:pPr>
        <w:numPr>
          <w:ilvl w:val="0"/>
          <w:numId w:val="1003"/>
        </w:numPr>
      </w:pPr>
      <w:r>
        <w:t xml:space="preserve">3.21.2　防御困境</w:t>
      </w:r>
    </w:p>
    <w:p>
      <w:pPr>
        <w:numPr>
          <w:ilvl w:val="0"/>
          <w:numId w:val="1003"/>
        </w:numPr>
      </w:pPr>
      <w:r>
        <w:t xml:space="preserve">3.21.3　信息战的不对称现实与A1体系的防御资产</w:t>
      </w:r>
    </w:p>
    <w:p>
      <w:pPr>
        <w:pStyle w:val="FirstParagraph"/>
      </w:pPr>
      <w:r>
        <w:rPr>
          <w:bCs/>
          <w:b/>
        </w:rPr>
        <w:t xml:space="preserve">第四部分　经济图景：技术进展的分配后果</w:t>
      </w:r>
    </w:p>
    <w:p>
      <w:pPr>
        <w:numPr>
          <w:ilvl w:val="0"/>
          <w:numId w:val="1004"/>
        </w:numPr>
      </w:pPr>
      <w:r>
        <w:t xml:space="preserve">4.1　产业冲击时间线：AI与聚变的叠加展开</w:t>
      </w:r>
    </w:p>
    <w:p>
      <w:pPr>
        <w:numPr>
          <w:ilvl w:val="0"/>
          <w:numId w:val="1004"/>
        </w:numPr>
      </w:pPr>
      <w:r>
        <w:t xml:space="preserve">4.1.1　第一阶段：AI主导，聚变尚在研发（2027—2040）</w:t>
      </w:r>
    </w:p>
    <w:p>
      <w:pPr>
        <w:numPr>
          <w:ilvl w:val="0"/>
          <w:numId w:val="1004"/>
        </w:numPr>
      </w:pPr>
      <w:r>
        <w:t xml:space="preserve">4.1.2　第二阶段：AI加速与聚变上线（2040—2055）</w:t>
      </w:r>
    </w:p>
    <w:p>
      <w:pPr>
        <w:numPr>
          <w:ilvl w:val="0"/>
          <w:numId w:val="1004"/>
        </w:numPr>
      </w:pPr>
      <w:r>
        <w:t xml:space="preserve">4.1.3　第三阶段：两线收束，产业稳态形成（2055—2072）</w:t>
      </w:r>
    </w:p>
    <w:p>
      <w:pPr>
        <w:numPr>
          <w:ilvl w:val="0"/>
          <w:numId w:val="1004"/>
        </w:numPr>
      </w:pPr>
      <w:r>
        <w:t xml:space="preserve">4.2　就业冲击时间线：替代、裸露与制度响应</w:t>
      </w:r>
    </w:p>
    <w:p>
      <w:pPr>
        <w:numPr>
          <w:ilvl w:val="0"/>
          <w:numId w:val="1004"/>
        </w:numPr>
      </w:pPr>
      <w:r>
        <w:t xml:space="preserve">4.2.1　裸露期的结构：财富增长为何不能自动填补制度空白</w:t>
      </w:r>
    </w:p>
    <w:p>
      <w:pPr>
        <w:numPr>
          <w:ilvl w:val="0"/>
          <w:numId w:val="1004"/>
        </w:numPr>
      </w:pPr>
      <w:r>
        <w:t xml:space="preserve">4.2.2　第一阶段：AI裸露期开始，聚变尚不提供物质兜底（2027—2047）</w:t>
      </w:r>
    </w:p>
    <w:p>
      <w:pPr>
        <w:numPr>
          <w:ilvl w:val="0"/>
          <w:numId w:val="1004"/>
        </w:numPr>
      </w:pPr>
      <w:r>
        <w:t xml:space="preserve">4.2.3　第二阶段：关键交汇窗口——物质兜底与制度需求同时到位（2049—2059）</w:t>
      </w:r>
    </w:p>
    <w:p>
      <w:pPr>
        <w:numPr>
          <w:ilvl w:val="0"/>
          <w:numId w:val="1004"/>
        </w:numPr>
      </w:pPr>
      <w:r>
        <w:t xml:space="preserve">4.2.4　第三阶段：稳态就业结构与意义危机（2059—2072）</w:t>
      </w:r>
    </w:p>
    <w:p>
      <w:pPr>
        <w:numPr>
          <w:ilvl w:val="0"/>
          <w:numId w:val="1004"/>
        </w:numPr>
      </w:pPr>
      <w:r>
        <w:t xml:space="preserve">4.3　两大体系的经济逻辑与各类经济体的冲击响应</w:t>
      </w:r>
    </w:p>
    <w:p>
      <w:pPr>
        <w:numPr>
          <w:ilvl w:val="0"/>
          <w:numId w:val="1004"/>
        </w:numPr>
      </w:pPr>
      <w:r>
        <w:t xml:space="preserve">4.3.1　A1体系的经济与社会逻辑</w:t>
      </w:r>
    </w:p>
    <w:p>
      <w:pPr>
        <w:numPr>
          <w:ilvl w:val="0"/>
          <w:numId w:val="1004"/>
        </w:numPr>
      </w:pPr>
      <w:r>
        <w:t xml:space="preserve">4.3.2　A2体系的经济与社会逻辑</w:t>
      </w:r>
    </w:p>
    <w:p>
      <w:pPr>
        <w:numPr>
          <w:ilvl w:val="0"/>
          <w:numId w:val="1004"/>
        </w:numPr>
      </w:pPr>
      <w:r>
        <w:t xml:space="preserve">4.3.3　阵营格局的形成与边界性质</w:t>
      </w:r>
    </w:p>
    <w:p>
      <w:pPr>
        <w:numPr>
          <w:ilvl w:val="0"/>
          <w:numId w:val="1004"/>
        </w:numPr>
      </w:pPr>
      <w:r>
        <w:t xml:space="preserve">4.3.4　A1体系与B1类：吸收动荡，建立制度缓冲</w:t>
      </w:r>
    </w:p>
    <w:p>
      <w:pPr>
        <w:numPr>
          <w:ilvl w:val="0"/>
          <w:numId w:val="1004"/>
        </w:numPr>
      </w:pPr>
      <w:r>
        <w:t xml:space="preserve">4.3.5　A2体系与B2类：国家主导吸收，配给体系扩张</w:t>
      </w:r>
    </w:p>
    <w:p>
      <w:pPr>
        <w:numPr>
          <w:ilvl w:val="0"/>
          <w:numId w:val="1004"/>
        </w:numPr>
      </w:pPr>
      <w:r>
        <w:t xml:space="preserve">4.3.6　D类资源出口国：能源需求消失与矿产竞争重构</w:t>
      </w:r>
    </w:p>
    <w:p>
      <w:pPr>
        <w:numPr>
          <w:ilvl w:val="0"/>
          <w:numId w:val="1004"/>
        </w:numPr>
      </w:pPr>
      <w:r>
        <w:t xml:space="preserve">4.3.7　C类对冲自主体：双轨代价与内部分化</w:t>
      </w:r>
    </w:p>
    <w:p>
      <w:pPr>
        <w:numPr>
          <w:ilvl w:val="0"/>
          <w:numId w:val="1004"/>
        </w:numPr>
      </w:pPr>
      <w:r>
        <w:t xml:space="preserve">4.3.8　B2类成员：农业冲击与制造业被越过</w:t>
      </w:r>
    </w:p>
    <w:p>
      <w:pPr>
        <w:numPr>
          <w:ilvl w:val="0"/>
          <w:numId w:val="1004"/>
        </w:numPr>
      </w:pPr>
      <w:r>
        <w:t xml:space="preserve">4.3.9　E类：脱嵌与扩大的鸿沟</w:t>
      </w:r>
    </w:p>
    <w:p>
      <w:pPr>
        <w:numPr>
          <w:ilvl w:val="0"/>
          <w:numId w:val="1004"/>
        </w:numPr>
      </w:pPr>
      <w:r>
        <w:t xml:space="preserve">4.4　聚变能源的经济后果</w:t>
      </w:r>
    </w:p>
    <w:p>
      <w:pPr>
        <w:numPr>
          <w:ilvl w:val="0"/>
          <w:numId w:val="1004"/>
        </w:numPr>
      </w:pPr>
      <w:r>
        <w:t xml:space="preserve">4.4.1　聚变能源成本的重构：渐进过程而非一步到位</w:t>
      </w:r>
    </w:p>
    <w:p>
      <w:pPr>
        <w:numPr>
          <w:ilvl w:val="0"/>
          <w:numId w:val="1004"/>
        </w:numPr>
      </w:pPr>
      <w:r>
        <w:t xml:space="preserve">4.4.2　聚变技术作为地缘杠杆</w:t>
      </w:r>
    </w:p>
    <w:p>
      <w:pPr>
        <w:numPr>
          <w:ilvl w:val="0"/>
          <w:numId w:val="1004"/>
        </w:numPr>
      </w:pPr>
      <w:r>
        <w:t xml:space="preserve">4.4.3　气候环境规则：利益、道义与渗透</w:t>
      </w:r>
    </w:p>
    <w:p>
      <w:pPr>
        <w:numPr>
          <w:ilvl w:val="0"/>
          <w:numId w:val="1004"/>
        </w:numPr>
      </w:pPr>
      <w:r>
        <w:t xml:space="preserve">4.5　原材料的经济后果</w:t>
      </w:r>
    </w:p>
    <w:p>
      <w:pPr>
        <w:numPr>
          <w:ilvl w:val="0"/>
          <w:numId w:val="1004"/>
        </w:numPr>
      </w:pPr>
      <w:r>
        <w:t xml:space="preserve">4.5.1　新技术对原材料生产经济学的重写</w:t>
      </w:r>
    </w:p>
    <w:p>
      <w:pPr>
        <w:numPr>
          <w:ilvl w:val="0"/>
          <w:numId w:val="1004"/>
        </w:numPr>
      </w:pPr>
      <w:r>
        <w:t xml:space="preserve">4.5.2　矿产供给格局的战略重组</w:t>
      </w:r>
    </w:p>
    <w:p>
      <w:pPr>
        <w:numPr>
          <w:ilvl w:val="0"/>
          <w:numId w:val="1004"/>
        </w:numPr>
      </w:pPr>
      <w:r>
        <w:t xml:space="preserve">4.6　新农业的经济后果</w:t>
      </w:r>
    </w:p>
    <w:p>
      <w:pPr>
        <w:numPr>
          <w:ilvl w:val="0"/>
          <w:numId w:val="1004"/>
        </w:numPr>
      </w:pPr>
      <w:r>
        <w:t xml:space="preserve">4.6.1　新技术对农业生产经济学的重写</w:t>
      </w:r>
    </w:p>
    <w:p>
      <w:pPr>
        <w:numPr>
          <w:ilvl w:val="0"/>
          <w:numId w:val="1004"/>
        </w:numPr>
      </w:pPr>
      <w:r>
        <w:t xml:space="preserve">4.6.2　粮食安全格局的战略重组</w:t>
      </w:r>
    </w:p>
    <w:p>
      <w:pPr>
        <w:numPr>
          <w:ilvl w:val="0"/>
          <w:numId w:val="1004"/>
        </w:numPr>
      </w:pPr>
      <w:r>
        <w:t xml:space="preserve">4.7　人口、劳动力与经济：AI时代的结构性重写</w:t>
      </w:r>
    </w:p>
    <w:p>
      <w:pPr>
        <w:numPr>
          <w:ilvl w:val="0"/>
          <w:numId w:val="1004"/>
        </w:numPr>
      </w:pPr>
      <w:r>
        <w:t xml:space="preserve">4.7.1　AI时代人口经济逻辑的根本断裂</w:t>
      </w:r>
    </w:p>
    <w:p>
      <w:pPr>
        <w:numPr>
          <w:ilvl w:val="0"/>
          <w:numId w:val="1004"/>
        </w:numPr>
      </w:pPr>
      <w:r>
        <w:t xml:space="preserve">4.7.2　A1体系：老龄化管理与州际人口竞争</w:t>
      </w:r>
    </w:p>
    <w:p>
      <w:pPr>
        <w:numPr>
          <w:ilvl w:val="0"/>
          <w:numId w:val="1004"/>
        </w:numPr>
      </w:pPr>
      <w:r>
        <w:t xml:space="preserve">4.7.3　A2体系：配给差异化管理与人口集中化</w:t>
      </w:r>
    </w:p>
    <w:p>
      <w:pPr>
        <w:numPr>
          <w:ilvl w:val="0"/>
          <w:numId w:val="1004"/>
        </w:numPr>
      </w:pPr>
      <w:r>
        <w:t xml:space="preserve">4.7.4　人口持续减少国家：制度适应与人口多元化</w:t>
      </w:r>
    </w:p>
    <w:p>
      <w:pPr>
        <w:numPr>
          <w:ilvl w:val="0"/>
          <w:numId w:val="1004"/>
        </w:numPr>
      </w:pPr>
      <w:r>
        <w:t xml:space="preserve">4.7.6　人口从增长转为减少的国家：转型期的财政脆弱性</w:t>
      </w:r>
    </w:p>
    <w:p>
      <w:pPr>
        <w:numPr>
          <w:ilvl w:val="0"/>
          <w:numId w:val="1004"/>
        </w:numPr>
      </w:pPr>
      <w:r>
        <w:t xml:space="preserve">4.7.7　人口持续增长国家：马尔萨斯约束与体系进入门槛</w:t>
      </w:r>
    </w:p>
    <w:p>
      <w:pPr>
        <w:numPr>
          <w:ilvl w:val="0"/>
          <w:numId w:val="1004"/>
        </w:numPr>
      </w:pPr>
      <w:r>
        <w:t xml:space="preserve">4.8　就业结构的重组：工时、行业分化与制度联动</w:t>
      </w:r>
    </w:p>
    <w:p>
      <w:pPr>
        <w:numPr>
          <w:ilvl w:val="0"/>
          <w:numId w:val="1004"/>
        </w:numPr>
      </w:pPr>
      <w:r>
        <w:t xml:space="preserve">4.8.1　就业替代的职业特征差异</w:t>
      </w:r>
    </w:p>
    <w:p>
      <w:pPr>
        <w:numPr>
          <w:ilvl w:val="0"/>
          <w:numId w:val="1004"/>
        </w:numPr>
      </w:pPr>
      <w:r>
        <w:t xml:space="preserve">4.8.2　标准工时的历史收缩路径与2072年均衡</w:t>
      </w:r>
    </w:p>
    <w:p>
      <w:pPr>
        <w:numPr>
          <w:ilvl w:val="0"/>
          <w:numId w:val="1004"/>
        </w:numPr>
      </w:pPr>
      <w:r>
        <w:t xml:space="preserve">4.8.3　工时缩短的社会制度联动</w:t>
      </w:r>
    </w:p>
    <w:p>
      <w:pPr>
        <w:numPr>
          <w:ilvl w:val="0"/>
          <w:numId w:val="1004"/>
        </w:numPr>
      </w:pPr>
      <w:r>
        <w:t xml:space="preserve">4.8.4　BSC使退出选项真实化：谈判地位的结构性转移</w:t>
      </w:r>
    </w:p>
    <w:p>
      <w:pPr>
        <w:numPr>
          <w:ilvl w:val="0"/>
          <w:numId w:val="1004"/>
        </w:numPr>
      </w:pPr>
      <w:r>
        <w:t xml:space="preserve">4.8.5　A2体系：政府主导的政治性岗位扩张</w:t>
      </w:r>
    </w:p>
    <w:p>
      <w:pPr>
        <w:numPr>
          <w:ilvl w:val="0"/>
          <w:numId w:val="1004"/>
        </w:numPr>
      </w:pPr>
      <w:r>
        <w:t xml:space="preserve">4.8.6　就业统计的根本危机与新政策锚点</w:t>
      </w:r>
    </w:p>
    <w:p>
      <w:pPr>
        <w:numPr>
          <w:ilvl w:val="0"/>
          <w:numId w:val="1004"/>
        </w:numPr>
      </w:pPr>
      <w:r>
        <w:t xml:space="preserve">4.8.7　退出就业：两套体系的不同处理</w:t>
      </w:r>
    </w:p>
    <w:p>
      <w:pPr>
        <w:numPr>
          <w:ilvl w:val="0"/>
          <w:numId w:val="1004"/>
        </w:numPr>
      </w:pPr>
      <w:r>
        <w:t xml:space="preserve">4.9　社会保障制度</w:t>
      </w:r>
    </w:p>
    <w:p>
      <w:pPr>
        <w:numPr>
          <w:ilvl w:val="0"/>
          <w:numId w:val="1004"/>
        </w:numPr>
      </w:pPr>
      <w:r>
        <w:t xml:space="preserve">4.9.1　A1体系：BSC与多层社会保障的演化</w:t>
      </w:r>
    </w:p>
    <w:p>
      <w:pPr>
        <w:numPr>
          <w:ilvl w:val="0"/>
          <w:numId w:val="1004"/>
        </w:numPr>
      </w:pPr>
      <w:r>
        <w:t xml:space="preserve">4.9.2　A2体系：供应票据与双轨分配的制度逻辑</w:t>
      </w:r>
    </w:p>
    <w:p>
      <w:pPr>
        <w:numPr>
          <w:ilvl w:val="0"/>
          <w:numId w:val="1004"/>
        </w:numPr>
      </w:pPr>
      <w:r>
        <w:t xml:space="preserve">4.9.3　欧洲：福利国家的再校准</w:t>
      </w:r>
    </w:p>
    <w:p>
      <w:pPr>
        <w:numPr>
          <w:ilvl w:val="0"/>
          <w:numId w:val="1004"/>
        </w:numPr>
      </w:pPr>
      <w:r>
        <w:t xml:space="preserve">4.9.4　民主东亚：制度适应与压力内化</w:t>
      </w:r>
    </w:p>
    <w:p>
      <w:pPr>
        <w:numPr>
          <w:ilvl w:val="0"/>
          <w:numId w:val="1004"/>
        </w:numPr>
      </w:pPr>
      <w:r>
        <w:t xml:space="preserve">4.9.5　其他地区：结构性缺席与有限替代</w:t>
      </w:r>
    </w:p>
    <w:p>
      <w:pPr>
        <w:numPr>
          <w:ilvl w:val="0"/>
          <w:numId w:val="1004"/>
        </w:numPr>
      </w:pPr>
      <w:r>
        <w:t xml:space="preserve">4.9.6　相对价格重组：技术进步如何改变社保的财政可负担性</w:t>
      </w:r>
    </w:p>
    <w:p>
      <w:pPr>
        <w:numPr>
          <w:ilvl w:val="0"/>
          <w:numId w:val="1004"/>
        </w:numPr>
      </w:pPr>
      <w:r>
        <w:t xml:space="preserve">4.10　财政框架</w:t>
      </w:r>
    </w:p>
    <w:p>
      <w:pPr>
        <w:numPr>
          <w:ilvl w:val="0"/>
          <w:numId w:val="1004"/>
        </w:numPr>
      </w:pPr>
      <w:r>
        <w:t xml:space="preserve">4.10.1　A1体系：税收结构重组</w:t>
      </w:r>
    </w:p>
    <w:p>
      <w:pPr>
        <w:numPr>
          <w:ilvl w:val="0"/>
          <w:numId w:val="1004"/>
        </w:numPr>
      </w:pPr>
      <w:r>
        <w:t xml:space="preserve">4.10.2　联邦财政宏观框架：可管理的持续赤字</w:t>
      </w:r>
    </w:p>
    <w:p>
      <w:pPr>
        <w:numPr>
          <w:ilvl w:val="0"/>
          <w:numId w:val="1004"/>
        </w:numPr>
      </w:pPr>
      <w:r>
        <w:t xml:space="preserve">4.10.3　纵向税收结构：联邦先占高增长税基</w:t>
      </w:r>
    </w:p>
    <w:p>
      <w:pPr>
        <w:numPr>
          <w:ilvl w:val="0"/>
          <w:numId w:val="1004"/>
        </w:numPr>
      </w:pPr>
      <w:r>
        <w:t xml:space="preserve">4.10.4　州际竞争的演化：税源竞争到人口竞争</w:t>
      </w:r>
    </w:p>
    <w:p>
      <w:pPr>
        <w:numPr>
          <w:ilvl w:val="0"/>
          <w:numId w:val="1004"/>
        </w:numPr>
      </w:pPr>
      <w:r>
        <w:t xml:space="preserve">4.10.5　税源竞争（2027—2055）</w:t>
      </w:r>
    </w:p>
    <w:p>
      <w:pPr>
        <w:numPr>
          <w:ilvl w:val="0"/>
          <w:numId w:val="1004"/>
        </w:numPr>
      </w:pPr>
      <w:r>
        <w:t xml:space="preserve">4.10.6　遗产税与资本利得税的间接调节机制</w:t>
      </w:r>
    </w:p>
    <w:p>
      <w:pPr>
        <w:numPr>
          <w:ilvl w:val="0"/>
          <w:numId w:val="1004"/>
        </w:numPr>
      </w:pPr>
      <w:r>
        <w:t xml:space="preserve">4.10.7　A2体系：直达配给、人口集中化与地方财政分化</w:t>
      </w:r>
    </w:p>
    <w:p>
      <w:pPr>
        <w:numPr>
          <w:ilvl w:val="0"/>
          <w:numId w:val="1004"/>
        </w:numPr>
      </w:pPr>
      <w:r>
        <w:t xml:space="preserve">4.10.8　就业税收抵免：A2的制度张力与A1的过渡性工具</w:t>
      </w:r>
    </w:p>
    <w:p>
      <w:pPr>
        <w:numPr>
          <w:ilvl w:val="0"/>
          <w:numId w:val="1004"/>
        </w:numPr>
      </w:pPr>
      <w:r>
        <w:t xml:space="preserve">4.11　货币政策：A1体系</w:t>
      </w:r>
    </w:p>
    <w:p>
      <w:pPr>
        <w:numPr>
          <w:ilvl w:val="0"/>
          <w:numId w:val="1004"/>
        </w:numPr>
      </w:pPr>
      <w:r>
        <w:t xml:space="preserve">4.11.1　CPI失效：测量基础的结构性断裂</w:t>
      </w:r>
    </w:p>
    <w:p>
      <w:pPr>
        <w:numPr>
          <w:ilvl w:val="0"/>
          <w:numId w:val="1004"/>
        </w:numPr>
      </w:pPr>
      <w:r>
        <w:t xml:space="preserve">4.11.2　替代锚定体系：双篮子分层指标</w:t>
      </w:r>
    </w:p>
    <w:p>
      <w:pPr>
        <w:numPr>
          <w:ilvl w:val="0"/>
          <w:numId w:val="1004"/>
        </w:numPr>
      </w:pPr>
      <w:r>
        <w:t xml:space="preserve">4.11.3　货币政策对财政的三条传导链</w:t>
      </w:r>
    </w:p>
    <w:p>
      <w:pPr>
        <w:numPr>
          <w:ilvl w:val="0"/>
          <w:numId w:val="1004"/>
        </w:numPr>
      </w:pPr>
      <w:r>
        <w:t xml:space="preserve">4.11.4　A1体系：税收结构演化与货币政策的共同重塑</w:t>
      </w:r>
    </w:p>
    <w:p>
      <w:pPr>
        <w:numPr>
          <w:ilvl w:val="0"/>
          <w:numId w:val="1004"/>
        </w:numPr>
      </w:pPr>
      <w:r>
        <w:t xml:space="preserve">4.11.5　多层货币架构：设计逻辑与现实摩擦</w:t>
      </w:r>
    </w:p>
    <w:p>
      <w:pPr>
        <w:numPr>
          <w:ilvl w:val="0"/>
          <w:numId w:val="1004"/>
        </w:numPr>
      </w:pPr>
      <w:r>
        <w:t xml:space="preserve">4.11.6　利率政策在多层架构中的传导重构</w:t>
      </w:r>
    </w:p>
    <w:p>
      <w:pPr>
        <w:numPr>
          <w:ilvl w:val="0"/>
          <w:numId w:val="1004"/>
        </w:numPr>
      </w:pPr>
      <w:r>
        <w:t xml:space="preserve">4.11.7　双锚协议：财政—货币协调的制度性解决</w:t>
      </w:r>
    </w:p>
    <w:p>
      <w:pPr>
        <w:numPr>
          <w:ilvl w:val="0"/>
          <w:numId w:val="1004"/>
        </w:numPr>
      </w:pPr>
      <w:r>
        <w:t xml:space="preserve">4.11.8　BSC的自我膨胀逻辑与长期演化</w:t>
      </w:r>
    </w:p>
    <w:p>
      <w:pPr>
        <w:numPr>
          <w:ilvl w:val="0"/>
          <w:numId w:val="1004"/>
        </w:numPr>
      </w:pPr>
      <w:r>
        <w:t xml:space="preserve">4.12　货币政策：A2体系</w:t>
      </w:r>
    </w:p>
    <w:p>
      <w:pPr>
        <w:numPr>
          <w:ilvl w:val="0"/>
          <w:numId w:val="1004"/>
        </w:numPr>
      </w:pPr>
      <w:r>
        <w:t xml:space="preserve">4.12.1　测量基础：全丰度数据的优势与政治性失真</w:t>
      </w:r>
    </w:p>
    <w:p>
      <w:pPr>
        <w:numPr>
          <w:ilvl w:val="0"/>
          <w:numId w:val="1004"/>
        </w:numPr>
      </w:pPr>
      <w:r>
        <w:t xml:space="preserve">4.12.2　双轨分配架构：货币薪资与供应票据</w:t>
      </w:r>
    </w:p>
    <w:p>
      <w:pPr>
        <w:numPr>
          <w:ilvl w:val="0"/>
          <w:numId w:val="1004"/>
        </w:numPr>
      </w:pPr>
      <w:r>
        <w:t xml:space="preserve">4.12.3　币值锚定：算法定价与政府权威的结合</w:t>
      </w:r>
    </w:p>
    <w:p>
      <w:pPr>
        <w:numPr>
          <w:ilvl w:val="0"/>
          <w:numId w:val="1004"/>
        </w:numPr>
      </w:pPr>
      <w:r>
        <w:t xml:space="preserve">4.12.4　货币政策传导：定向信贷与市场渠道的并存</w:t>
      </w:r>
    </w:p>
    <w:p>
      <w:pPr>
        <w:numPr>
          <w:ilvl w:val="0"/>
          <w:numId w:val="1004"/>
        </w:numPr>
      </w:pPr>
      <w:r>
        <w:t xml:space="preserve">4.12.5　财政—货币边界的模糊化</w:t>
      </w:r>
    </w:p>
    <w:p>
      <w:pPr>
        <w:numPr>
          <w:ilvl w:val="0"/>
          <w:numId w:val="1004"/>
        </w:numPr>
      </w:pPr>
      <w:r>
        <w:t xml:space="preserve">4.12.6　数据反污染：四层监察架构</w:t>
      </w:r>
    </w:p>
    <w:p>
      <w:pPr>
        <w:numPr>
          <w:ilvl w:val="0"/>
          <w:numId w:val="1004"/>
        </w:numPr>
      </w:pPr>
      <w:r>
        <w:t xml:space="preserve">4.12.7　双轨分配的长期张力</w:t>
      </w:r>
    </w:p>
    <w:p>
      <w:pPr>
        <w:numPr>
          <w:ilvl w:val="0"/>
          <w:numId w:val="1004"/>
        </w:numPr>
      </w:pPr>
      <w:r>
        <w:t xml:space="preserve">4.13　国际金融体系</w:t>
      </w:r>
    </w:p>
    <w:p>
      <w:pPr>
        <w:numPr>
          <w:ilvl w:val="0"/>
          <w:numId w:val="1004"/>
        </w:numPr>
      </w:pPr>
      <w:r>
        <w:t xml:space="preserve">4.13.1　各类货币在2072年的格局演化</w:t>
      </w:r>
    </w:p>
    <w:p>
      <w:pPr>
        <w:numPr>
          <w:ilvl w:val="0"/>
          <w:numId w:val="1004"/>
        </w:numPr>
      </w:pPr>
      <w:r>
        <w:t xml:space="preserve">4.13.2　石油美元体系的瓦解</w:t>
      </w:r>
    </w:p>
    <w:p>
      <w:pPr>
        <w:numPr>
          <w:ilvl w:val="0"/>
          <w:numId w:val="1004"/>
        </w:numPr>
      </w:pPr>
      <w:r>
        <w:t xml:space="preserve">4.13.3　境外美元化：规模变化与联储的非对称有效性</w:t>
      </w:r>
    </w:p>
    <w:p>
      <w:pPr>
        <w:numPr>
          <w:ilvl w:val="0"/>
          <w:numId w:val="1004"/>
        </w:numPr>
      </w:pPr>
      <w:r>
        <w:t xml:space="preserve">4.13.4　AI主导的金融市场</w:t>
      </w:r>
    </w:p>
    <w:p>
      <w:pPr>
        <w:numPr>
          <w:ilvl w:val="0"/>
          <w:numId w:val="1004"/>
        </w:numPr>
      </w:pPr>
      <w:r>
        <w:t xml:space="preserve">4.14　文化经济学</w:t>
      </w:r>
    </w:p>
    <w:p>
      <w:pPr>
        <w:numPr>
          <w:ilvl w:val="0"/>
          <w:numId w:val="1004"/>
        </w:numPr>
      </w:pPr>
      <w:r>
        <w:t xml:space="preserve">4.14.1　AI对文化娱乐业的结构性冲击</w:t>
      </w:r>
    </w:p>
    <w:p>
      <w:pPr>
        <w:numPr>
          <w:ilvl w:val="0"/>
          <w:numId w:val="1004"/>
        </w:numPr>
      </w:pPr>
      <w:r>
        <w:t xml:space="preserve">4.14.2　人类创作的市场分化：奢侈品与社区活动</w:t>
      </w:r>
    </w:p>
    <w:p>
      <w:pPr>
        <w:numPr>
          <w:ilvl w:val="0"/>
          <w:numId w:val="1004"/>
        </w:numPr>
      </w:pPr>
      <w:r>
        <w:t xml:space="preserve">4.14.3　娱乐产业的消费层级化</w:t>
      </w:r>
    </w:p>
    <w:p>
      <w:pPr>
        <w:numPr>
          <w:ilvl w:val="0"/>
          <w:numId w:val="1004"/>
        </w:numPr>
      </w:pPr>
      <w:r>
        <w:t xml:space="preserve">4.14.4　地方文化的价值复兴</w:t>
      </w:r>
    </w:p>
    <w:p>
      <w:pPr>
        <w:numPr>
          <w:ilvl w:val="0"/>
          <w:numId w:val="1004"/>
        </w:numPr>
      </w:pPr>
      <w:r>
        <w:t xml:space="preserve">4.14.5　精神健康的医疗化与娱乐的替代争议</w:t>
      </w:r>
    </w:p>
    <w:p>
      <w:pPr>
        <w:numPr>
          <w:ilvl w:val="0"/>
          <w:numId w:val="1004"/>
        </w:numPr>
      </w:pPr>
      <w:r>
        <w:t xml:space="preserve">4.14.6　舆论极化、注意力疲劳与内容需求的结构性漂移</w:t>
      </w:r>
    </w:p>
    <w:p>
      <w:pPr>
        <w:numPr>
          <w:ilvl w:val="0"/>
          <w:numId w:val="1004"/>
        </w:numPr>
      </w:pPr>
      <w:r>
        <w:t xml:space="preserve">4.15　医疗经济学</w:t>
      </w:r>
    </w:p>
    <w:p>
      <w:pPr>
        <w:numPr>
          <w:ilvl w:val="0"/>
          <w:numId w:val="1004"/>
        </w:numPr>
      </w:pPr>
      <w:r>
        <w:t xml:space="preserve">4.15.1　成本结构的根本改变</w:t>
      </w:r>
    </w:p>
    <w:p>
      <w:pPr>
        <w:numPr>
          <w:ilvl w:val="0"/>
          <w:numId w:val="1004"/>
        </w:numPr>
      </w:pPr>
      <w:r>
        <w:t xml:space="preserve">4.15.2　寿命经济学与阶层固化</w:t>
      </w:r>
    </w:p>
    <w:p>
      <w:pPr>
        <w:numPr>
          <w:ilvl w:val="0"/>
          <w:numId w:val="1004"/>
        </w:numPr>
      </w:pPr>
      <w:r>
        <w:t xml:space="preserve">4.15.3　精神健康的医疗化争议</w:t>
      </w:r>
    </w:p>
    <w:p>
      <w:pPr>
        <w:numPr>
          <w:ilvl w:val="0"/>
          <w:numId w:val="1004"/>
        </w:numPr>
      </w:pPr>
      <w:r>
        <w:t xml:space="preserve">4.15.4　医疗产业的经济效益与后AI时代的地位上升</w:t>
      </w:r>
    </w:p>
    <w:p>
      <w:pPr>
        <w:numPr>
          <w:ilvl w:val="0"/>
          <w:numId w:val="1004"/>
        </w:numPr>
      </w:pPr>
      <w:r>
        <w:t xml:space="preserve">4.16　教育经济学</w:t>
      </w:r>
    </w:p>
    <w:p>
      <w:pPr>
        <w:numPr>
          <w:ilvl w:val="0"/>
          <w:numId w:val="1004"/>
        </w:numPr>
      </w:pPr>
      <w:r>
        <w:t xml:space="preserve">4.16.1　K12教育：从劳动力供给到儿童福利基础设施</w:t>
      </w:r>
    </w:p>
    <w:p>
      <w:pPr>
        <w:numPr>
          <w:ilvl w:val="0"/>
          <w:numId w:val="1004"/>
        </w:numPr>
      </w:pPr>
      <w:r>
        <w:t xml:space="preserve">4.16.2　高等教育：隐性再分配工具与意义缓冲</w:t>
      </w:r>
    </w:p>
    <w:p>
      <w:pPr>
        <w:numPr>
          <w:ilvl w:val="0"/>
          <w:numId w:val="1004"/>
        </w:numPr>
      </w:pPr>
      <w:r>
        <w:t xml:space="preserve">4.16.3　教育产业的经济效益</w:t>
      </w:r>
    </w:p>
    <w:p>
      <w:pPr>
        <w:numPr>
          <w:ilvl w:val="0"/>
          <w:numId w:val="1004"/>
        </w:numPr>
      </w:pPr>
      <w:r>
        <w:t xml:space="preserve">4.16.4　教育配给的A1/A2制度差异与经济后果</w:t>
      </w:r>
    </w:p>
    <w:p>
      <w:pPr>
        <w:numPr>
          <w:ilvl w:val="0"/>
          <w:numId w:val="1004"/>
        </w:numPr>
      </w:pPr>
      <w:r>
        <w:t xml:space="preserve">4.17　个人经济行为：获得、贡献与非正式经济</w:t>
      </w:r>
    </w:p>
    <w:p>
      <w:pPr>
        <w:numPr>
          <w:ilvl w:val="0"/>
          <w:numId w:val="1004"/>
        </w:numPr>
      </w:pPr>
      <w:r>
        <w:t xml:space="preserve">4.17.1　获得层的结构性变化</w:t>
      </w:r>
    </w:p>
    <w:p>
      <w:pPr>
        <w:numPr>
          <w:ilvl w:val="0"/>
          <w:numId w:val="1004"/>
        </w:numPr>
      </w:pPr>
      <w:r>
        <w:t xml:space="preserve">4.17.2　贡献层的动机重组</w:t>
      </w:r>
    </w:p>
    <w:p>
      <w:pPr>
        <w:numPr>
          <w:ilvl w:val="0"/>
          <w:numId w:val="1004"/>
        </w:numPr>
      </w:pPr>
      <w:r>
        <w:t xml:space="preserve">4.17.3　非正式经济：贡献行为的自发组织形态</w:t>
      </w:r>
    </w:p>
    <w:p>
      <w:pPr>
        <w:numPr>
          <w:ilvl w:val="0"/>
          <w:numId w:val="1004"/>
        </w:numPr>
      </w:pPr>
      <w:r>
        <w:t xml:space="preserve">4.17.4　BSC衰减函数对低产出社区的双重效应</w:t>
      </w:r>
    </w:p>
    <w:p>
      <w:pPr>
        <w:numPr>
          <w:ilvl w:val="0"/>
          <w:numId w:val="1004"/>
        </w:numPr>
      </w:pPr>
      <w:r>
        <w:t xml:space="preserve">4.17.5　A1低产出社区的外部收入渠道与分化机制</w:t>
      </w:r>
    </w:p>
    <w:p>
      <w:pPr>
        <w:numPr>
          <w:ilvl w:val="0"/>
          <w:numId w:val="1004"/>
        </w:numPr>
      </w:pPr>
      <w:r>
        <w:t xml:space="preserve">4.18　2072年的经济稳态</w:t>
      </w:r>
    </w:p>
    <w:p>
      <w:pPr>
        <w:numPr>
          <w:ilvl w:val="0"/>
          <w:numId w:val="1004"/>
        </w:numPr>
      </w:pPr>
      <w:r>
        <w:t xml:space="preserve">4.18.1　各类角色最终定位</w:t>
      </w:r>
    </w:p>
    <w:p>
      <w:pPr>
        <w:numPr>
          <w:ilvl w:val="0"/>
          <w:numId w:val="1004"/>
        </w:numPr>
      </w:pPr>
      <w:r>
        <w:t xml:space="preserve">4.18.2　两大体系的互依与脱钩边界</w:t>
      </w:r>
    </w:p>
    <w:p>
      <w:pPr>
        <w:numPr>
          <w:ilvl w:val="0"/>
          <w:numId w:val="1004"/>
        </w:numPr>
      </w:pPr>
      <w:r>
        <w:t xml:space="preserve">4.18.3　多态社会的经济物质基础</w:t>
      </w:r>
    </w:p>
    <w:p>
      <w:pPr>
        <w:numPr>
          <w:ilvl w:val="0"/>
          <w:numId w:val="1004"/>
        </w:numPr>
      </w:pPr>
      <w:r>
        <w:t xml:space="preserve">4.18.4　人口-资源稳态</w:t>
      </w:r>
    </w:p>
    <w:p>
      <w:pPr>
        <w:numPr>
          <w:ilvl w:val="0"/>
          <w:numId w:val="1004"/>
        </w:numPr>
      </w:pPr>
      <w:r>
        <w:t xml:space="preserve">5.1　第一分化阶段（约2031—2045）：制度响应分叉</w:t>
      </w:r>
    </w:p>
    <w:p>
      <w:pPr>
        <w:numPr>
          <w:ilvl w:val="0"/>
          <w:numId w:val="1004"/>
        </w:numPr>
      </w:pPr>
      <w:r>
        <w:t xml:space="preserve">5.1.1　A1体系的渐进立法路径：从补丁到BSC</w:t>
      </w:r>
    </w:p>
    <w:p>
      <w:pPr>
        <w:numPr>
          <w:ilvl w:val="0"/>
          <w:numId w:val="1004"/>
        </w:numPr>
      </w:pPr>
      <w:r>
        <w:t xml:space="preserve">5.1.2　A1制度形成后的跨路径传导</w:t>
      </w:r>
    </w:p>
    <w:p>
      <w:pPr>
        <w:numPr>
          <w:ilvl w:val="0"/>
          <w:numId w:val="1004"/>
        </w:numPr>
      </w:pPr>
      <w:r>
        <w:t xml:space="preserve">5.1.3　A2体系的制度响应：配给分层与就业绑定</w:t>
      </w:r>
    </w:p>
    <w:p>
      <w:pPr>
        <w:numPr>
          <w:ilvl w:val="0"/>
          <w:numId w:val="1004"/>
        </w:numPr>
      </w:pPr>
      <w:r>
        <w:t xml:space="preserve">5.1.4　全球南方与被遗忘地带：制度响应的结构性缺席</w:t>
      </w:r>
    </w:p>
    <w:p>
      <w:pPr>
        <w:numPr>
          <w:ilvl w:val="0"/>
          <w:numId w:val="1004"/>
        </w:numPr>
      </w:pPr>
      <w:r>
        <w:t xml:space="preserve">5.2　第二分化阶段（约2044—2055）：路径分化与红利分层</w:t>
      </w:r>
    </w:p>
    <w:p>
      <w:pPr>
        <w:numPr>
          <w:ilvl w:val="0"/>
          <w:numId w:val="1004"/>
        </w:numPr>
      </w:pPr>
      <w:r>
        <w:t xml:space="preserve">5.3　社区形态的驱动机制</w:t>
      </w:r>
    </w:p>
    <w:p>
      <w:pPr>
        <w:numPr>
          <w:ilvl w:val="0"/>
          <w:numId w:val="1004"/>
        </w:numPr>
      </w:pPr>
      <w:r>
        <w:t xml:space="preserve">5.3.1　基础设施：吸引与容纳人口的硬件逻辑</w:t>
      </w:r>
    </w:p>
    <w:p>
      <w:pPr>
        <w:numPr>
          <w:ilvl w:val="0"/>
          <w:numId w:val="1004"/>
        </w:numPr>
      </w:pPr>
      <w:r>
        <w:t xml:space="preserve">5.3.2　历史惯性：阻滞人口流动的文化、关系与制度沉积</w:t>
      </w:r>
    </w:p>
    <w:p>
      <w:pPr>
        <w:numPr>
          <w:ilvl w:val="0"/>
          <w:numId w:val="1004"/>
        </w:numPr>
      </w:pPr>
      <w:r>
        <w:t xml:space="preserve">5.3.3　家庭负担能力与人口流动：社区经济分层的形成机制</w:t>
      </w:r>
    </w:p>
    <w:p>
      <w:pPr>
        <w:numPr>
          <w:ilvl w:val="0"/>
          <w:numId w:val="1004"/>
        </w:numPr>
      </w:pPr>
      <w:r>
        <w:t xml:space="preserve">5.3.4　制度影响</w:t>
      </w:r>
    </w:p>
    <w:p>
      <w:pPr>
        <w:numPr>
          <w:ilvl w:val="0"/>
          <w:numId w:val="1004"/>
        </w:numPr>
      </w:pPr>
      <w:r>
        <w:t xml:space="preserve">5.4　家庭、亲密关系与生育</w:t>
      </w:r>
    </w:p>
    <w:p>
      <w:pPr>
        <w:numPr>
          <w:ilvl w:val="0"/>
          <w:numId w:val="1004"/>
        </w:numPr>
      </w:pPr>
      <w:r>
        <w:t xml:space="preserve">5.4.1　家庭作为经济单位：社保依赖与社区财富的机制</w:t>
      </w:r>
    </w:p>
    <w:p>
      <w:pPr>
        <w:numPr>
          <w:ilvl w:val="0"/>
          <w:numId w:val="1004"/>
        </w:numPr>
      </w:pPr>
      <w:r>
        <w:t xml:space="preserve">5.4.2　家庭结构的变化</w:t>
      </w:r>
    </w:p>
    <w:p>
      <w:pPr>
        <w:numPr>
          <w:ilvl w:val="0"/>
          <w:numId w:val="1004"/>
        </w:numPr>
      </w:pPr>
      <w:r>
        <w:t xml:space="preserve">5.4.3　AI伴侣：技术能力、制度态度与社会后果</w:t>
      </w:r>
    </w:p>
    <w:p>
      <w:pPr>
        <w:numPr>
          <w:ilvl w:val="0"/>
          <w:numId w:val="1004"/>
        </w:numPr>
      </w:pPr>
      <w:r>
        <w:t xml:space="preserve">5.4.4　生育率：意义框架的深层转变</w:t>
      </w:r>
    </w:p>
    <w:p>
      <w:pPr>
        <w:numPr>
          <w:ilvl w:val="0"/>
          <w:numId w:val="1004"/>
        </w:numPr>
      </w:pPr>
      <w:r>
        <w:t xml:space="preserve">5.5　2072年社区图景</w:t>
      </w:r>
    </w:p>
    <w:p>
      <w:pPr>
        <w:numPr>
          <w:ilvl w:val="0"/>
          <w:numId w:val="1004"/>
        </w:numPr>
      </w:pPr>
      <w:r>
        <w:t xml:space="preserve">5.5.1　A1体系的社区形态谱系</w:t>
      </w:r>
    </w:p>
    <w:p>
      <w:pPr>
        <w:numPr>
          <w:ilvl w:val="0"/>
          <w:numId w:val="1004"/>
        </w:numPr>
      </w:pPr>
      <w:r>
        <w:t xml:space="preserve">5.5.2　A2体系的社区形态图景</w:t>
      </w:r>
    </w:p>
    <w:p>
      <w:pPr>
        <w:numPr>
          <w:ilvl w:val="0"/>
          <w:numId w:val="1004"/>
        </w:numPr>
      </w:pPr>
      <w:r>
        <w:t xml:space="preserve">5.5.3　两条路径的横向对照</w:t>
      </w:r>
    </w:p>
    <w:p>
      <w:pPr>
        <w:numPr>
          <w:ilvl w:val="0"/>
          <w:numId w:val="1004"/>
        </w:numPr>
      </w:pPr>
      <w:r>
        <w:t xml:space="preserve">5.5.4　社区形态的全球地理梯队</w:t>
      </w:r>
    </w:p>
    <w:p>
      <w:pPr>
        <w:numPr>
          <w:ilvl w:val="0"/>
          <w:numId w:val="1004"/>
        </w:numPr>
      </w:pPr>
      <w:r>
        <w:t xml:space="preserve">5.6　欧洲与民主东亚：第三条路径的两种形态</w:t>
      </w:r>
    </w:p>
    <w:p>
      <w:pPr>
        <w:numPr>
          <w:ilvl w:val="0"/>
          <w:numId w:val="1004"/>
        </w:numPr>
      </w:pPr>
      <w:r>
        <w:t xml:space="preserve">5.6.1　欧洲</w:t>
      </w:r>
    </w:p>
    <w:p>
      <w:pPr>
        <w:numPr>
          <w:ilvl w:val="0"/>
          <w:numId w:val="1004"/>
        </w:numPr>
      </w:pPr>
      <w:r>
        <w:t xml:space="preserve">5.6.2　民主东亚（日本、韩国、台湾）</w:t>
      </w:r>
    </w:p>
    <w:p>
      <w:pPr>
        <w:numPr>
          <w:ilvl w:val="0"/>
          <w:numId w:val="1004"/>
        </w:numPr>
      </w:pPr>
      <w:r>
        <w:t xml:space="preserve">5.7　依附、过渡与排斥：其他路径的2072年地区图景</w:t>
      </w:r>
    </w:p>
    <w:p>
      <w:pPr>
        <w:numPr>
          <w:ilvl w:val="0"/>
          <w:numId w:val="1004"/>
        </w:numPr>
      </w:pPr>
      <w:r>
        <w:t xml:space="preserve">5.7.1　A2整合型（B2类）：依附真实，制度不可移植</w:t>
      </w:r>
    </w:p>
    <w:p>
      <w:pPr>
        <w:numPr>
          <w:ilvl w:val="0"/>
          <w:numId w:val="1004"/>
        </w:numPr>
      </w:pPr>
      <w:r>
        <w:t xml:space="preserve">5.7.2　对冲自主体（C类）：内部分化最剧烈的路径</w:t>
      </w:r>
    </w:p>
    <w:p>
      <w:pPr>
        <w:numPr>
          <w:ilvl w:val="0"/>
          <w:numId w:val="1004"/>
        </w:numPr>
      </w:pPr>
      <w:r>
        <w:t xml:space="preserve">5.7.3　印度：规模与路径的独特组合</w:t>
      </w:r>
    </w:p>
    <w:p>
      <w:pPr>
        <w:numPr>
          <w:ilvl w:val="0"/>
          <w:numId w:val="1004"/>
        </w:numPr>
      </w:pPr>
      <w:r>
        <w:t xml:space="preserve">5.7.4　资源出口国（D类）：冲击来源与内部分化</w:t>
      </w:r>
    </w:p>
    <w:p>
      <w:pPr>
        <w:numPr>
          <w:ilvl w:val="0"/>
          <w:numId w:val="1004"/>
        </w:numPr>
      </w:pPr>
      <w:r>
        <w:t xml:space="preserve">5.7.5　结构性排斥与被遗忘地带：多种经济形态的地理并存</w:t>
      </w:r>
    </w:p>
    <w:p>
      <w:pPr>
        <w:numPr>
          <w:ilvl w:val="0"/>
          <w:numId w:val="1004"/>
        </w:numPr>
      </w:pPr>
      <w:r>
        <w:t xml:space="preserve">5.8　意义危机：从心理冲击到多态稳态</w:t>
      </w:r>
    </w:p>
    <w:p>
      <w:pPr>
        <w:numPr>
          <w:ilvl w:val="0"/>
          <w:numId w:val="1004"/>
        </w:numPr>
      </w:pPr>
      <w:r>
        <w:t xml:space="preserve">5.8.1　意义危机的时序：裸露期与BSC后的性质转变</w:t>
      </w:r>
    </w:p>
    <w:p>
      <w:pPr>
        <w:numPr>
          <w:ilvl w:val="0"/>
          <w:numId w:val="1004"/>
        </w:numPr>
      </w:pPr>
      <w:r>
        <w:t xml:space="preserve">5.8.2　高等教育的四个社会功能</w:t>
      </w:r>
    </w:p>
    <w:p>
      <w:pPr>
        <w:numPr>
          <w:ilvl w:val="0"/>
          <w:numId w:val="1004"/>
        </w:numPr>
      </w:pPr>
      <w:r>
        <w:t xml:space="preserve">5.8.3　少数人处理，多数人接受：意义弧线的文化扩散机制</w:t>
      </w:r>
    </w:p>
    <w:p>
      <w:pPr>
        <w:numPr>
          <w:ilvl w:val="0"/>
          <w:numId w:val="1004"/>
        </w:numPr>
      </w:pPr>
      <w:r>
        <w:t xml:space="preserve">5.8.4　路径分化：不同的意义危机，不同的适应形态</w:t>
      </w:r>
    </w:p>
    <w:p>
      <w:pPr>
        <w:numPr>
          <w:ilvl w:val="0"/>
          <w:numId w:val="1004"/>
        </w:numPr>
      </w:pPr>
      <w:r>
        <w:t xml:space="preserve">5.8.5　2072年：心理稳态的当前状态</w:t>
      </w:r>
    </w:p>
    <w:p>
      <w:pPr>
        <w:numPr>
          <w:ilvl w:val="0"/>
          <w:numId w:val="1004"/>
        </w:numPr>
      </w:pPr>
      <w:r>
        <w:t xml:space="preserve">5.9　管控技术与社会治理</w:t>
      </w:r>
    </w:p>
    <w:p>
      <w:pPr>
        <w:numPr>
          <w:ilvl w:val="0"/>
          <w:numId w:val="1004"/>
        </w:numPr>
      </w:pPr>
      <w:r>
        <w:t xml:space="preserve">5.9.1　边境管控：遥感与精准识别</w:t>
      </w:r>
    </w:p>
    <w:p>
      <w:pPr>
        <w:numPr>
          <w:ilvl w:val="0"/>
          <w:numId w:val="1004"/>
        </w:numPr>
      </w:pPr>
      <w:r>
        <w:t xml:space="preserve">5.9.2　配给管理：依赖结构，不是定位系统</w:t>
      </w:r>
    </w:p>
    <w:p>
      <w:pPr>
        <w:numPr>
          <w:ilvl w:val="0"/>
          <w:numId w:val="1004"/>
        </w:numPr>
      </w:pPr>
      <w:r>
        <w:t xml:space="preserve">5.9.3　行为监控：技术能力的普遍化与制度边界</w:t>
      </w:r>
    </w:p>
    <w:p>
      <w:pPr>
        <w:numPr>
          <w:ilvl w:val="0"/>
          <w:numId w:val="1004"/>
        </w:numPr>
      </w:pPr>
      <w:r>
        <w:t xml:space="preserve">5.9.4　管控覆盖之外：便利性的代价与资源监控的边界</w:t>
      </w:r>
    </w:p>
    <w:p>
      <w:pPr>
        <w:numPr>
          <w:ilvl w:val="0"/>
          <w:numId w:val="1004"/>
        </w:numPr>
      </w:pPr>
      <w:r>
        <w:t xml:space="preserve">5.9.5　A1体系的社会稳定机制</w:t>
      </w:r>
    </w:p>
    <w:p>
      <w:pPr>
        <w:numPr>
          <w:ilvl w:val="0"/>
          <w:numId w:val="1004"/>
        </w:numPr>
      </w:pPr>
      <w:r>
        <w:t xml:space="preserve">5.9.6　A2体系的社会管控机制</w:t>
      </w:r>
    </w:p>
    <w:p>
      <w:pPr>
        <w:numPr>
          <w:ilvl w:val="0"/>
          <w:numId w:val="1004"/>
        </w:numPr>
      </w:pPr>
      <w:r>
        <w:t xml:space="preserve">5.9.7　其他国家：路径分化与全球化的局部萎缩</w:t>
      </w:r>
    </w:p>
    <w:p>
      <w:pPr>
        <w:numPr>
          <w:ilvl w:val="0"/>
          <w:numId w:val="1004"/>
        </w:numPr>
      </w:pPr>
      <w:r>
        <w:t xml:space="preserve">5.10　宗教与仪式</w:t>
      </w:r>
    </w:p>
    <w:p>
      <w:pPr>
        <w:numPr>
          <w:ilvl w:val="0"/>
          <w:numId w:val="1004"/>
        </w:numPr>
      </w:pPr>
      <w:r>
        <w:t xml:space="preserve">5.10.1　宗教复兴的动力</w:t>
      </w:r>
    </w:p>
    <w:p>
      <w:pPr>
        <w:numPr>
          <w:ilvl w:val="0"/>
          <w:numId w:val="1004"/>
        </w:numPr>
      </w:pPr>
      <w:r>
        <w:t xml:space="preserve">5.10.2　分化的宗教景观</w:t>
      </w:r>
    </w:p>
    <w:p>
      <w:pPr>
        <w:numPr>
          <w:ilvl w:val="0"/>
          <w:numId w:val="1004"/>
        </w:numPr>
      </w:pPr>
      <w:r>
        <w:t xml:space="preserve">5.10.3　世俗仪式的兴起</w:t>
      </w:r>
    </w:p>
    <w:p>
      <w:pPr>
        <w:pStyle w:val="FirstParagraph"/>
      </w:pPr>
      <w:r>
        <w:rPr>
          <w:bCs/>
          <w:b/>
        </w:rPr>
        <w:t xml:space="preserve">第六部分　地理图景</w:t>
      </w:r>
    </w:p>
    <w:p>
      <w:pPr>
        <w:numPr>
          <w:ilvl w:val="0"/>
          <w:numId w:val="1005"/>
        </w:numPr>
      </w:pPr>
      <w:r>
        <w:t xml:space="preserve">6.1　交通基础设施</w:t>
      </w:r>
    </w:p>
    <w:p>
      <w:pPr>
        <w:numPr>
          <w:ilvl w:val="0"/>
          <w:numId w:val="1005"/>
        </w:numPr>
      </w:pPr>
      <w:r>
        <w:t xml:space="preserve">6.1.1　陆路：路网存量与两个叠加层</w:t>
      </w:r>
    </w:p>
    <w:p>
      <w:pPr>
        <w:numPr>
          <w:ilvl w:val="0"/>
          <w:numId w:val="1005"/>
        </w:numPr>
      </w:pPr>
      <w:r>
        <w:t xml:space="preserve">6.1.2　海运：沿海文明圈与地效应速度层</w:t>
      </w:r>
    </w:p>
    <w:p>
      <w:pPr>
        <w:numPr>
          <w:ilvl w:val="0"/>
          <w:numId w:val="1005"/>
        </w:numPr>
      </w:pPr>
      <w:r>
        <w:t xml:space="preserve">6.1.3　航空：收窄与分层</w:t>
      </w:r>
    </w:p>
    <w:p>
      <w:pPr>
        <w:numPr>
          <w:ilvl w:val="0"/>
          <w:numId w:val="1005"/>
        </w:numPr>
      </w:pPr>
      <w:r>
        <w:t xml:space="preserve">6.1.4　2072年交通格局的总体形态</w:t>
      </w:r>
    </w:p>
    <w:p>
      <w:pPr>
        <w:numPr>
          <w:ilvl w:val="0"/>
          <w:numId w:val="1005"/>
        </w:numPr>
      </w:pPr>
      <w:r>
        <w:t xml:space="preserve">6.2　能源基础设施</w:t>
      </w:r>
    </w:p>
    <w:p>
      <w:pPr>
        <w:numPr>
          <w:ilvl w:val="0"/>
          <w:numId w:val="1005"/>
        </w:numPr>
      </w:pPr>
      <w:r>
        <w:t xml:space="preserve">6.2.1　存量电网：从工业时代继承</w:t>
      </w:r>
    </w:p>
    <w:p>
      <w:pPr>
        <w:numPr>
          <w:ilvl w:val="0"/>
          <w:numId w:val="1005"/>
        </w:numPr>
      </w:pPr>
      <w:r>
        <w:t xml:space="preserve">6.2.2　聚变电厂：新的地理节点</w:t>
      </w:r>
    </w:p>
    <w:p>
      <w:pPr>
        <w:numPr>
          <w:ilvl w:val="0"/>
          <w:numId w:val="1005"/>
        </w:numPr>
      </w:pPr>
      <w:r>
        <w:t xml:space="preserve">6.2.3　化石燃料基础设施：萎缩与残余</w:t>
      </w:r>
    </w:p>
    <w:p>
      <w:pPr>
        <w:numPr>
          <w:ilvl w:val="0"/>
          <w:numId w:val="1005"/>
        </w:numPr>
      </w:pPr>
      <w:r>
        <w:t xml:space="preserve">6.2.4　储能与电网韧性的地理分化</w:t>
      </w:r>
    </w:p>
    <w:p>
      <w:pPr>
        <w:numPr>
          <w:ilvl w:val="0"/>
          <w:numId w:val="1005"/>
        </w:numPr>
      </w:pPr>
      <w:r>
        <w:t xml:space="preserve">6.3　城市的继续</w:t>
      </w:r>
    </w:p>
    <w:p>
      <w:pPr>
        <w:numPr>
          <w:ilvl w:val="0"/>
          <w:numId w:val="1005"/>
        </w:numPr>
      </w:pPr>
      <w:r>
        <w:t xml:space="preserve">6.3.1　固有资源：城市的历史存量</w:t>
      </w:r>
    </w:p>
    <w:p>
      <w:pPr>
        <w:numPr>
          <w:ilvl w:val="0"/>
          <w:numId w:val="1005"/>
        </w:numPr>
      </w:pPr>
      <w:r>
        <w:t xml:space="preserve">6.3.2　新生命力：城市作为生产系统</w:t>
      </w:r>
    </w:p>
    <w:p>
      <w:pPr>
        <w:numPr>
          <w:ilvl w:val="0"/>
          <w:numId w:val="1005"/>
        </w:numPr>
      </w:pPr>
      <w:r>
        <w:t xml:space="preserve">6.3.3　为什么城市仍然存在：动态机制简述</w:t>
      </w:r>
    </w:p>
    <w:p>
      <w:pPr>
        <w:numPr>
          <w:ilvl w:val="0"/>
          <w:numId w:val="1005"/>
        </w:numPr>
      </w:pPr>
      <w:r>
        <w:t xml:space="preserve">6.3.4　生活仍在继续：普通城镇的日常图景</w:t>
      </w:r>
    </w:p>
    <w:p>
      <w:pPr>
        <w:numPr>
          <w:ilvl w:val="0"/>
          <w:numId w:val="1005"/>
        </w:numPr>
      </w:pPr>
      <w:r>
        <w:t xml:space="preserve">6.4　气候变化：分化加速器（2026—2072）</w:t>
      </w:r>
    </w:p>
    <w:p>
      <w:pPr>
        <w:numPr>
          <w:ilvl w:val="0"/>
          <w:numId w:val="1005"/>
        </w:numPr>
      </w:pPr>
      <w:r>
        <w:t xml:space="preserve">6.4.1　热：湿球温度边界与户外生存极限</w:t>
      </w:r>
    </w:p>
    <w:p>
      <w:pPr>
        <w:numPr>
          <w:ilvl w:val="0"/>
          <w:numId w:val="1005"/>
        </w:numPr>
      </w:pPr>
      <w:r>
        <w:t xml:space="preserve">6.4.2　水：冰川退缩与供水结构的阶段性变化</w:t>
      </w:r>
    </w:p>
    <w:p>
      <w:pPr>
        <w:numPr>
          <w:ilvl w:val="0"/>
          <w:numId w:val="1005"/>
        </w:numPr>
      </w:pPr>
      <w:r>
        <w:t xml:space="preserve">6.4.3　粮食：裸露期的农业压力与合成食品的接力</w:t>
      </w:r>
    </w:p>
    <w:p>
      <w:pPr>
        <w:numPr>
          <w:ilvl w:val="0"/>
          <w:numId w:val="1005"/>
        </w:numPr>
      </w:pPr>
      <w:r>
        <w:t xml:space="preserve">6.4.4　气候移民：人口压力的地理重构与政治接口</w:t>
      </w:r>
    </w:p>
    <w:p>
      <w:pPr>
        <w:numPr>
          <w:ilvl w:val="0"/>
          <w:numId w:val="1005"/>
        </w:numPr>
      </w:pPr>
      <w:r>
        <w:t xml:space="preserve">6.4.5　沿海城市：两种应对路径</w:t>
      </w:r>
    </w:p>
    <w:p>
      <w:pPr>
        <w:numPr>
          <w:ilvl w:val="0"/>
          <w:numId w:val="1005"/>
        </w:numPr>
      </w:pPr>
      <w:r>
        <w:t xml:space="preserve">6.4.6　气候变化与被遗忘地带：两种放弃机制的叠加</w:t>
      </w:r>
    </w:p>
    <w:p>
      <w:pPr>
        <w:numPr>
          <w:ilvl w:val="0"/>
          <w:numId w:val="1005"/>
        </w:numPr>
      </w:pPr>
      <w:r>
        <w:t xml:space="preserve">6.5　人类活动的地球印记</w:t>
      </w:r>
    </w:p>
    <w:p>
      <w:pPr>
        <w:numPr>
          <w:ilvl w:val="0"/>
          <w:numId w:val="1005"/>
        </w:numPr>
      </w:pPr>
      <w:r>
        <w:t xml:space="preserve">6.5.1　资源开采：陆上采矿、砍伐与捕捞</w:t>
      </w:r>
    </w:p>
    <w:p>
      <w:pPr>
        <w:numPr>
          <w:ilvl w:val="0"/>
          <w:numId w:val="1005"/>
        </w:numPr>
      </w:pPr>
      <w:r>
        <w:t xml:space="preserve">6.5.2　污染与废弃物：地域、意愿与国际约束</w:t>
      </w:r>
    </w:p>
    <w:p>
      <w:pPr>
        <w:numPr>
          <w:ilvl w:val="0"/>
          <w:numId w:val="1005"/>
        </w:numPr>
      </w:pPr>
      <w:r>
        <w:t xml:space="preserve">6.5.3　废弃居民点：人类撤退的物质痕迹</w:t>
      </w:r>
    </w:p>
    <w:p>
      <w:pPr>
        <w:numPr>
          <w:ilvl w:val="0"/>
          <w:numId w:val="1005"/>
        </w:numPr>
      </w:pPr>
      <w:r>
        <w:t xml:space="preserve">6.5.4　不可逆的损失：技术修复的边界</w:t>
      </w:r>
    </w:p>
    <w:p>
      <w:pPr>
        <w:numPr>
          <w:ilvl w:val="0"/>
          <w:numId w:val="1005"/>
        </w:numPr>
      </w:pPr>
      <w:r>
        <w:t xml:space="preserve">6.6　技术密集地区的地理图景：北美、欧洲、东亚</w:t>
      </w:r>
    </w:p>
    <w:p>
      <w:pPr>
        <w:numPr>
          <w:ilvl w:val="0"/>
          <w:numId w:val="1005"/>
        </w:numPr>
      </w:pPr>
      <w:r>
        <w:t xml:space="preserve">6.6.1　东亚：高铁骨架上的线性集聚</w:t>
      </w:r>
    </w:p>
    <w:p>
      <w:pPr>
        <w:numPr>
          <w:ilvl w:val="0"/>
          <w:numId w:val="1005"/>
        </w:numPr>
      </w:pPr>
      <w:r>
        <w:t xml:space="preserve">6.6.2　北美：点状核心与大面积低密度背景</w:t>
      </w:r>
    </w:p>
    <w:p>
      <w:pPr>
        <w:numPr>
          <w:ilvl w:val="0"/>
          <w:numId w:val="1005"/>
        </w:numPr>
      </w:pPr>
      <w:r>
        <w:t xml:space="preserve">6.6.3　欧洲：多国边界切割的分散走廊</w:t>
      </w:r>
    </w:p>
    <w:p>
      <w:pPr>
        <w:numPr>
          <w:ilvl w:val="0"/>
          <w:numId w:val="1005"/>
        </w:numPr>
      </w:pPr>
      <w:r>
        <w:t xml:space="preserve">6.7　世界其他地区的地理图景</w:t>
      </w:r>
    </w:p>
    <w:p>
      <w:pPr>
        <w:numPr>
          <w:ilvl w:val="0"/>
          <w:numId w:val="1005"/>
        </w:numPr>
      </w:pPr>
      <w:r>
        <w:t xml:space="preserve">6.7.1　全球南方：聚变接入与依附结构</w:t>
      </w:r>
    </w:p>
    <w:p>
      <w:pPr>
        <w:numPr>
          <w:ilvl w:val="0"/>
          <w:numId w:val="1005"/>
        </w:numPr>
      </w:pPr>
      <w:r>
        <w:t xml:space="preserve">6.7.2　南亚</w:t>
      </w:r>
    </w:p>
    <w:p>
      <w:pPr>
        <w:numPr>
          <w:ilvl w:val="0"/>
          <w:numId w:val="1005"/>
        </w:numPr>
      </w:pPr>
      <w:r>
        <w:t xml:space="preserve">6.7.3　非洲：核心节点与广袤的被遗忘地带</w:t>
      </w:r>
    </w:p>
    <w:p>
      <w:pPr>
        <w:numPr>
          <w:ilvl w:val="0"/>
          <w:numId w:val="1005"/>
        </w:numPr>
      </w:pPr>
      <w:r>
        <w:t xml:space="preserve">6.7.4　中东：化石能源崩溃后的地理重组</w:t>
      </w:r>
    </w:p>
    <w:p>
      <w:pPr>
        <w:numPr>
          <w:ilvl w:val="0"/>
          <w:numId w:val="1005"/>
        </w:numPr>
      </w:pPr>
      <w:r>
        <w:t xml:space="preserve">6.7.5　被遗忘地带的地理共性</w:t>
      </w:r>
    </w:p>
    <w:p>
      <w:pPr>
        <w:numPr>
          <w:ilvl w:val="0"/>
          <w:numId w:val="1005"/>
        </w:numPr>
      </w:pPr>
      <w:r>
        <w:t xml:space="preserve">6.8　深海采矿城镇</w:t>
      </w:r>
    </w:p>
    <w:p>
      <w:pPr>
        <w:numPr>
          <w:ilvl w:val="0"/>
          <w:numId w:val="1005"/>
        </w:numPr>
      </w:pPr>
      <w:r>
        <w:t xml:space="preserve">6.8.1　三层结构总览</w:t>
      </w:r>
    </w:p>
    <w:p>
      <w:pPr>
        <w:numPr>
          <w:ilvl w:val="0"/>
          <w:numId w:val="1005"/>
        </w:numPr>
      </w:pPr>
      <w:r>
        <w:t xml:space="preserve">6.8.2　水面层：真正意义上的城镇</w:t>
      </w:r>
    </w:p>
    <w:p>
      <w:pPr>
        <w:numPr>
          <w:ilvl w:val="0"/>
          <w:numId w:val="1005"/>
        </w:numPr>
      </w:pPr>
      <w:r>
        <w:t xml:space="preserve">6.8.3　浮潜工厂层：水下稳定工业区</w:t>
      </w:r>
    </w:p>
    <w:p>
      <w:pPr>
        <w:numPr>
          <w:ilvl w:val="0"/>
          <w:numId w:val="1005"/>
        </w:numPr>
      </w:pPr>
      <w:r>
        <w:t xml:space="preserve">6.8.4　海底层：绝对黑暗中的无人系统</w:t>
      </w:r>
    </w:p>
    <w:p>
      <w:pPr>
        <w:numPr>
          <w:ilvl w:val="0"/>
          <w:numId w:val="1005"/>
        </w:numPr>
      </w:pPr>
      <w:r>
        <w:t xml:space="preserve">6.8.5　离群作业：两人组标配</w:t>
      </w:r>
    </w:p>
    <w:p>
      <w:pPr>
        <w:numPr>
          <w:ilvl w:val="0"/>
          <w:numId w:val="1005"/>
        </w:numPr>
      </w:pPr>
      <w:r>
        <w:t xml:space="preserve">6.8.6　运输与调度</w:t>
      </w:r>
    </w:p>
    <w:p>
      <w:pPr>
        <w:numPr>
          <w:ilvl w:val="0"/>
          <w:numId w:val="1005"/>
        </w:numPr>
      </w:pPr>
      <w:r>
        <w:t xml:space="preserve">6.8.7　矿场迁移</w:t>
      </w:r>
    </w:p>
    <w:p>
      <w:pPr>
        <w:numPr>
          <w:ilvl w:val="0"/>
          <w:numId w:val="1005"/>
        </w:numPr>
      </w:pPr>
      <w:r>
        <w:t xml:space="preserve">6.8.8　环境监测与第三方独立节点</w:t>
      </w:r>
    </w:p>
    <w:p>
      <w:pPr>
        <w:numPr>
          <w:ilvl w:val="0"/>
          <w:numId w:val="1005"/>
        </w:numPr>
      </w:pPr>
      <w:r>
        <w:t xml:space="preserve">6.8.9　社区形态：家庭定居的城镇</w:t>
      </w:r>
    </w:p>
    <w:p>
      <w:pPr>
        <w:numPr>
          <w:ilvl w:val="0"/>
          <w:numId w:val="1005"/>
        </w:numPr>
      </w:pPr>
      <w:r>
        <w:t xml:space="preserve">6.8.10　巡检工作与社区长期存在</w:t>
      </w:r>
    </w:p>
    <w:p>
      <w:pPr>
        <w:numPr>
          <w:ilvl w:val="0"/>
          <w:numId w:val="1005"/>
        </w:numPr>
      </w:pPr>
      <w:r>
        <w:t xml:space="preserve">6.8.11　法律政治地位、稀土战略链与慢生活社区的关系</w:t>
      </w:r>
    </w:p>
    <w:p>
      <w:pPr>
        <w:numPr>
          <w:ilvl w:val="0"/>
          <w:numId w:val="1005"/>
        </w:numPr>
      </w:pPr>
      <w:r>
        <w:t xml:space="preserve">6.9　太空基地与前进基地</w:t>
      </w:r>
    </w:p>
    <w:p>
      <w:pPr>
        <w:numPr>
          <w:ilvl w:val="0"/>
          <w:numId w:val="1005"/>
        </w:numPr>
      </w:pPr>
      <w:r>
        <w:t xml:space="preserve">6.9.1　经济价值：有限且间接</w:t>
      </w:r>
    </w:p>
    <w:p>
      <w:pPr>
        <w:numPr>
          <w:ilvl w:val="0"/>
          <w:numId w:val="1005"/>
        </w:numPr>
      </w:pPr>
      <w:r>
        <w:t xml:space="preserve">6.9.2　政治价值：主要驱动力</w:t>
      </w:r>
    </w:p>
    <w:p>
      <w:pPr>
        <w:numPr>
          <w:ilvl w:val="0"/>
          <w:numId w:val="1005"/>
        </w:numPr>
      </w:pPr>
      <w:r>
        <w:t xml:space="preserve">6.9.3　探索价值：前进基地功能</w:t>
      </w:r>
    </w:p>
    <w:p>
      <w:pPr>
        <w:numPr>
          <w:ilvl w:val="0"/>
          <w:numId w:val="1005"/>
        </w:numPr>
      </w:pPr>
      <w:r>
        <w:t xml:space="preserve">6.9.4　2072年的实际图景</w:t>
      </w:r>
    </w:p>
    <w:p>
      <w:pPr>
        <w:numPr>
          <w:ilvl w:val="0"/>
          <w:numId w:val="1005"/>
        </w:numPr>
      </w:pPr>
      <w:r>
        <w:t xml:space="preserve">6.9.5　与深海城镇的对比</w:t>
      </w:r>
    </w:p>
    <w:p>
      <w:pPr>
        <w:pStyle w:val="FirstParagraph"/>
      </w:pPr>
      <w:r>
        <w:rPr>
          <w:bCs/>
          <w:b/>
        </w:rPr>
        <w:t xml:space="preserve">第七部分　动荡期（2027—2055）</w:t>
      </w:r>
    </w:p>
    <w:p>
      <w:pPr>
        <w:numPr>
          <w:ilvl w:val="0"/>
          <w:numId w:val="1006"/>
        </w:numPr>
      </w:pPr>
      <w:r>
        <w:t xml:space="preserve">7.1　技术-经济-制度互动机制（A1/A2/B1类路径）</w:t>
      </w:r>
    </w:p>
    <w:p>
      <w:pPr>
        <w:numPr>
          <w:ilvl w:val="0"/>
          <w:numId w:val="1006"/>
        </w:numPr>
      </w:pPr>
      <w:r>
        <w:t xml:space="preserve">7.1.1　裸露期：就业崩塌先于制度响应（2027—2035）</w:t>
      </w:r>
    </w:p>
    <w:p>
      <w:pPr>
        <w:numPr>
          <w:ilvl w:val="0"/>
          <w:numId w:val="1006"/>
        </w:numPr>
      </w:pPr>
      <w:r>
        <w:t xml:space="preserve">7.1.2　经济冲击的政治传导链</w:t>
      </w:r>
    </w:p>
    <w:p>
      <w:pPr>
        <w:numPr>
          <w:ilvl w:val="0"/>
          <w:numId w:val="1006"/>
        </w:numPr>
      </w:pPr>
      <w:r>
        <w:t xml:space="preserve">7.1.3　制度适应窗口（2035—2050）</w:t>
      </w:r>
    </w:p>
    <w:p>
      <w:pPr>
        <w:numPr>
          <w:ilvl w:val="0"/>
          <w:numId w:val="1006"/>
        </w:numPr>
      </w:pPr>
      <w:r>
        <w:t xml:space="preserve">7.1.4　聚变接入与路径分叉的加速（2037—2052）</w:t>
      </w:r>
    </w:p>
    <w:p>
      <w:pPr>
        <w:numPr>
          <w:ilvl w:val="0"/>
          <w:numId w:val="1006"/>
        </w:numPr>
      </w:pPr>
      <w:r>
        <w:t xml:space="preserve">7.1.5　动荡期终结的结构条件（2044—2055）</w:t>
      </w:r>
    </w:p>
    <w:p>
      <w:pPr>
        <w:numPr>
          <w:ilvl w:val="0"/>
          <w:numId w:val="1006"/>
        </w:numPr>
      </w:pPr>
      <w:r>
        <w:t xml:space="preserve">7.1.6　A2路径的内部冲击传导机制</w:t>
      </w:r>
    </w:p>
    <w:p>
      <w:pPr>
        <w:numPr>
          <w:ilvl w:val="0"/>
          <w:numId w:val="1006"/>
        </w:numPr>
      </w:pPr>
      <w:r>
        <w:t xml:space="preserve">7.2　主要冲突形态与制度响应：分地区分析</w:t>
      </w:r>
    </w:p>
    <w:p>
      <w:pPr>
        <w:numPr>
          <w:ilvl w:val="0"/>
          <w:numId w:val="1006"/>
        </w:numPr>
      </w:pPr>
      <w:r>
        <w:t xml:space="preserve">7.2.1　北欧及高人均收入小国</w:t>
      </w:r>
    </w:p>
    <w:p>
      <w:pPr>
        <w:numPr>
          <w:ilvl w:val="0"/>
          <w:numId w:val="1006"/>
        </w:numPr>
      </w:pPr>
      <w:r>
        <w:t xml:space="preserve">7.2.2　西欧工业国</w:t>
      </w:r>
    </w:p>
    <w:p>
      <w:pPr>
        <w:numPr>
          <w:ilvl w:val="0"/>
          <w:numId w:val="1006"/>
        </w:numPr>
      </w:pPr>
      <w:r>
        <w:t xml:space="preserve">7.2.3　英美盎格鲁体系</w:t>
      </w:r>
    </w:p>
    <w:p>
      <w:pPr>
        <w:numPr>
          <w:ilvl w:val="0"/>
          <w:numId w:val="1006"/>
        </w:numPr>
      </w:pPr>
      <w:r>
        <w:t xml:space="preserve">7.2.4　东亚民主体（日本、韩国、台湾）</w:t>
      </w:r>
    </w:p>
    <w:p>
      <w:pPr>
        <w:numPr>
          <w:ilvl w:val="0"/>
          <w:numId w:val="1006"/>
        </w:numPr>
      </w:pPr>
      <w:r>
        <w:t xml:space="preserve">7.2.5　东欧（B1类民主体）</w:t>
      </w:r>
    </w:p>
    <w:p>
      <w:pPr>
        <w:numPr>
          <w:ilvl w:val="0"/>
          <w:numId w:val="1006"/>
        </w:numPr>
      </w:pPr>
      <w:r>
        <w:t xml:space="preserve">7.2.6　A2路径：制度响应过程与结果</w:t>
      </w:r>
    </w:p>
    <w:p>
      <w:pPr>
        <w:numPr>
          <w:ilvl w:val="0"/>
          <w:numId w:val="1006"/>
        </w:numPr>
      </w:pPr>
      <w:r>
        <w:t xml:space="preserve">7.3　动荡期的其余国家：被同时抛下，但方式各异</w:t>
      </w:r>
    </w:p>
    <w:p>
      <w:pPr>
        <w:numPr>
          <w:ilvl w:val="0"/>
          <w:numId w:val="1006"/>
        </w:numPr>
      </w:pPr>
      <w:r>
        <w:t xml:space="preserve">7.3.1　资源出口国（D类）</w:t>
      </w:r>
    </w:p>
    <w:p>
      <w:pPr>
        <w:numPr>
          <w:ilvl w:val="0"/>
          <w:numId w:val="1006"/>
        </w:numPr>
      </w:pPr>
      <w:r>
        <w:t xml:space="preserve">7.3.2　劳动力输出型经济体</w:t>
      </w:r>
    </w:p>
    <w:p>
      <w:pPr>
        <w:numPr>
          <w:ilvl w:val="0"/>
          <w:numId w:val="1006"/>
        </w:numPr>
      </w:pPr>
      <w:r>
        <w:t xml:space="preserve">7.3.3　对冲自主体（C类）与威权体系整合者（B2类）</w:t>
      </w:r>
    </w:p>
    <w:p>
      <w:pPr>
        <w:numPr>
          <w:ilvl w:val="0"/>
          <w:numId w:val="1006"/>
        </w:numPr>
      </w:pPr>
      <w:r>
        <w:t xml:space="preserve">7.4　意识形态战争：动荡期的叙事主战场（2026—2044）</w:t>
      </w:r>
    </w:p>
    <w:p>
      <w:pPr>
        <w:numPr>
          <w:ilvl w:val="0"/>
          <w:numId w:val="1006"/>
        </w:numPr>
      </w:pPr>
      <w:r>
        <w:t xml:space="preserve">7.4.1　战场地图：三个层次</w:t>
      </w:r>
    </w:p>
    <w:p>
      <w:pPr>
        <w:numPr>
          <w:ilvl w:val="0"/>
          <w:numId w:val="1006"/>
        </w:numPr>
      </w:pPr>
      <w:r>
        <w:t xml:space="preserve">7.4.2　A2阵营的叙事体系</w:t>
      </w:r>
    </w:p>
    <w:p>
      <w:pPr>
        <w:numPr>
          <w:ilvl w:val="0"/>
          <w:numId w:val="1006"/>
        </w:numPr>
      </w:pPr>
      <w:r>
        <w:t xml:space="preserve">7.4.3　A1阵营的叙事体系</w:t>
      </w:r>
    </w:p>
    <w:p>
      <w:pPr>
        <w:numPr>
          <w:ilvl w:val="0"/>
          <w:numId w:val="1006"/>
        </w:numPr>
      </w:pPr>
      <w:r>
        <w:t xml:space="preserve">7.4.4　动荡期终结时的意识形态图景</w:t>
      </w:r>
    </w:p>
    <w:p>
      <w:pPr>
        <w:numPr>
          <w:ilvl w:val="0"/>
          <w:numId w:val="1006"/>
        </w:numPr>
      </w:pPr>
      <w:r>
        <w:t xml:space="preserve">7.5　国际冲突</w:t>
      </w:r>
    </w:p>
    <w:p>
      <w:pPr>
        <w:numPr>
          <w:ilvl w:val="0"/>
          <w:numId w:val="1006"/>
        </w:numPr>
      </w:pPr>
      <w:r>
        <w:t xml:space="preserve">7.5.1　俄罗斯：武力企图的终局</w:t>
      </w:r>
    </w:p>
    <w:p>
      <w:pPr>
        <w:numPr>
          <w:ilvl w:val="0"/>
          <w:numId w:val="1006"/>
        </w:numPr>
      </w:pPr>
      <w:r>
        <w:t xml:space="preserve">7.5.2　阿以冲突：利益、意识形态与暴力的长期共存</w:t>
      </w:r>
    </w:p>
    <w:p>
      <w:pPr>
        <w:numPr>
          <w:ilvl w:val="0"/>
          <w:numId w:val="1006"/>
        </w:numPr>
      </w:pPr>
      <w:r>
        <w:t xml:space="preserve">7.5.3　核扩散：朝鲜示范效应与AI使能的能力扩散</w:t>
      </w:r>
    </w:p>
    <w:p>
      <w:pPr>
        <w:numPr>
          <w:ilvl w:val="0"/>
          <w:numId w:val="1006"/>
        </w:numPr>
      </w:pPr>
      <w:r>
        <w:t xml:space="preserve">7.5.4　台海冲突（2028—2029）：武力路径的终结与经济融合的起点</w:t>
      </w:r>
    </w:p>
    <w:p>
      <w:pPr>
        <w:numPr>
          <w:ilvl w:val="0"/>
          <w:numId w:val="1006"/>
        </w:numPr>
      </w:pPr>
      <w:r>
        <w:t xml:space="preserve">7.6　动荡期终结的结构条件</w:t>
      </w:r>
    </w:p>
    <w:p>
      <w:pPr>
        <w:numPr>
          <w:ilvl w:val="0"/>
          <w:numId w:val="1006"/>
        </w:numPr>
      </w:pPr>
      <w:r>
        <w:t xml:space="preserve">7.6.1　为何大国都不希望对方陷入混乱</w:t>
      </w:r>
    </w:p>
    <w:p>
      <w:pPr>
        <w:numPr>
          <w:ilvl w:val="0"/>
          <w:numId w:val="1006"/>
        </w:numPr>
      </w:pPr>
      <w:r>
        <w:t xml:space="preserve">7.6.2　动荡期终结的核心指标：BSC的成熟</w:t>
      </w:r>
    </w:p>
    <w:p>
      <w:pPr>
        <w:pStyle w:val="FirstParagraph"/>
      </w:pPr>
      <w:r>
        <w:rPr>
          <w:bCs/>
          <w:b/>
        </w:rPr>
        <w:t xml:space="preserve">结语</w:t>
      </w:r>
    </w:p>
    <w:p>
      <w:pPr>
        <w:pStyle w:val="BodyText"/>
      </w:pPr>
      <w:r>
        <w:rPr>
          <w:bCs/>
          <w:b/>
        </w:rPr>
        <w:t xml:space="preserve">附录A　完整时间线对照表</w:t>
      </w:r>
    </w:p>
    <w:p>
      <w:pPr>
        <w:numPr>
          <w:ilvl w:val="0"/>
          <w:numId w:val="1007"/>
        </w:numPr>
      </w:pPr>
      <w:r>
        <w:t xml:space="preserve">A.1　完整六轴时间线对照表</w:t>
      </w:r>
    </w:p>
    <w:p>
      <w:pPr>
        <w:numPr>
          <w:ilvl w:val="0"/>
          <w:numId w:val="1007"/>
        </w:numPr>
      </w:pPr>
      <w:r>
        <w:t xml:space="preserve">A.2　各路径L1—L4进度对照（2072年截面）</w:t>
      </w:r>
    </w:p>
    <w:p>
      <w:pPr>
        <w:numPr>
          <w:ilvl w:val="0"/>
          <w:numId w:val="1007"/>
        </w:numPr>
      </w:pPr>
      <w:r>
        <w:t xml:space="preserve">A.3　聚变红利传导机制说明</w:t>
      </w:r>
    </w:p>
    <w:p>
      <w:pPr>
        <w:pStyle w:val="FirstParagraph"/>
      </w:pPr>
      <w:r>
        <w:rPr>
          <w:bCs/>
          <w:b/>
        </w:rPr>
        <w:t xml:space="preserve">关键字词典</w:t>
      </w:r>
    </w:p>
    <w:bookmarkEnd w:id="21"/>
    <w:bookmarkStart w:id="26" w:name="速览页2072框架总览"/>
    <w:p>
      <w:pPr>
        <w:pStyle w:val="Heading1"/>
      </w:pPr>
      <w:r>
        <w:t xml:space="preserve">速览页：2072框架总览</w:t>
      </w:r>
    </w:p>
    <w:p>
      <w:pPr>
        <w:pStyle w:val="FirstParagraph"/>
      </w:pPr>
      <w:r>
        <w:t xml:space="preserve">本节为结构速查工具，建议先读此页，再进入正文各部分。</w:t>
      </w:r>
    </w:p>
    <w:bookmarkStart w:id="22" w:name="速览一-核心变量与主因果链总览"/>
    <w:p>
      <w:pPr>
        <w:pStyle w:val="Heading2"/>
      </w:pPr>
      <w:r>
        <w:t xml:space="preserve">速览一　核心变量与主因果链总览</w:t>
      </w:r>
    </w:p>
    <w:p>
      <w:pPr>
        <w:pStyle w:val="FirstParagraph"/>
      </w:pPr>
      <w:r>
        <w:rPr>
          <w:bCs/>
          <w:b/>
        </w:rPr>
        <w:t xml:space="preserve">八个核心变量（V1–V8）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名称</w:t>
            </w:r>
          </w:p>
        </w:tc>
        <w:tc>
          <w:tcPr/>
          <w:p>
            <w:pPr>
              <w:pStyle w:val="Compact"/>
              <w:jc w:val="left"/>
            </w:pPr>
            <w:r>
              <w:t xml:space="preserve">核心功能</w:t>
            </w:r>
          </w:p>
        </w:tc>
      </w:tr>
      <w:tr>
        <w:tc>
          <w:tcPr/>
          <w:p>
            <w:pPr>
              <w:pStyle w:val="Compact"/>
              <w:jc w:val="left"/>
            </w:pPr>
            <w:r>
              <w:t xml:space="preserve">V1</w:t>
            </w:r>
          </w:p>
        </w:tc>
        <w:tc>
          <w:tcPr/>
          <w:p>
            <w:pPr>
              <w:pStyle w:val="Compact"/>
              <w:jc w:val="left"/>
            </w:pPr>
            <w:r>
              <w:t xml:space="preserve">自动化替代率</w:t>
            </w:r>
          </w:p>
        </w:tc>
        <w:tc>
          <w:tcPr/>
          <w:p>
            <w:pPr>
              <w:pStyle w:val="Compact"/>
              <w:jc w:val="left"/>
            </w:pPr>
            <w:r>
              <w:t xml:space="preserve">第一驱动变量：决定劳动能否仍然承担分配、身份与被需要感的核心功能</w:t>
            </w:r>
          </w:p>
        </w:tc>
      </w:tr>
      <w:tr>
        <w:tc>
          <w:tcPr/>
          <w:p>
            <w:pPr>
              <w:pStyle w:val="Compact"/>
              <w:jc w:val="left"/>
            </w:pPr>
            <w:r>
              <w:t xml:space="preserve">V2</w:t>
            </w:r>
          </w:p>
        </w:tc>
        <w:tc>
          <w:tcPr/>
          <w:p>
            <w:pPr>
              <w:pStyle w:val="Compact"/>
              <w:jc w:val="left"/>
            </w:pPr>
            <w:r>
              <w:t xml:space="preserve">能源丰裕度</w:t>
            </w:r>
          </w:p>
        </w:tc>
        <w:tc>
          <w:tcPr/>
          <w:p>
            <w:pPr>
              <w:pStyle w:val="Compact"/>
              <w:jc w:val="left"/>
            </w:pPr>
            <w:r>
              <w:t xml:space="preserve">第二驱动变量：决定社会主要矛盾是生存危机还是意义危机</w:t>
            </w:r>
          </w:p>
        </w:tc>
      </w:tr>
      <w:tr>
        <w:tc>
          <w:tcPr/>
          <w:p>
            <w:pPr>
              <w:pStyle w:val="Compact"/>
              <w:jc w:val="left"/>
            </w:pPr>
            <w:r>
              <w:t xml:space="preserve">V3</w:t>
            </w:r>
          </w:p>
        </w:tc>
        <w:tc>
          <w:tcPr/>
          <w:p>
            <w:pPr>
              <w:pStyle w:val="Compact"/>
              <w:jc w:val="left"/>
            </w:pPr>
            <w:r>
              <w:t xml:space="preserve">流动回报率</w:t>
            </w:r>
          </w:p>
        </w:tc>
        <w:tc>
          <w:tcPr/>
          <w:p>
            <w:pPr>
              <w:pStyle w:val="Compact"/>
              <w:jc w:val="left"/>
            </w:pPr>
            <w:r>
              <w:t xml:space="preserve">决定人口向中心集中还是回流地方社区</w:t>
            </w:r>
          </w:p>
        </w:tc>
      </w:tr>
      <w:tr>
        <w:tc>
          <w:tcPr/>
          <w:p>
            <w:pPr>
              <w:pStyle w:val="Compact"/>
              <w:jc w:val="left"/>
            </w:pPr>
            <w:r>
              <w:t xml:space="preserve">V4</w:t>
            </w:r>
          </w:p>
        </w:tc>
        <w:tc>
          <w:tcPr/>
          <w:p>
            <w:pPr>
              <w:pStyle w:val="Compact"/>
              <w:jc w:val="left"/>
            </w:pPr>
            <w:r>
              <w:t xml:space="preserve">国家整合能力</w:t>
            </w:r>
          </w:p>
        </w:tc>
        <w:tc>
          <w:tcPr/>
          <w:p>
            <w:pPr>
              <w:pStyle w:val="Compact"/>
              <w:jc w:val="left"/>
            </w:pPr>
            <w:r>
              <w:t xml:space="preserve">决定同一技术冲击在不同制度路径中的吸收方式</w:t>
            </w:r>
          </w:p>
        </w:tc>
      </w:tr>
      <w:tr>
        <w:tc>
          <w:tcPr/>
          <w:p>
            <w:pPr>
              <w:pStyle w:val="Compact"/>
              <w:jc w:val="left"/>
            </w:pPr>
            <w:r>
              <w:t xml:space="preserve">V5</w:t>
            </w:r>
          </w:p>
        </w:tc>
        <w:tc>
          <w:tcPr/>
          <w:p>
            <w:pPr>
              <w:pStyle w:val="Compact"/>
              <w:jc w:val="left"/>
            </w:pPr>
            <w:r>
              <w:t xml:space="preserve">社区吸附力</w:t>
            </w:r>
          </w:p>
        </w:tc>
        <w:tc>
          <w:tcPr/>
          <w:p>
            <w:pPr>
              <w:pStyle w:val="Compact"/>
              <w:jc w:val="left"/>
            </w:pPr>
            <w:r>
              <w:t xml:space="preserve">劳动失位后承接个体的非市场机制</w:t>
            </w:r>
          </w:p>
        </w:tc>
      </w:tr>
      <w:tr>
        <w:tc>
          <w:tcPr/>
          <w:p>
            <w:pPr>
              <w:pStyle w:val="Compact"/>
              <w:jc w:val="left"/>
            </w:pPr>
            <w:r>
              <w:t xml:space="preserve">V6</w:t>
            </w:r>
          </w:p>
        </w:tc>
        <w:tc>
          <w:tcPr/>
          <w:p>
            <w:pPr>
              <w:pStyle w:val="Compact"/>
              <w:jc w:val="left"/>
            </w:pPr>
            <w:r>
              <w:t xml:space="preserve">意义供给能力</w:t>
            </w:r>
          </w:p>
        </w:tc>
        <w:tc>
          <w:tcPr/>
          <w:p>
            <w:pPr>
              <w:pStyle w:val="Compact"/>
              <w:jc w:val="left"/>
            </w:pPr>
            <w:r>
              <w:t xml:space="preserve">解释闲暇转化为创造还是空虚的关键变量</w:t>
            </w:r>
          </w:p>
        </w:tc>
      </w:tr>
      <w:tr>
        <w:tc>
          <w:tcPr/>
          <w:p>
            <w:pPr>
              <w:pStyle w:val="Compact"/>
              <w:jc w:val="left"/>
            </w:pPr>
            <w:r>
              <w:t xml:space="preserve">V7</w:t>
            </w:r>
          </w:p>
        </w:tc>
        <w:tc>
          <w:tcPr/>
          <w:p>
            <w:pPr>
              <w:pStyle w:val="Compact"/>
              <w:jc w:val="left"/>
            </w:pPr>
            <w:r>
              <w:t xml:space="preserve">痛苦政治化程度</w:t>
            </w:r>
          </w:p>
        </w:tc>
        <w:tc>
          <w:tcPr/>
          <w:p>
            <w:pPr>
              <w:pStyle w:val="Compact"/>
              <w:jc w:val="left"/>
            </w:pPr>
            <w:r>
              <w:rPr>
                <w:bCs/>
                <w:b/>
              </w:rPr>
              <w:t xml:space="preserve">高敏感变量</w:t>
            </w:r>
            <w:r>
              <w:t xml:space="preserve">：决定高痛苦社会是否转化为高动荡；触发机制与路径差异详见1.2.1节</w:t>
            </w:r>
          </w:p>
        </w:tc>
      </w:tr>
      <w:tr>
        <w:tc>
          <w:tcPr/>
          <w:p>
            <w:pPr>
              <w:pStyle w:val="Compact"/>
              <w:jc w:val="left"/>
            </w:pPr>
            <w:r>
              <w:t xml:space="preserve">V8</w:t>
            </w:r>
          </w:p>
        </w:tc>
        <w:tc>
          <w:tcPr/>
          <w:p>
            <w:pPr>
              <w:pStyle w:val="Compact"/>
              <w:jc w:val="left"/>
            </w:pPr>
            <w:r>
              <w:t xml:space="preserve">历史滞后量</w:t>
            </w:r>
          </w:p>
        </w:tc>
        <w:tc>
          <w:tcPr/>
          <w:p>
            <w:pPr>
              <w:pStyle w:val="Compact"/>
              <w:jc w:val="left"/>
            </w:pPr>
            <w:r>
              <w:t xml:space="preserve">解释同一物理年份里不同地区处于不同”历史阶段”的原因</w:t>
            </w:r>
          </w:p>
        </w:tc>
      </w:tr>
    </w:tbl>
    <w:p>
      <w:pPr>
        <w:pStyle w:val="BodyText"/>
      </w:pPr>
      <w:r>
        <w:rPr>
          <w:bCs/>
          <w:b/>
        </w:rPr>
        <w:t xml:space="preserve">六条主因果链（A–F）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链</w:t>
            </w:r>
          </w:p>
        </w:tc>
        <w:tc>
          <w:tcPr/>
          <w:p>
            <w:pPr>
              <w:pStyle w:val="Compact"/>
              <w:jc w:val="left"/>
            </w:pPr>
            <w:r>
              <w:t xml:space="preserve">名称</w:t>
            </w:r>
          </w:p>
        </w:tc>
        <w:tc>
          <w:tcPr/>
          <w:p>
            <w:pPr>
              <w:pStyle w:val="Compact"/>
              <w:jc w:val="left"/>
            </w:pPr>
            <w:r>
              <w:t xml:space="preserve">核心逻辑</w:t>
            </w:r>
          </w:p>
        </w:tc>
      </w:tr>
      <w:tr>
        <w:tc>
          <w:tcPr/>
          <w:p>
            <w:pPr>
              <w:pStyle w:val="Compact"/>
              <w:jc w:val="left"/>
            </w:pPr>
            <w:r>
              <w:t xml:space="preserve">A</w:t>
            </w:r>
          </w:p>
        </w:tc>
        <w:tc>
          <w:tcPr/>
          <w:p>
            <w:pPr>
              <w:pStyle w:val="Compact"/>
              <w:jc w:val="left"/>
            </w:pPr>
            <w:r>
              <w:t xml:space="preserve">劳动失位</w:t>
            </w:r>
          </w:p>
        </w:tc>
        <w:tc>
          <w:tcPr/>
          <w:p>
            <w:pPr>
              <w:pStyle w:val="Compact"/>
              <w:jc w:val="left"/>
            </w:pPr>
            <w:r>
              <w:t xml:space="preserve">V1上升 → 标准化劳动价值下降 → 意义危机扩散</w:t>
            </w:r>
          </w:p>
        </w:tc>
      </w:tr>
      <w:tr>
        <w:tc>
          <w:tcPr/>
          <w:p>
            <w:pPr>
              <w:pStyle w:val="Compact"/>
              <w:jc w:val="left"/>
            </w:pPr>
            <w:r>
              <w:t xml:space="preserve">B</w:t>
            </w:r>
          </w:p>
        </w:tc>
        <w:tc>
          <w:tcPr/>
          <w:p>
            <w:pPr>
              <w:pStyle w:val="Compact"/>
              <w:jc w:val="left"/>
            </w:pPr>
            <w:r>
              <w:t xml:space="preserve">流动衰退</w:t>
            </w:r>
          </w:p>
        </w:tc>
        <w:tc>
          <w:tcPr/>
          <w:p>
            <w:pPr>
              <w:pStyle w:val="Compact"/>
              <w:jc w:val="left"/>
            </w:pPr>
            <w:r>
              <w:t xml:space="preserve">V1上升 → 跨地域流动收益下降 → 社区回流</w:t>
            </w:r>
          </w:p>
        </w:tc>
      </w:tr>
      <w:tr>
        <w:tc>
          <w:tcPr/>
          <w:p>
            <w:pPr>
              <w:pStyle w:val="Compact"/>
              <w:jc w:val="left"/>
            </w:pPr>
            <w:r>
              <w:t xml:space="preserve">C</w:t>
            </w:r>
          </w:p>
        </w:tc>
        <w:tc>
          <w:tcPr/>
          <w:p>
            <w:pPr>
              <w:pStyle w:val="Compact"/>
              <w:jc w:val="left"/>
            </w:pPr>
            <w:r>
              <w:t xml:space="preserve">稳定非幸福</w:t>
            </w:r>
          </w:p>
        </w:tc>
        <w:tc>
          <w:tcPr/>
          <w:p>
            <w:pPr>
              <w:pStyle w:val="Compact"/>
              <w:jc w:val="left"/>
            </w:pPr>
            <w:r>
              <w:t xml:space="preserve">V2上升 + V6未同步 → 系统稳定但个体持续痛苦</w:t>
            </w:r>
          </w:p>
        </w:tc>
      </w:tr>
      <w:tr>
        <w:tc>
          <w:tcPr/>
          <w:p>
            <w:pPr>
              <w:pStyle w:val="Compact"/>
              <w:jc w:val="left"/>
            </w:pPr>
            <w:r>
              <w:t xml:space="preserve">D</w:t>
            </w:r>
          </w:p>
        </w:tc>
        <w:tc>
          <w:tcPr/>
          <w:p>
            <w:pPr>
              <w:pStyle w:val="Compact"/>
              <w:jc w:val="left"/>
            </w:pPr>
            <w:r>
              <w:t xml:space="preserve">相互忽视均衡</w:t>
            </w:r>
          </w:p>
        </w:tc>
        <w:tc>
          <w:tcPr/>
          <w:p>
            <w:pPr>
              <w:pStyle w:val="Compact"/>
              <w:jc w:val="left"/>
            </w:pPr>
            <w:r>
              <w:t xml:space="preserve">整合边缘成本高于收益 → 低冲突低整合低期待均衡</w:t>
            </w:r>
          </w:p>
        </w:tc>
      </w:tr>
      <w:tr>
        <w:tc>
          <w:tcPr/>
          <w:p>
            <w:pPr>
              <w:pStyle w:val="Compact"/>
              <w:jc w:val="left"/>
            </w:pPr>
            <w:r>
              <w:t xml:space="preserve">E</w:t>
            </w:r>
          </w:p>
        </w:tc>
        <w:tc>
          <w:tcPr/>
          <w:p>
            <w:pPr>
              <w:pStyle w:val="Compact"/>
              <w:jc w:val="left"/>
            </w:pPr>
            <w:r>
              <w:t xml:space="preserve">多态分化</w:t>
            </w:r>
          </w:p>
        </w:tc>
        <w:tc>
          <w:tcPr/>
          <w:p>
            <w:pPr>
              <w:pStyle w:val="Compact"/>
              <w:jc w:val="left"/>
            </w:pPr>
            <w:r>
              <w:t xml:space="preserve">同一冲击 × V4差异 × V8差异 → 不同稳态</w:t>
            </w:r>
          </w:p>
        </w:tc>
      </w:tr>
      <w:tr>
        <w:tc>
          <w:tcPr/>
          <w:p>
            <w:pPr>
              <w:pStyle w:val="Compact"/>
              <w:jc w:val="left"/>
            </w:pPr>
            <w:r>
              <w:t xml:space="preserve">F</w:t>
            </w:r>
          </w:p>
        </w:tc>
        <w:tc>
          <w:tcPr/>
          <w:p>
            <w:pPr>
              <w:pStyle w:val="Compact"/>
              <w:jc w:val="left"/>
            </w:pPr>
            <w:r>
              <w:t xml:space="preserve">技术背景化</w:t>
            </w:r>
          </w:p>
        </w:tc>
        <w:tc>
          <w:tcPr/>
          <w:p>
            <w:pPr>
              <w:pStyle w:val="Compact"/>
              <w:jc w:val="left"/>
            </w:pPr>
            <w:r>
              <w:t xml:space="preserve">聚变AI自动化成熟 → 从前景退到背景 → 问题中心转向”如何活着”</w:t>
            </w:r>
          </w:p>
        </w:tc>
      </w:tr>
    </w:tbl>
    <w:bookmarkEnd w:id="22"/>
    <w:bookmarkStart w:id="23" w:name="速览二-2072年世界路径总览表"/>
    <w:p>
      <w:pPr>
        <w:pStyle w:val="Heading2"/>
      </w:pPr>
      <w:r>
        <w:t xml:space="preserve">速览二　2072年世界路径总览表</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路径</w:t>
            </w:r>
          </w:p>
        </w:tc>
        <w:tc>
          <w:tcPr/>
          <w:p>
            <w:pPr>
              <w:pStyle w:val="Compact"/>
              <w:jc w:val="left"/>
            </w:pPr>
            <w:r>
              <w:t xml:space="preserve">劳动状态</w:t>
            </w:r>
          </w:p>
        </w:tc>
        <w:tc>
          <w:tcPr/>
          <w:p>
            <w:pPr>
              <w:pStyle w:val="Compact"/>
              <w:jc w:val="left"/>
            </w:pPr>
            <w:r>
              <w:t xml:space="preserve">意义来源</w:t>
            </w:r>
          </w:p>
        </w:tc>
        <w:tc>
          <w:tcPr/>
          <w:p>
            <w:pPr>
              <w:pStyle w:val="Compact"/>
              <w:jc w:val="left"/>
            </w:pPr>
            <w:r>
              <w:t xml:space="preserve">流动逻辑</w:t>
            </w:r>
          </w:p>
        </w:tc>
        <w:tc>
          <w:tcPr/>
          <w:p>
            <w:pPr>
              <w:pStyle w:val="Compact"/>
              <w:jc w:val="left"/>
            </w:pPr>
            <w:r>
              <w:t xml:space="preserve">国家任务</w:t>
            </w:r>
          </w:p>
        </w:tc>
        <w:tc>
          <w:tcPr/>
          <w:p>
            <w:pPr>
              <w:pStyle w:val="Compact"/>
              <w:jc w:val="left"/>
            </w:pPr>
            <w:r>
              <w:t xml:space="preserve">个体体验</w:t>
            </w:r>
          </w:p>
        </w:tc>
        <w:tc>
          <w:tcPr/>
          <w:p>
            <w:pPr>
              <w:pStyle w:val="Compact"/>
              <w:jc w:val="left"/>
            </w:pPr>
            <w:r>
              <w:t xml:space="preserve">系统状态</w:t>
            </w:r>
          </w:p>
        </w:tc>
      </w:tr>
      <w:tr>
        <w:tc>
          <w:tcPr/>
          <w:p>
            <w:pPr>
              <w:pStyle w:val="Compact"/>
              <w:jc w:val="left"/>
            </w:pPr>
            <w:r>
              <w:rPr>
                <w:bCs/>
                <w:b/>
              </w:rPr>
              <w:t xml:space="preserve">A1/B1类（民主市场路径）</w:t>
            </w:r>
          </w:p>
        </w:tc>
        <w:tc>
          <w:tcPr/>
          <w:p>
            <w:pPr>
              <w:pStyle w:val="Compact"/>
              <w:jc w:val="left"/>
            </w:pPr>
            <w:r>
              <w:t xml:space="preserve">不再是大多数人中心锚点；BSC托底</w:t>
            </w:r>
          </w:p>
        </w:tc>
        <w:tc>
          <w:tcPr/>
          <w:p>
            <w:pPr>
              <w:pStyle w:val="Compact"/>
              <w:jc w:val="left"/>
            </w:pPr>
            <w:r>
              <w:t xml:space="preserve">社区、创作、关系；意义危机可公开命名</w:t>
            </w:r>
          </w:p>
        </w:tc>
        <w:tc>
          <w:tcPr/>
          <w:p>
            <w:pPr>
              <w:pStyle w:val="Compact"/>
              <w:jc w:val="left"/>
            </w:pPr>
            <w:r>
              <w:t xml:space="preserve">留下越来越理性；高技能人口仍有全球流动</w:t>
            </w:r>
          </w:p>
        </w:tc>
        <w:tc>
          <w:tcPr/>
          <w:p>
            <w:pPr>
              <w:pStyle w:val="Compact"/>
              <w:jc w:val="left"/>
            </w:pPr>
            <w:r>
              <w:t xml:space="preserve">管理多态稳态；维持BSC财政可持续</w:t>
            </w:r>
          </w:p>
        </w:tc>
        <w:tc>
          <w:tcPr/>
          <w:p>
            <w:pPr>
              <w:pStyle w:val="Compact"/>
              <w:jc w:val="left"/>
            </w:pPr>
            <w:r>
              <w:t xml:space="preserve">自由高，意义危机突出；并行现实成熟</w:t>
            </w:r>
          </w:p>
        </w:tc>
        <w:tc>
          <w:tcPr/>
          <w:p>
            <w:pPr>
              <w:pStyle w:val="Compact"/>
              <w:jc w:val="left"/>
            </w:pPr>
            <w:r>
              <w:t xml:space="preserve">稳定但不幸福；内部极化持续</w:t>
            </w:r>
          </w:p>
        </w:tc>
      </w:tr>
      <w:tr>
        <w:tc>
          <w:tcPr/>
          <w:p>
            <w:pPr>
              <w:pStyle w:val="Compact"/>
              <w:jc w:val="left"/>
            </w:pPr>
            <w:r>
              <w:rPr>
                <w:bCs/>
                <w:b/>
              </w:rPr>
              <w:t xml:space="preserve">A2/B2类（威权计划路径）</w:t>
            </w:r>
          </w:p>
        </w:tc>
        <w:tc>
          <w:tcPr/>
          <w:p>
            <w:pPr>
              <w:pStyle w:val="Compact"/>
              <w:jc w:val="left"/>
            </w:pPr>
            <w:r>
              <w:t xml:space="preserve">有工作单位者维持身份锚点；票据依赖人口处于叙事盲区</w:t>
            </w:r>
          </w:p>
        </w:tc>
        <w:tc>
          <w:tcPr/>
          <w:p>
            <w:pPr>
              <w:pStyle w:val="Compact"/>
              <w:jc w:val="left"/>
            </w:pPr>
            <w:r>
              <w:t xml:space="preserve">官方叙事填充；私人领域退缩</w:t>
            </w:r>
          </w:p>
        </w:tc>
        <w:tc>
          <w:tcPr/>
          <w:p>
            <w:pPr>
              <w:pStyle w:val="Compact"/>
              <w:jc w:val="left"/>
            </w:pPr>
            <w:r>
              <w:t xml:space="preserve">有技能者地理自由；无议价能力者被软性锁定</w:t>
            </w:r>
          </w:p>
        </w:tc>
        <w:tc>
          <w:tcPr/>
          <w:p>
            <w:pPr>
              <w:pStyle w:val="Compact"/>
              <w:jc w:val="left"/>
            </w:pPr>
            <w:r>
              <w:t xml:space="preserve">技术官僚体制稳定；配给差异化引导人口集中</w:t>
            </w:r>
          </w:p>
        </w:tc>
        <w:tc>
          <w:tcPr/>
          <w:p>
            <w:pPr>
              <w:pStyle w:val="Compact"/>
              <w:jc w:val="left"/>
            </w:pPr>
            <w:r>
              <w:t xml:space="preserve">功能性稳定较强；表达空间受限；意义危机不可见</w:t>
            </w:r>
          </w:p>
        </w:tc>
        <w:tc>
          <w:tcPr/>
          <w:p>
            <w:pPr>
              <w:pStyle w:val="Compact"/>
              <w:jc w:val="left"/>
            </w:pPr>
            <w:r>
              <w:t xml:space="preserve">高稳定、低动荡；绩效合法性依赖持续兑现</w:t>
            </w:r>
          </w:p>
        </w:tc>
      </w:tr>
      <w:tr>
        <w:tc>
          <w:tcPr/>
          <w:p>
            <w:pPr>
              <w:pStyle w:val="Compact"/>
              <w:jc w:val="left"/>
            </w:pPr>
            <w:r>
              <w:rPr>
                <w:bCs/>
                <w:b/>
              </w:rPr>
              <w:t xml:space="preserve">C/B2/D类（整合依附与资源型经济体）</w:t>
            </w:r>
          </w:p>
        </w:tc>
        <w:tc>
          <w:tcPr/>
          <w:p>
            <w:pPr>
              <w:pStyle w:val="Compact"/>
              <w:jc w:val="left"/>
            </w:pPr>
            <w:r>
              <w:t xml:space="preserve">制造业被AI被动替代；传统路径切断</w:t>
            </w:r>
          </w:p>
        </w:tc>
        <w:tc>
          <w:tcPr/>
          <w:p>
            <w:pPr>
              <w:pStyle w:val="Compact"/>
              <w:jc w:val="left"/>
            </w:pPr>
            <w:r>
              <w:t xml:space="preserve">旧框架崩塌中；相对剥夺感真实</w:t>
            </w:r>
          </w:p>
        </w:tc>
        <w:tc>
          <w:tcPr/>
          <w:p>
            <w:pPr>
              <w:pStyle w:val="Compact"/>
              <w:jc w:val="left"/>
            </w:pPr>
            <w:r>
              <w:t xml:space="preserve">向城市压力持续；接入体系者路径固化</w:t>
            </w:r>
          </w:p>
        </w:tc>
        <w:tc>
          <w:tcPr/>
          <w:p>
            <w:pPr>
              <w:pStyle w:val="Compact"/>
              <w:jc w:val="left"/>
            </w:pPr>
            <w:r>
              <w:t xml:space="preserve">依附条件下的发展；主权代价真实</w:t>
            </w:r>
          </w:p>
        </w:tc>
        <w:tc>
          <w:tcPr/>
          <w:p>
            <w:pPr>
              <w:pStyle w:val="Compact"/>
              <w:jc w:val="left"/>
            </w:pPr>
            <w:r>
              <w:t xml:space="preserve">被排除感强；物质改善与比较痛苦并行</w:t>
            </w:r>
          </w:p>
        </w:tc>
        <w:tc>
          <w:tcPr/>
          <w:p>
            <w:pPr>
              <w:pStyle w:val="Compact"/>
              <w:jc w:val="left"/>
            </w:pPr>
            <w:r>
              <w:t xml:space="preserve">动荡风险中高；取决于接入深度和体系稳定性</w:t>
            </w:r>
          </w:p>
        </w:tc>
      </w:tr>
      <w:tr>
        <w:tc>
          <w:tcPr/>
          <w:p>
            <w:pPr>
              <w:pStyle w:val="Compact"/>
              <w:jc w:val="left"/>
            </w:pPr>
            <w:r>
              <w:rPr>
                <w:bCs/>
                <w:b/>
              </w:rPr>
              <w:t xml:space="preserve">E类（被遗忘地带）</w:t>
            </w:r>
          </w:p>
        </w:tc>
        <w:tc>
          <w:tcPr/>
          <w:p>
            <w:pPr>
              <w:pStyle w:val="Compact"/>
              <w:jc w:val="left"/>
            </w:pPr>
            <w:r>
              <w:t xml:space="preserve">生存仍然提供结构；前工业逻辑</w:t>
            </w:r>
          </w:p>
        </w:tc>
        <w:tc>
          <w:tcPr/>
          <w:p>
            <w:pPr>
              <w:pStyle w:val="Compact"/>
              <w:jc w:val="left"/>
            </w:pPr>
            <w:r>
              <w:t xml:space="preserve">生存本身是结构；无意义危机</w:t>
            </w:r>
          </w:p>
        </w:tc>
        <w:tc>
          <w:tcPr/>
          <w:p>
            <w:pPr>
              <w:pStyle w:val="Compact"/>
              <w:jc w:val="left"/>
            </w:pPr>
            <w:r>
              <w:t xml:space="preserve">向外流动面临壁垒上升</w:t>
            </w:r>
          </w:p>
        </w:tc>
        <w:tc>
          <w:tcPr/>
          <w:p>
            <w:pPr>
              <w:pStyle w:val="Compact"/>
              <w:jc w:val="left"/>
            </w:pPr>
            <w:r>
              <w:t xml:space="preserve">基本缺席；传统社会网络是主要结构</w:t>
            </w:r>
          </w:p>
        </w:tc>
        <w:tc>
          <w:tcPr/>
          <w:p>
            <w:pPr>
              <w:pStyle w:val="Compact"/>
              <w:jc w:val="left"/>
            </w:pPr>
            <w:r>
              <w:t xml:space="preserve">生存与意义双重缺失；但无比较参照系</w:t>
            </w:r>
          </w:p>
        </w:tc>
        <w:tc>
          <w:tcPr/>
          <w:p>
            <w:pPr>
              <w:pStyle w:val="Compact"/>
              <w:jc w:val="left"/>
            </w:pPr>
            <w:r>
              <w:t xml:space="preserve">长期边缘化；与聚变世界差距是文明级别</w:t>
            </w:r>
          </w:p>
        </w:tc>
      </w:tr>
    </w:tbl>
    <w:bookmarkEnd w:id="23"/>
    <w:bookmarkStart w:id="24" w:name="速览三-20262072时间轴关键节点"/>
    <w:p>
      <w:pPr>
        <w:pStyle w:val="Heading2"/>
      </w:pPr>
      <w:r>
        <w:t xml:space="preserve">速览三　2026–2072时间轴关键节点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年份</w:t>
            </w:r>
          </w:p>
        </w:tc>
        <w:tc>
          <w:tcPr/>
          <w:p>
            <w:pPr>
              <w:pStyle w:val="Compact"/>
              <w:jc w:val="left"/>
            </w:pPr>
            <w:r>
              <w:t xml:space="preserve">事件</w:t>
            </w:r>
          </w:p>
        </w:tc>
        <w:tc>
          <w:tcPr/>
          <w:p>
            <w:pPr>
              <w:pStyle w:val="Compact"/>
              <w:jc w:val="left"/>
            </w:pPr>
            <w:r>
              <w:t xml:space="preserve">含义</w:t>
            </w:r>
          </w:p>
        </w:tc>
      </w:tr>
      <w:tr>
        <w:tc>
          <w:tcPr/>
          <w:p>
            <w:pPr>
              <w:pStyle w:val="Compact"/>
              <w:jc w:val="left"/>
            </w:pPr>
            <w:r>
              <w:t xml:space="preserve">2027</w:t>
            </w:r>
          </w:p>
        </w:tc>
        <w:tc>
          <w:tcPr/>
          <w:p>
            <w:pPr>
              <w:pStyle w:val="Compact"/>
              <w:jc w:val="left"/>
            </w:pPr>
            <w:r>
              <w:t xml:space="preserve">AGI临界（±2年）</w:t>
            </w:r>
          </w:p>
        </w:tc>
        <w:tc>
          <w:tcPr/>
          <w:p>
            <w:pPr>
              <w:pStyle w:val="Compact"/>
              <w:jc w:val="left"/>
            </w:pPr>
            <w:r>
              <w:t xml:space="preserve">标准化认知劳动系统性替代开始；裸露期启动</w:t>
            </w:r>
          </w:p>
        </w:tc>
      </w:tr>
      <w:tr>
        <w:tc>
          <w:tcPr/>
          <w:p>
            <w:pPr>
              <w:pStyle w:val="Compact"/>
              <w:jc w:val="left"/>
            </w:pPr>
            <w:r>
              <w:t xml:space="preserve">2028—2029</w:t>
            </w:r>
          </w:p>
        </w:tc>
        <w:tc>
          <w:tcPr/>
          <w:p>
            <w:pPr>
              <w:pStyle w:val="Compact"/>
              <w:jc w:val="left"/>
            </w:pPr>
            <w:r>
              <w:t xml:space="preserve">台海冲突</w:t>
            </w:r>
          </w:p>
        </w:tc>
        <w:tc>
          <w:tcPr/>
          <w:p>
            <w:pPr>
              <w:pStyle w:val="Compact"/>
              <w:jc w:val="left"/>
            </w:pPr>
            <w:r>
              <w:t xml:space="preserve">武力路径证伪；反战情绪结构性积累；双体系阵营分化加速</w:t>
            </w:r>
          </w:p>
        </w:tc>
      </w:tr>
      <w:tr>
        <w:tc>
          <w:tcPr/>
          <w:p>
            <w:pPr>
              <w:pStyle w:val="Compact"/>
              <w:jc w:val="left"/>
            </w:pPr>
            <w:r>
              <w:t xml:space="preserve">2030—2035</w:t>
            </w:r>
          </w:p>
        </w:tc>
        <w:tc>
          <w:tcPr/>
          <w:p>
            <w:pPr>
              <w:pStyle w:val="Compact"/>
              <w:jc w:val="left"/>
            </w:pPr>
            <w:r>
              <w:t xml:space="preserve">AI替代高峰期</w:t>
            </w:r>
          </w:p>
        </w:tc>
        <w:tc>
          <w:tcPr/>
          <w:p>
            <w:pPr>
              <w:pStyle w:val="Compact"/>
              <w:jc w:val="left"/>
            </w:pPr>
            <w:r>
              <w:t xml:space="preserve">各路径L2裸露期（就业崩塌先于制度保障）</w:t>
            </w:r>
          </w:p>
        </w:tc>
      </w:tr>
      <w:tr>
        <w:tc>
          <w:tcPr/>
          <w:p>
            <w:pPr>
              <w:pStyle w:val="Compact"/>
              <w:jc w:val="left"/>
            </w:pPr>
            <w:r>
              <w:t xml:space="preserve">2037</w:t>
            </w:r>
          </w:p>
        </w:tc>
        <w:tc>
          <w:tcPr/>
          <w:p>
            <w:pPr>
              <w:pStyle w:val="Compact"/>
              <w:jc w:val="left"/>
            </w:pPr>
            <w:r>
              <w:t xml:space="preserve">聚变净能量突破</w:t>
            </w:r>
          </w:p>
        </w:tc>
        <w:tc>
          <w:tcPr/>
          <w:p>
            <w:pPr>
              <w:pStyle w:val="Compact"/>
              <w:jc w:val="left"/>
            </w:pPr>
            <w:r>
              <w:t xml:space="preserve">物质兜底的技术前提建立</w:t>
            </w:r>
          </w:p>
        </w:tc>
      </w:tr>
      <w:tr>
        <w:tc>
          <w:tcPr/>
          <w:p>
            <w:pPr>
              <w:pStyle w:val="Compact"/>
              <w:jc w:val="left"/>
            </w:pPr>
            <w:r>
              <w:t xml:space="preserve">2044</w:t>
            </w:r>
          </w:p>
        </w:tc>
        <w:tc>
          <w:tcPr/>
          <w:p>
            <w:pPr>
              <w:pStyle w:val="Compact"/>
              <w:jc w:val="left"/>
            </w:pPr>
            <w:r>
              <w:t xml:space="preserve">聚变电网L1上线</w:t>
            </w:r>
          </w:p>
        </w:tc>
        <w:tc>
          <w:tcPr/>
          <w:p>
            <w:pPr>
              <w:pStyle w:val="Compact"/>
              <w:jc w:val="left"/>
            </w:pPr>
            <w:r>
              <w:t xml:space="preserve">物质丰度转变的物理起点（非红利起点）</w:t>
            </w:r>
          </w:p>
        </w:tc>
      </w:tr>
      <w:tr>
        <w:tc>
          <w:tcPr/>
          <w:p>
            <w:pPr>
              <w:pStyle w:val="Compact"/>
              <w:jc w:val="left"/>
            </w:pPr>
            <w:r>
              <w:t xml:space="preserve">2049—2059</w:t>
            </w:r>
          </w:p>
        </w:tc>
        <w:tc>
          <w:tcPr/>
          <w:p>
            <w:pPr>
              <w:pStyle w:val="Compact"/>
              <w:jc w:val="left"/>
            </w:pPr>
            <w:r>
              <w:rPr>
                <w:bCs/>
                <w:b/>
              </w:rPr>
              <w:t xml:space="preserve">关键交汇窗口</w:t>
            </w:r>
          </w:p>
        </w:tc>
        <w:tc>
          <w:tcPr/>
          <w:p>
            <w:pPr>
              <w:pStyle w:val="Compact"/>
              <w:jc w:val="left"/>
            </w:pPr>
            <w:r>
              <w:t xml:space="preserve">聚变L2完成（廉价能源）+ AI L3完成（制度保障）→ 多态社会物质条件成立</w:t>
            </w:r>
          </w:p>
        </w:tc>
      </w:tr>
      <w:tr>
        <w:tc>
          <w:tcPr/>
          <w:p>
            <w:pPr>
              <w:pStyle w:val="Compact"/>
              <w:jc w:val="left"/>
            </w:pPr>
            <w:r>
              <w:t xml:space="preserve">2052—2055</w:t>
            </w:r>
          </w:p>
        </w:tc>
        <w:tc>
          <w:tcPr/>
          <w:p>
            <w:pPr>
              <w:pStyle w:val="Compact"/>
              <w:jc w:val="left"/>
            </w:pPr>
            <w:r>
              <w:t xml:space="preserve">配给体系财政可行性成立</w:t>
            </w:r>
          </w:p>
        </w:tc>
        <w:tc>
          <w:tcPr/>
          <w:p>
            <w:pPr>
              <w:pStyle w:val="Compact"/>
              <w:jc w:val="left"/>
            </w:pPr>
            <w:r>
              <w:t xml:space="preserve">BSC/票据覆盖基本生存；裸露期结束</w:t>
            </w:r>
          </w:p>
        </w:tc>
      </w:tr>
      <w:tr>
        <w:tc>
          <w:tcPr/>
          <w:p>
            <w:pPr>
              <w:pStyle w:val="Compact"/>
              <w:jc w:val="left"/>
            </w:pPr>
            <w:r>
              <w:t xml:space="preserve">2058—2065</w:t>
            </w:r>
          </w:p>
        </w:tc>
        <w:tc>
          <w:tcPr/>
          <w:p>
            <w:pPr>
              <w:pStyle w:val="Compact"/>
              <w:jc w:val="left"/>
            </w:pPr>
            <w:r>
              <w:t xml:space="preserve">24小时标准工时确立</w:t>
            </w:r>
          </w:p>
        </w:tc>
        <w:tc>
          <w:tcPr/>
          <w:p>
            <w:pPr>
              <w:pStyle w:val="Compact"/>
              <w:jc w:val="left"/>
            </w:pPr>
            <w:r>
              <w:t xml:space="preserve">工时从约束性规范转为社会计量单位</w:t>
            </w:r>
          </w:p>
        </w:tc>
      </w:tr>
      <w:tr>
        <w:tc>
          <w:tcPr/>
          <w:p>
            <w:pPr>
              <w:pStyle w:val="Compact"/>
              <w:jc w:val="left"/>
            </w:pPr>
            <w:r>
              <w:t xml:space="preserve">2061</w:t>
            </w:r>
          </w:p>
        </w:tc>
        <w:tc>
          <w:tcPr/>
          <w:p>
            <w:pPr>
              <w:pStyle w:val="Compact"/>
              <w:jc w:val="left"/>
            </w:pPr>
            <w:r>
              <w:t xml:space="preserve">聚变接入格局基本成形</w:t>
            </w:r>
          </w:p>
        </w:tc>
        <w:tc>
          <w:tcPr/>
          <w:p>
            <w:pPr>
              <w:pStyle w:val="Compact"/>
              <w:jc w:val="left"/>
            </w:pPr>
            <w:r>
              <w:t xml:space="preserve">A1/A2/B1/B2类聚变接入路径相对稳定，C/D/E类持续摇摆或未锁定；两体系商业互依持续</w:t>
            </w:r>
          </w:p>
        </w:tc>
      </w:tr>
      <w:tr>
        <w:tc>
          <w:tcPr/>
          <w:p>
            <w:pPr>
              <w:pStyle w:val="Compact"/>
              <w:jc w:val="left"/>
            </w:pPr>
            <w:r>
              <w:t xml:space="preserve">2072</w:t>
            </w:r>
          </w:p>
        </w:tc>
        <w:tc>
          <w:tcPr/>
          <w:p>
            <w:pPr>
              <w:pStyle w:val="Compact"/>
              <w:jc w:val="left"/>
            </w:pPr>
            <w:r>
              <w:rPr>
                <w:bCs/>
                <w:b/>
              </w:rPr>
              <w:t xml:space="preserve">故事节点</w:t>
            </w:r>
          </w:p>
        </w:tc>
        <w:tc>
          <w:tcPr/>
          <w:p>
            <w:pPr>
              <w:pStyle w:val="Compact"/>
              <w:jc w:val="left"/>
            </w:pPr>
            <w:r>
              <w:t xml:space="preserve">技术充裕已到，意义重构未完；各路径处于不同历史深度</w:t>
            </w:r>
          </w:p>
        </w:tc>
      </w:tr>
    </w:tbl>
    <w:bookmarkEnd w:id="24"/>
    <w:bookmarkStart w:id="25" w:name="速览四-a1与a2体系关键比较"/>
    <w:p>
      <w:pPr>
        <w:pStyle w:val="Heading2"/>
      </w:pPr>
      <w:r>
        <w:t xml:space="preserve">速览四　A1与A2体系关键比较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A1（民主市场路径）</w:t>
            </w:r>
          </w:p>
        </w:tc>
        <w:tc>
          <w:tcPr/>
          <w:p>
            <w:pPr>
              <w:pStyle w:val="Compact"/>
              <w:jc w:val="left"/>
            </w:pPr>
            <w:r>
              <w:t xml:space="preserve">A2（威权计划路径）</w:t>
            </w:r>
          </w:p>
        </w:tc>
      </w:tr>
      <w:tr>
        <w:tc>
          <w:tcPr/>
          <w:p>
            <w:pPr>
              <w:pStyle w:val="Compact"/>
              <w:jc w:val="left"/>
            </w:pPr>
            <w:r>
              <w:t xml:space="preserve">分配主要工具</w:t>
            </w:r>
          </w:p>
        </w:tc>
        <w:tc>
          <w:tcPr/>
          <w:p>
            <w:pPr>
              <w:pStyle w:val="Compact"/>
              <w:jc w:val="left"/>
            </w:pPr>
            <w:r>
              <w:t xml:space="preserve">基本支持积分（BSC，覆盖食品/医疗/住房/教育/交通） + 有限现金</w:t>
            </w:r>
          </w:p>
        </w:tc>
        <w:tc>
          <w:tcPr/>
          <w:p>
            <w:pPr>
              <w:pStyle w:val="Compact"/>
              <w:jc w:val="left"/>
            </w:pPr>
            <w:r>
              <w:t xml:space="preserve">供应票据（实物为主）；货币薪资仅覆盖体制内人口</w:t>
            </w:r>
          </w:p>
        </w:tc>
      </w:tr>
      <w:tr>
        <w:tc>
          <w:tcPr/>
          <w:p>
            <w:pPr>
              <w:pStyle w:val="Compact"/>
              <w:jc w:val="left"/>
            </w:pPr>
            <w:r>
              <w:t xml:space="preserve">消费自主性</w:t>
            </w:r>
          </w:p>
        </w:tc>
        <w:tc>
          <w:tcPr/>
          <w:p>
            <w:pPr>
              <w:pStyle w:val="Compact"/>
              <w:jc w:val="left"/>
            </w:pPr>
            <w:r>
              <w:t xml:space="preserve">较高（积分可在品类内自选）</w:t>
            </w:r>
          </w:p>
        </w:tc>
        <w:tc>
          <w:tcPr/>
          <w:p>
            <w:pPr>
              <w:pStyle w:val="Compact"/>
              <w:jc w:val="left"/>
            </w:pPr>
            <w:r>
              <w:t xml:space="preserve">较低（实物或指定渠道）；体制外人口受严格约束</w:t>
            </w:r>
          </w:p>
        </w:tc>
      </w:tr>
      <w:tr>
        <w:tc>
          <w:tcPr/>
          <w:p>
            <w:pPr>
              <w:pStyle w:val="Compact"/>
              <w:jc w:val="left"/>
            </w:pPr>
            <w:r>
              <w:t xml:space="preserve">垂直流动通道</w:t>
            </w:r>
          </w:p>
        </w:tc>
        <w:tc>
          <w:tcPr/>
          <w:p>
            <w:pPr>
              <w:pStyle w:val="Compact"/>
              <w:jc w:val="left"/>
            </w:pPr>
            <w:r>
              <w:t xml:space="preserve">市场能力 + 教育 + 网络资本</w:t>
            </w:r>
          </w:p>
        </w:tc>
        <w:tc>
          <w:tcPr/>
          <w:p>
            <w:pPr>
              <w:pStyle w:val="Compact"/>
              <w:jc w:val="left"/>
            </w:pPr>
            <w:r>
              <w:t xml:space="preserve">考试选拔（正式）+ 非正式关系网络（实际影响显著）</w:t>
            </w:r>
          </w:p>
        </w:tc>
      </w:tr>
      <w:tr>
        <w:tc>
          <w:tcPr/>
          <w:p>
            <w:pPr>
              <w:pStyle w:val="Compact"/>
              <w:jc w:val="left"/>
            </w:pPr>
            <w:r>
              <w:t xml:space="preserve">数据权力</w:t>
            </w:r>
          </w:p>
        </w:tc>
        <w:tc>
          <w:tcPr/>
          <w:p>
            <w:pPr>
              <w:pStyle w:val="Compact"/>
              <w:jc w:val="left"/>
            </w:pPr>
            <w:r>
              <w:t xml:space="preserve">分散于国家/企业/个人；法律约束跨库整合</w:t>
            </w:r>
          </w:p>
        </w:tc>
        <w:tc>
          <w:tcPr/>
          <w:p>
            <w:pPr>
              <w:pStyle w:val="Compact"/>
              <w:jc w:val="left"/>
            </w:pPr>
            <w:r>
              <w:t xml:space="preserve">集中于国家统一架构；商业平台是国家数据节点</w:t>
            </w:r>
          </w:p>
        </w:tc>
      </w:tr>
      <w:tr>
        <w:tc>
          <w:tcPr/>
          <w:p>
            <w:pPr>
              <w:pStyle w:val="Compact"/>
              <w:jc w:val="left"/>
            </w:pPr>
            <w:r>
              <w:t xml:space="preserve">意义危机应对</w:t>
            </w:r>
          </w:p>
        </w:tc>
        <w:tc>
          <w:tcPr/>
          <w:p>
            <w:pPr>
              <w:pStyle w:val="Compact"/>
              <w:jc w:val="left"/>
            </w:pPr>
            <w:r>
              <w:t xml:space="preserve">可公开命名；文化产业持续处理；无统一答案</w:t>
            </w:r>
          </w:p>
        </w:tc>
        <w:tc>
          <w:tcPr/>
          <w:p>
            <w:pPr>
              <w:pStyle w:val="Compact"/>
              <w:jc w:val="left"/>
            </w:pPr>
            <w:r>
              <w:t xml:space="preserve">不被官方命名；通过功能性适应替代内在处理</w:t>
            </w:r>
          </w:p>
        </w:tc>
      </w:tr>
      <w:tr>
        <w:tc>
          <w:tcPr/>
          <w:p>
            <w:pPr>
              <w:pStyle w:val="Compact"/>
              <w:jc w:val="left"/>
            </w:pPr>
            <w:r>
              <w:t xml:space="preserve">私营部门地位</w:t>
            </w:r>
          </w:p>
        </w:tc>
        <w:tc>
          <w:tcPr/>
          <w:p>
            <w:pPr>
              <w:pStyle w:val="Compact"/>
              <w:jc w:val="left"/>
            </w:pPr>
            <w:r>
              <w:t xml:space="preserve">市场主导；受法律约束</w:t>
            </w:r>
          </w:p>
        </w:tc>
        <w:tc>
          <w:tcPr/>
          <w:p>
            <w:pPr>
              <w:pStyle w:val="Compact"/>
              <w:jc w:val="left"/>
            </w:pPr>
            <w:r>
              <w:t xml:space="preserve">“</w:t>
            </w:r>
            <w:r>
              <w:t xml:space="preserve">服从换自由度</w:t>
            </w:r>
            <w:r>
              <w:t xml:space="preserve">”</w:t>
            </w:r>
            <w:r>
              <w:t xml:space="preserve">的隐性契约；边界由国家单方面重定义</w:t>
            </w:r>
          </w:p>
        </w:tc>
      </w:tr>
      <w:tr>
        <w:tc>
          <w:tcPr/>
          <w:p>
            <w:pPr>
              <w:pStyle w:val="Compact"/>
              <w:jc w:val="left"/>
            </w:pPr>
            <w:r>
              <w:t xml:space="preserve">精英博弈成本</w:t>
            </w:r>
          </w:p>
        </w:tc>
        <w:tc>
          <w:tcPr/>
          <w:p>
            <w:pPr>
              <w:pStyle w:val="Compact"/>
              <w:jc w:val="left"/>
            </w:pPr>
            <w:r>
              <w:t xml:space="preserve">通过选举和司法进行；代价公开可见</w:t>
            </w:r>
          </w:p>
        </w:tc>
        <w:tc>
          <w:tcPr/>
          <w:p>
            <w:pPr>
              <w:pStyle w:val="Compact"/>
              <w:jc w:val="left"/>
            </w:pPr>
            <w:r>
              <w:t xml:space="preserve">内部技术官僚博弈；</w:t>
            </w:r>
            <w:r>
              <w:t xml:space="preserve">“</w:t>
            </w:r>
            <w:r>
              <w:t xml:space="preserve">换人不换结构</w:t>
            </w:r>
            <w:r>
              <w:t xml:space="preserve">”</w:t>
            </w:r>
            <w:r>
              <w:t xml:space="preserve">是共识；激进扩张的成本收益不利</w:t>
            </w:r>
          </w:p>
        </w:tc>
      </w:tr>
      <w:tr>
        <w:tc>
          <w:tcPr/>
          <w:p>
            <w:pPr>
              <w:pStyle w:val="Compact"/>
              <w:jc w:val="left"/>
            </w:pPr>
            <w:r>
              <w:t xml:space="preserve">地方政府激励</w:t>
            </w:r>
          </w:p>
        </w:tc>
        <w:tc>
          <w:tcPr/>
          <w:p>
            <w:pPr>
              <w:pStyle w:val="Compact"/>
              <w:jc w:val="left"/>
            </w:pPr>
            <w:r>
              <w:t xml:space="preserve">选票 + 税收竞争 → 代表本地利益</w:t>
            </w:r>
          </w:p>
        </w:tc>
        <w:tc>
          <w:tcPr/>
          <w:p>
            <w:pPr>
              <w:pStyle w:val="Compact"/>
              <w:jc w:val="left"/>
            </w:pPr>
            <w:r>
              <w:t xml:space="preserve">晋升考核来自中央 → 官员激励指向中央评估而非本地居民</w:t>
            </w:r>
          </w:p>
        </w:tc>
      </w:tr>
    </w:tbl>
    <w:p>
      <w:pPr>
        <w:pStyle w:val="BodyText"/>
      </w:pPr>
      <w:r>
        <w:rPr>
          <w:bCs/>
          <w:b/>
        </w:rPr>
        <w:t xml:space="preserve">《2072》的核心判断：</w:t>
      </w:r>
      <w:r>
        <w:t xml:space="preserve"> </w:t>
      </w:r>
      <w:r>
        <w:t xml:space="preserve">在AI深化与聚变扩散共同作用下，劳动不再稳定承担分配、身份与被需要感的中心功能；生存压力在部分地区下降，但意义危机取而代之。流动回报率衰退推动人口回流本地，社区重新成为基础承接单位。不同国家与地区因整合能力、社区吸附力、痛苦政治化程度和历史滞后量不同，进入不同稳态。于是，同一物理年份的世界不再共享同一种未来，而是进入多个历史阶段并存、系统可稳定、个体心理适应过程持续展开的多态社会。</w:t>
      </w:r>
    </w:p>
    <w:bookmarkEnd w:id="25"/>
    <w:bookmarkEnd w:id="26"/>
    <w:bookmarkStart w:id="53" w:name="第一部分-多态社会理论基础"/>
    <w:p>
      <w:pPr>
        <w:pStyle w:val="Heading1"/>
      </w:pPr>
      <w:r>
        <w:t xml:space="preserve">第一部分　多态社会：理论基础</w:t>
      </w:r>
    </w:p>
    <w:bookmarkStart w:id="29" w:name="方法论说明"/>
    <w:p>
      <w:pPr>
        <w:pStyle w:val="Heading2"/>
      </w:pPr>
      <w:r>
        <w:t xml:space="preserve">1.1　方法论说明</w:t>
      </w:r>
    </w:p>
    <w:p>
      <w:pPr>
        <w:pStyle w:val="FirstParagraph"/>
      </w:pPr>
      <w:r>
        <w:t xml:space="preserve">本文件在两个层面同时工作，两者并行而不相互取消。</w:t>
      </w:r>
    </w:p>
    <w:p>
      <w:pPr>
        <w:pStyle w:val="BodyText"/>
      </w:pPr>
      <w:r>
        <w:t xml:space="preserve">群体层面描述统计规律和结构性趋势——相互忽视均衡的稳固性、生育率的下行方向、动员意愿的系统性降低、多态稳定的形成机制。这些描述用概率和趋势来表达，说的是力量场的形态，不是每个个体的命运。</w:t>
      </w:r>
    </w:p>
    <w:p>
      <w:pPr>
        <w:pStyle w:val="BodyText"/>
      </w:pPr>
      <w:r>
        <w:t xml:space="preserve">个体层面保留不可约化的多样性——具体的人在统计框架之外做出统计无法预测的选择。韦恩·鲍尔不是统计异常需要被解释，他就是那个不被统计规律所约束的个体。他的存在不挑战群体层面的描述，因为群体描述从来没有声称覆盖所有个体。用群体统计来决定个体行为是方法论错误，用个体案例来反驳群体趋势是同样的错误。</w:t>
      </w:r>
    </w:p>
    <w:p>
      <w:pPr>
        <w:pStyle w:val="BodyText"/>
      </w:pPr>
      <w:r>
        <w:t xml:space="preserve">这个区分是本文件叙事方式的理论基础。世界观框架描述结构性力量和统计规律——这是真实的背景，是塑造可能性空间的力量场。个体人物在这个力量场里活动，被它影响但不被它决定。统计之外的人不是世界观的反例，而是世界观无法覆盖也不应该覆盖的部分。群体的有向性和个体的不确定性是社会现实的两个真实维度，平行存在，互不取消。</w:t>
      </w:r>
    </w:p>
    <w:p>
      <w:pPr>
        <w:pStyle w:val="BodyText"/>
      </w:pPr>
      <w:r>
        <w:t xml:space="preserve">结构决定可能性空间，个体在空间里选择。世界观描述前者，故事探索后者。</w:t>
      </w:r>
    </w:p>
    <w:bookmarkStart w:id="27" w:name="统计理性与个体不确定性"/>
    <w:p>
      <w:pPr>
        <w:pStyle w:val="Heading3"/>
      </w:pPr>
      <w:r>
        <w:t xml:space="preserve">1.1.1　统计理性与个体不确定性</w:t>
      </w:r>
    </w:p>
    <w:p>
      <w:pPr>
        <w:pStyle w:val="FirstParagraph"/>
      </w:pPr>
      <w:r>
        <w:t xml:space="preserve">上述统计理性与个体不确定性的区分，是本文件方法论的核心原则，贯穿全文所有社会图景的描述。</w:t>
      </w:r>
    </w:p>
    <w:bookmarkEnd w:id="27"/>
    <w:bookmarkStart w:id="28" w:name="本文件的方法论局限"/>
    <w:p>
      <w:pPr>
        <w:pStyle w:val="Heading3"/>
      </w:pPr>
      <w:r>
        <w:t xml:space="preserve">1.1.2　本文件的方法论局限</w:t>
      </w:r>
    </w:p>
    <w:p>
      <w:pPr>
        <w:pStyle w:val="FirstParagraph"/>
      </w:pPr>
      <w:r>
        <w:t xml:space="preserve">以下七个局限是这份文件固有的，在此明确说明，供读者带入批判性阅读。</w:t>
      </w:r>
    </w:p>
    <w:p>
      <w:pPr>
        <w:pStyle w:val="BodyText"/>
      </w:pPr>
      <w:r>
        <w:rPr>
          <w:bCs/>
          <w:b/>
        </w:rPr>
        <w:t xml:space="preserve">一、路径选择替代了路径分布。</w:t>
      </w:r>
      <w:r>
        <w:t xml:space="preserve"> </w:t>
      </w:r>
      <w:r>
        <w:t xml:space="preserve">本文件在众多可能性中选取了一条概率加权的主导路径，以清晰的2072年场景为叙事目标，有意牺牲了路径分叉的完整描述。这一选择还带来一个副作用：文件的主因果链（V1上升→劳动失位→意义危机→多态稳定）是单向推进的，反向机制和循环因果被归入”模型失效条件”而非内生变量。V7（痛苦政治化程度）是本框架的高敏感变量；其触发机制、阈值差异与路径抑制机制的完整分析见1.2.1节V7专项展开。相互忽视均衡（1.4.3节）与多态稳定的成立，依赖配给体系不断裂、组织门槛不骤降这两个前提，两者并非铁定不变。</w:t>
      </w:r>
    </w:p>
    <w:p>
      <w:pPr>
        <w:pStyle w:val="BodyText"/>
      </w:pPr>
      <w:r>
        <w:rPr>
          <w:bCs/>
          <w:b/>
        </w:rPr>
        <w:t xml:space="preserve">二、认知起点锚定在2026年。</w:t>
      </w:r>
      <w:r>
        <w:t xml:space="preserve"> </w:t>
      </w:r>
      <w:r>
        <w:t xml:space="preserve">所有预测都从已知向量延伸：聚变、AI替代、深海采矿、合成食品是技术章节的四条主轴，因为它们是2026年可见的前沿。从未知向量涌现的技术突破，文件没有能力处理，也没有声称覆盖。AGI的定义与临界时间节点在3.1节有专项分析，在此不重复。</w:t>
      </w:r>
    </w:p>
    <w:p>
      <w:pPr>
        <w:pStyle w:val="BodyText"/>
      </w:pPr>
      <w:r>
        <w:rPr>
          <w:bCs/>
          <w:b/>
        </w:rPr>
        <w:t xml:space="preserve">三、A1与A2的推演深度不对称，A1/A2以外国家推演更为简略。</w:t>
      </w:r>
      <w:r>
        <w:t xml:space="preserve"> </w:t>
      </w:r>
      <w:r>
        <w:t xml:space="preserve">本文件的观察者位置更接近A1体系。A1的哲学、政治和经济理论有完整成熟的西方学术传统作为推演基础——自由主义政治哲学、新古典与凯恩斯经济学、联邦主义政治经济学，提供了稳定的行为假设。A2体系的合法性叙事本身是实践优先、理论后置的：它的正当性随绩效结果调整，不依附于稳定的规范性内核。这不是分析者的选择，而是被分析对象的真实特征——但它确实使基于逻辑推演的A2内部机制描述比A1更薄，尤其在精英博弈、意识形态弹性和制度演化方向上。对A1/A2以外的国家和地区，作者的知识积累更为有限，相关推演以结构性类推为主，缺乏对具体社会、政治和历史细节的深度把握，这些部分应被视为轮廓性描述而非深度分析。读者应对A2及其他路径相关推演持更审慎的态度。</w:t>
      </w:r>
    </w:p>
    <w:p>
      <w:pPr>
        <w:pStyle w:val="BodyText"/>
      </w:pPr>
      <w:r>
        <w:rPr>
          <w:bCs/>
          <w:b/>
        </w:rPr>
        <w:t xml:space="preserve">四、动荡期保持开放。</w:t>
      </w:r>
      <w:r>
        <w:t xml:space="preserve"> </w:t>
      </w:r>
      <w:r>
        <w:t xml:space="preserve">第七部分（前聚变动荡期，发达路径核心约2027—2044年，全球南方延续至2050年代，各路径持续时长与烈度不同）的推演精度低于其他部分。这一时期最接近2026年的现实，变量最多，而且是读者最容易用自己的现实经验质疑的部分。本文件选择对动荡期的具体事件序列保持最低限度的设定，为后续读者的参与和讨论保留空间。动荡期的”开放”不是未完成，而是认为这里本来就需要读者带入自己的判断。</w:t>
      </w:r>
    </w:p>
    <w:p>
      <w:pPr>
        <w:pStyle w:val="BodyText"/>
      </w:pPr>
      <w:r>
        <w:rPr>
          <w:bCs/>
          <w:b/>
        </w:rPr>
        <w:t xml:space="preserve">五、意义危机框架来自特定文化传统。</w:t>
      </w:r>
      <w:r>
        <w:t xml:space="preserve"> </w:t>
      </w:r>
      <w:r>
        <w:t xml:space="preserve">本文件以”被需要感缺失”和”意义感缺位”作为2072年最核心的人类处境描述。这个框架来自后工业社会的心理学和社会学传统，对文化背景差异显著的人口——尤其是被遗忘地带和全球南方部分路径——的适用程度需要读者自行校准。文件在5.7节对被遗忘地带的描述中已隐含承认了这一点。</w:t>
      </w:r>
    </w:p>
    <w:p>
      <w:pPr>
        <w:pStyle w:val="BodyText"/>
      </w:pPr>
      <w:r>
        <w:rPr>
          <w:bCs/>
          <w:b/>
        </w:rPr>
        <w:t xml:space="preserve">六、作者的价值观和主观偏好对推演构成影响。</w:t>
      </w:r>
      <w:r>
        <w:t xml:space="preserve"> </w:t>
      </w:r>
      <w:r>
        <w:t xml:space="preserve">作者持自由主义立场，这一立场不可避免地渗入对路径比较的判断，尽管文件在叙事层面力求以机制描述替代价值评判、以”效果与代价”替代”好与坏”的框架。具体表现为：对A1体系的制度弹性可能存在高估偏差；对A2体系的内生演化空间可能存在低估偏差；对自由主义核心命题（个体自主、产权保护、程序正义）的评估可能过于依赖该传统本身的论证框架。这些偏差不是作者的主观意图，而是任何有知识背景和价值立场的推演者都无法完全消除的结构性限制。读者如有不同立场，欢迎对相应推演提出批评和修正。</w:t>
      </w:r>
    </w:p>
    <w:p>
      <w:pPr>
        <w:pStyle w:val="BodyText"/>
      </w:pPr>
      <w:r>
        <w:rPr>
          <w:bCs/>
          <w:b/>
        </w:rPr>
        <w:t xml:space="preserve">七、叙事价值通过人物而非世界观文件本身表达。</w:t>
      </w:r>
      <w:r>
        <w:t xml:space="preserve"> </w:t>
      </w:r>
      <w:r>
        <w:t xml:space="preserve">世界观文件力求客观中立地描述机制与后果，但作为虚构作品，其叙事价值取向不可避免地通过故事中的人物选择、情感倾向和命运走向体现。这种区分是刻意的：文件描述可能性空间，人物在其中选择并承担代价；文件不对路径做道德裁判，人物可以有自己的道德判断。</w:t>
      </w:r>
    </w:p>
    <w:p>
      <w:pPr>
        <w:pStyle w:val="BodyText"/>
      </w:pPr>
      <w:r>
        <w:t xml:space="preserve">本文件不是预测，也不是分析报告，而是在以上约束条件下构建的一个内在一致的情景框架。它的价值在于提供一个可以被批评、被修正、被故事检验的结构性背景。批判性阅读本身是预期的使用方式。</w:t>
      </w:r>
    </w:p>
    <w:bookmarkEnd w:id="28"/>
    <w:bookmarkEnd w:id="29"/>
    <w:bookmarkStart w:id="34" w:name="社会模型总纲"/>
    <w:p>
      <w:pPr>
        <w:pStyle w:val="Heading2"/>
      </w:pPr>
      <w:r>
        <w:t xml:space="preserve">1.2　社会模型总纲</w:t>
      </w:r>
    </w:p>
    <w:p>
      <w:pPr>
        <w:pStyle w:val="FirstParagraph"/>
      </w:pPr>
      <w:r>
        <w:t xml:space="preserve">本节将第一部分的理论内核压缩成结构化摘要，供后续章节参照。核心主张：在AI深化、自动化饱和、能源约束显著缓解之后，人类社会进入一种多路径分化、系统可稳定、个体心理适应过程持续展开的多态社会——既非乌托邦，也非末日。</w:t>
      </w:r>
    </w:p>
    <w:bookmarkStart w:id="30" w:name="核心变量v1v8"/>
    <w:p>
      <w:pPr>
        <w:pStyle w:val="Heading3"/>
      </w:pPr>
      <w:r>
        <w:t xml:space="preserve">1.2.1　核心变量（V1–V8）</w:t>
      </w:r>
    </w:p>
    <w:p>
      <w:pPr>
        <w:pStyle w:val="FirstParagraph"/>
      </w:pPr>
      <w:r>
        <w:rPr>
          <w:bCs/>
          <w:b/>
        </w:rPr>
        <w:t xml:space="preserve">V1 自动化替代率</w:t>
      </w:r>
      <w:r>
        <w:t xml:space="preserve">　AI与机器人对人类劳动的替代程度。第一驱动变量：决定劳动是否仍能承担分配、身份与被需要感的核心功能。</w:t>
      </w:r>
    </w:p>
    <w:p>
      <w:pPr>
        <w:pStyle w:val="BodyText"/>
      </w:pPr>
      <w:r>
        <w:rPr>
          <w:bCs/>
          <w:b/>
        </w:rPr>
        <w:t xml:space="preserve">V2 能源丰裕度</w:t>
      </w:r>
      <w:r>
        <w:t xml:space="preserve">　社会以低成本维持生产、通信与基础福利的能力。第二驱动变量：决定社会主要矛盾是生存危机还是意义危机。</w:t>
      </w:r>
    </w:p>
    <w:p>
      <w:pPr>
        <w:pStyle w:val="BodyText"/>
      </w:pPr>
      <w:r>
        <w:rPr>
          <w:bCs/>
          <w:b/>
        </w:rPr>
        <w:t xml:space="preserve">V3 流动回报率</w:t>
      </w:r>
      <w:r>
        <w:t xml:space="preserve">　个体离开本地网络后能否显著改善处境。决定人口向中心集中还是回流地方社区。</w:t>
      </w:r>
    </w:p>
    <w:p>
      <w:pPr>
        <w:pStyle w:val="BodyText"/>
      </w:pPr>
      <w:r>
        <w:rPr>
          <w:bCs/>
          <w:b/>
        </w:rPr>
        <w:t xml:space="preserve">V4 国家整合能力</w:t>
      </w:r>
      <w:r>
        <w:t xml:space="preserve">　国家持续塑造社会秩序与高密度治理的能力。决定同一技术冲击在不同制度路径中的吸收方式。</w:t>
      </w:r>
    </w:p>
    <w:p>
      <w:pPr>
        <w:pStyle w:val="BodyText"/>
      </w:pPr>
      <w:r>
        <w:rPr>
          <w:bCs/>
          <w:b/>
        </w:rPr>
        <w:t xml:space="preserve">V5 社区吸附力</w:t>
      </w:r>
      <w:r>
        <w:t xml:space="preserve">　社区提供归属、互助、身份与低成本生活结构的能力。劳动失位后承接个体的非市场机制。</w:t>
      </w:r>
    </w:p>
    <w:p>
      <w:pPr>
        <w:pStyle w:val="BodyText"/>
      </w:pPr>
      <w:r>
        <w:rPr>
          <w:bCs/>
          <w:b/>
        </w:rPr>
        <w:t xml:space="preserve">V6 意义供给能力</w:t>
      </w:r>
      <w:r>
        <w:t xml:space="preserve">　社会为个体提供稳定价值感与生活目的的能力。解释闲暇转化为创造还是空虚的关键变量。</w:t>
      </w:r>
    </w:p>
    <w:p>
      <w:pPr>
        <w:pStyle w:val="BodyText"/>
      </w:pPr>
      <w:r>
        <w:rPr>
          <w:bCs/>
          <w:b/>
        </w:rPr>
        <w:t xml:space="preserve">V7 痛苦政治化程度</w:t>
      </w:r>
      <w:r>
        <w:t xml:space="preserve">　个体痛苦被组织并转化为集体行动的能力。决定高痛苦社会是否转化为高动荡。</w:t>
      </w:r>
      <w:r>
        <w:rPr>
          <w:bCs/>
          <w:b/>
        </w:rPr>
        <w:t xml:space="preserve">这是本文件的高敏感变量</w:t>
      </w:r>
      <w:r>
        <w:t xml:space="preserve">——稳定均衡依赖V7维持低位，而该低位依赖若干物质条件的持续成立；其内部机制在下文展开。</w:t>
      </w:r>
    </w:p>
    <w:p>
      <w:pPr>
        <w:pStyle w:val="BodyText"/>
      </w:pPr>
      <w:r>
        <w:t xml:space="preserve">V7的内部机制分三层展开：</w:t>
      </w:r>
    </w:p>
    <w:p>
      <w:pPr>
        <w:pStyle w:val="BodyText"/>
      </w:pPr>
      <w:r>
        <w:rPr>
          <w:bCs/>
          <w:b/>
        </w:rPr>
        <w:t xml:space="preserve">触发器。</w:t>
      </w:r>
      <w:r>
        <w:t xml:space="preserve"> </w:t>
      </w:r>
      <w:r>
        <w:t xml:space="preserve">单一层面的压力很少足以激活V7。触发往往需要”私人痛苦长期堆积”与”组织门槛突然降低”的叠合：前者是慢变量（意义危机、配给质量长期不足、代际失落），后者是突变量（配给断裂、信息流通边界被技术穿透、强权的偶然示弱）。两个条件单独存在时均衡稳定；两者叠合才是真正的动员窗口。</w:t>
      </w:r>
    </w:p>
    <w:p>
      <w:pPr>
        <w:pStyle w:val="BodyText"/>
      </w:pPr>
      <w:r>
        <w:rPr>
          <w:bCs/>
          <w:b/>
        </w:rPr>
        <w:t xml:space="preserve">阈值。</w:t>
      </w:r>
      <w:r>
        <w:t xml:space="preserve"> </w:t>
      </w:r>
      <w:r>
        <w:t xml:space="preserve">各路径的V7激活阈值根本不同。A1体系：动员门槛最低，因公民社会基础设施完整（工会、非政府组织（NGO）、独立媒体），小规模组织无需跨越高门槛；但A1同时具备一项结构性的暴力抑制机制——频繁的非暴力公民运动（选举、示威、诉讼、媒体施压）提供了痛苦政治化的合法出口，有效的民主法治制度则系统性提高了大规模暴力冲突爆发的阈值：即便政治动员激烈，暴力升级所需跨越的制度门槛远高于历史上缺乏此类机制的社会。两者叠加的效果是：A1的V7容易被激活，但激活后输出的主要形式是高强度的选举波动与周期性街头动员，而非系统性暴力。即使阈值低，高痛苦也不自动等于高动荡——相互忽视均衡的结构性力量（集体行动预期收益低、问题无集体解）系统性压制持续动员意愿。A2体系：阈值最高，配给依附和信息管控同时压制组织能力；但阈值高不等于系统性稳固——一旦配给体系出现区域性断裂，压制能力突然失效，低位V7可能非线性跳升。</w:t>
      </w:r>
    </w:p>
    <w:p>
      <w:pPr>
        <w:pStyle w:val="BodyText"/>
      </w:pPr>
      <w:r>
        <w:rPr>
          <w:bCs/>
          <w:b/>
        </w:rPr>
        <w:t xml:space="preserve">不同路径下的主要抑制机制。</w:t>
      </w:r>
      <w:r>
        <w:t xml:space="preserve"> </w:t>
      </w:r>
      <w:r>
        <w:t xml:space="preserve">A1：相互忽视均衡的三层结构（物质层/结构层/经验层）使集体行动的机会成本系统性高于收益（见1.4.3节）；AI时代结构性问题缺乏集体行动解——没有明确的施压对象，没有可期待的直接产出。A2：配给依附使反对的生存成本极高；就业绑定使体制内人口有切实的结构性损失顾虑；信息管控使组织所需的共识形成在技术层面困难。两套抑制机制都真实有效，但都不是永久保障。</w:t>
      </w:r>
    </w:p>
    <w:p>
      <w:pPr>
        <w:pStyle w:val="BodyText"/>
      </w:pPr>
      <w:r>
        <w:rPr>
          <w:bCs/>
          <w:b/>
        </w:rPr>
        <w:t xml:space="preserve">V8 历史滞后量</w:t>
      </w:r>
      <w:r>
        <w:t xml:space="preserve">　同一技术冲击在不同路径中被消化所需的时间差。解释同一物理年份里不同地区处于不同”历史阶段”的原因。</w:t>
      </w:r>
    </w:p>
    <w:bookmarkEnd w:id="30"/>
    <w:bookmarkStart w:id="31" w:name="主因果链af"/>
    <w:p>
      <w:pPr>
        <w:pStyle w:val="Heading3"/>
      </w:pPr>
      <w:r>
        <w:t xml:space="preserve">1.2.2　主因果链（A–F）</w:t>
      </w:r>
    </w:p>
    <w:p>
      <w:pPr>
        <w:pStyle w:val="FirstParagraph"/>
      </w:pPr>
      <w:r>
        <w:rPr>
          <w:bCs/>
          <w:b/>
        </w:rPr>
        <w:t xml:space="preserve">链A 劳动失位</w:t>
      </w:r>
      <w:r>
        <w:t xml:space="preserve">　V1上升 → 标准化劳动价值下降 → 大量个体失去”被需要的位置” → 意义危机扩散</w:t>
      </w:r>
    </w:p>
    <w:p>
      <w:pPr>
        <w:pStyle w:val="BodyText"/>
      </w:pPr>
      <w:r>
        <w:rPr>
          <w:bCs/>
          <w:b/>
        </w:rPr>
        <w:t xml:space="preserve">链B 流动衰退</w:t>
      </w:r>
      <w:r>
        <w:t xml:space="preserve">　V1上升 → 跨地域流动收益下降 → 本地关系网络相对升值 → 社区回流，成为基础组织单位</w:t>
      </w:r>
    </w:p>
    <w:p>
      <w:pPr>
        <w:pStyle w:val="BodyText"/>
      </w:pPr>
      <w:r>
        <w:rPr>
          <w:bCs/>
          <w:b/>
        </w:rPr>
        <w:t xml:space="preserve">链C 稳定非幸福</w:t>
      </w:r>
      <w:r>
        <w:t xml:space="preserve">　V2上升 + 基础供给稳定 → 生存焦虑下降 → V6未同步增强 → 心理适应过程私人化 → 系统稳定，个体在社区与文化扩散中逐步形成意义稳态</w:t>
      </w:r>
    </w:p>
    <w:p>
      <w:pPr>
        <w:pStyle w:val="BodyText"/>
      </w:pPr>
      <w:r>
        <w:rPr>
          <w:bCs/>
          <w:b/>
        </w:rPr>
        <w:t xml:space="preserve">链D 相互忽视均衡</w:t>
      </w:r>
      <w:r>
        <w:t xml:space="preserve">　高整合系统不再需要边缘劳动力 → 整合边缘地区收益下降 → 忽视比改造更低成本 → 低冲突、低整合、低期待均衡</w:t>
      </w:r>
    </w:p>
    <w:p>
      <w:pPr>
        <w:pStyle w:val="BodyText"/>
      </w:pPr>
      <w:r>
        <w:rPr>
          <w:bCs/>
          <w:b/>
        </w:rPr>
        <w:t xml:space="preserve">链E 多态分化</w:t>
      </w:r>
      <w:r>
        <w:t xml:space="preserve">　同一技术冲击 × V4差异 × V8差异 → 不同社会进入不同稳态 → 单一未来解体为多种并存</w:t>
      </w:r>
    </w:p>
    <w:p>
      <w:pPr>
        <w:pStyle w:val="BodyText"/>
      </w:pPr>
      <w:r>
        <w:rPr>
          <w:bCs/>
          <w:b/>
        </w:rPr>
        <w:t xml:space="preserve">链F 技术背景化</w:t>
      </w:r>
      <w:r>
        <w:t xml:space="preserve">　聚变、AI、自动化成熟 → 技术不再被感知为”突破” → 从前景退到背景 → 社会问题中心转向”如何活着”</w:t>
      </w:r>
    </w:p>
    <w:bookmarkEnd w:id="31"/>
    <w:bookmarkStart w:id="32" w:name="模型失效条件"/>
    <w:p>
      <w:pPr>
        <w:pStyle w:val="Heading3"/>
      </w:pPr>
      <w:r>
        <w:t xml:space="preserve">1.2.3　模型失效条件</w:t>
      </w:r>
    </w:p>
    <w:p>
      <w:pPr>
        <w:pStyle w:val="FirstParagraph"/>
      </w:pPr>
      <w:r>
        <w:t xml:space="preserve">若V1长期低于阈值，劳动仍会保有中心地位，后劳动社会的核心假设不成立。若V2突破失败或基础供给大规模中断，生存危机压倒意义危机。若战争、瘟疫或气候灾难迫使国家重建强整合，多态稳态被打断。若出现新的强共同叙事（宗教、意识形态或文明级动员），V7上升，个体痛苦重新政治化，退出转向抗议。</w:t>
      </w:r>
    </w:p>
    <w:bookmarkEnd w:id="32"/>
    <w:bookmarkStart w:id="33" w:name="世界经济角色分类参照框架"/>
    <w:p>
      <w:pPr>
        <w:pStyle w:val="Heading3"/>
      </w:pPr>
      <w:r>
        <w:t xml:space="preserve">1.2.4　世界经济角色分类（参照框架）</w:t>
      </w:r>
    </w:p>
    <w:p>
      <w:pPr>
        <w:pStyle w:val="FirstParagraph"/>
      </w:pPr>
      <w:r>
        <w:t xml:space="preserve">以综合实力为底层逻辑，将世界主要经济体归纳为七类角色，以2072年为基准截面。综合实力涵盖技术—经济能力、政治—组织能力与体量三个维度，三者共同决定一个经济体在两大体系博弈中的实际位置。出口品类、产业结构等特征是实力的阶段性表现，会随时间变化，不作为分类依据；各类型受到的冲击差异与吸收能力，在第四、五部分按具体机制分析。</w:t>
      </w:r>
    </w:p>
    <w:p>
      <w:pPr>
        <w:pStyle w:val="BodyText"/>
      </w:pPr>
      <w:r>
        <w:t xml:space="preserve">A1与A2是两大体系的核心，自身定义体系规则，性质上不同于被分类的其余各类；以下单独列出，作为坐标系参照。</w:t>
      </w:r>
    </w:p>
    <w:p>
      <w:pPr>
        <w:pStyle w:val="BodyText"/>
      </w:pPr>
      <w:r>
        <w:rPr>
          <w:bCs/>
          <w:b/>
        </w:rPr>
        <w:t xml:space="preserve">两大体系核心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类型</w:t>
            </w:r>
          </w:p>
        </w:tc>
        <w:tc>
          <w:tcPr/>
          <w:p>
            <w:pPr>
              <w:pStyle w:val="Compact"/>
              <w:jc w:val="left"/>
            </w:pPr>
            <w:r>
              <w:rPr>
                <w:bCs/>
                <w:b/>
              </w:rPr>
              <w:t xml:space="preserve">名称</w:t>
            </w:r>
          </w:p>
        </w:tc>
        <w:tc>
          <w:tcPr/>
          <w:p>
            <w:pPr>
              <w:pStyle w:val="Compact"/>
              <w:jc w:val="left"/>
            </w:pPr>
            <w:r>
              <w:rPr>
                <w:bCs/>
                <w:b/>
              </w:rPr>
              <w:t xml:space="preserve">定义核心</w:t>
            </w:r>
          </w:p>
        </w:tc>
        <w:tc>
          <w:tcPr/>
          <w:p>
            <w:pPr>
              <w:pStyle w:val="Compact"/>
              <w:jc w:val="left"/>
            </w:pPr>
            <w:r>
              <w:rPr>
                <w:bCs/>
                <w:b/>
              </w:rPr>
              <w:t xml:space="preserve">典型成员</w:t>
            </w:r>
          </w:p>
        </w:tc>
      </w:tr>
      <w:tr>
        <w:tc>
          <w:tcPr/>
          <w:p>
            <w:pPr>
              <w:pStyle w:val="Compact"/>
              <w:jc w:val="left"/>
            </w:pPr>
            <w:r>
              <w:rPr>
                <w:bCs/>
                <w:b/>
              </w:rPr>
              <w:t xml:space="preserve">A1</w:t>
            </w:r>
          </w:p>
        </w:tc>
        <w:tc>
          <w:tcPr/>
          <w:p>
            <w:pPr>
              <w:pStyle w:val="Compact"/>
              <w:jc w:val="left"/>
            </w:pPr>
            <w:r>
              <w:t xml:space="preserve">民主体系核心</w:t>
            </w:r>
          </w:p>
        </w:tc>
        <w:tc>
          <w:tcPr/>
          <w:p>
            <w:pPr>
              <w:pStyle w:val="Compact"/>
              <w:jc w:val="left"/>
            </w:pPr>
            <w:r>
              <w:t xml:space="preserve">综合实力完整，以民主市场制度为基础自身定义体系规则</w:t>
            </w:r>
          </w:p>
        </w:tc>
        <w:tc>
          <w:tcPr/>
          <w:p>
            <w:pPr>
              <w:pStyle w:val="Compact"/>
              <w:jc w:val="left"/>
            </w:pPr>
            <w:r>
              <w:t xml:space="preserve">美国</w:t>
            </w:r>
          </w:p>
        </w:tc>
      </w:tr>
      <w:tr>
        <w:tc>
          <w:tcPr/>
          <w:p>
            <w:pPr>
              <w:pStyle w:val="Compact"/>
              <w:jc w:val="left"/>
            </w:pPr>
            <w:r>
              <w:rPr>
                <w:bCs/>
                <w:b/>
              </w:rPr>
              <w:t xml:space="preserve">A2</w:t>
            </w:r>
          </w:p>
        </w:tc>
        <w:tc>
          <w:tcPr/>
          <w:p>
            <w:pPr>
              <w:pStyle w:val="Compact"/>
              <w:jc w:val="left"/>
            </w:pPr>
            <w:r>
              <w:t xml:space="preserve">威权体系核心</w:t>
            </w:r>
          </w:p>
        </w:tc>
        <w:tc>
          <w:tcPr/>
          <w:p>
            <w:pPr>
              <w:pStyle w:val="Compact"/>
              <w:jc w:val="left"/>
            </w:pPr>
            <w:r>
              <w:t xml:space="preserve">综合实力完整，以威权计划制度为基础自身定义体系规则</w:t>
            </w:r>
          </w:p>
        </w:tc>
        <w:tc>
          <w:tcPr/>
          <w:p>
            <w:pPr>
              <w:pStyle w:val="Compact"/>
              <w:jc w:val="left"/>
            </w:pPr>
            <w:r>
              <w:t xml:space="preserve">中国</w:t>
            </w:r>
          </w:p>
        </w:tc>
      </w:tr>
    </w:tbl>
    <w:p>
      <w:pPr>
        <w:pStyle w:val="BodyText"/>
      </w:pPr>
      <w:r>
        <w:rPr>
          <w:bCs/>
          <w:b/>
        </w:rPr>
        <w:t xml:space="preserve">其余五类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类型</w:t>
            </w:r>
          </w:p>
        </w:tc>
        <w:tc>
          <w:tcPr/>
          <w:p>
            <w:pPr>
              <w:pStyle w:val="Compact"/>
              <w:jc w:val="left"/>
            </w:pPr>
            <w:r>
              <w:rPr>
                <w:bCs/>
                <w:b/>
              </w:rPr>
              <w:t xml:space="preserve">名称</w:t>
            </w:r>
          </w:p>
        </w:tc>
        <w:tc>
          <w:tcPr/>
          <w:p>
            <w:pPr>
              <w:pStyle w:val="Compact"/>
              <w:jc w:val="left"/>
            </w:pPr>
            <w:r>
              <w:rPr>
                <w:bCs/>
                <w:b/>
              </w:rPr>
              <w:t xml:space="preserve">定义核心</w:t>
            </w:r>
          </w:p>
        </w:tc>
        <w:tc>
          <w:tcPr/>
          <w:p>
            <w:pPr>
              <w:pStyle w:val="Compact"/>
              <w:jc w:val="left"/>
            </w:pPr>
            <w:r>
              <w:rPr>
                <w:bCs/>
                <w:b/>
              </w:rPr>
              <w:t xml:space="preserve">典型成员</w:t>
            </w:r>
          </w:p>
        </w:tc>
      </w:tr>
      <w:tr>
        <w:tc>
          <w:tcPr/>
          <w:p>
            <w:pPr>
              <w:pStyle w:val="Compact"/>
              <w:jc w:val="left"/>
            </w:pPr>
            <w:r>
              <w:rPr>
                <w:bCs/>
                <w:b/>
              </w:rPr>
              <w:t xml:space="preserve">B1</w:t>
            </w:r>
          </w:p>
        </w:tc>
        <w:tc>
          <w:tcPr/>
          <w:p>
            <w:pPr>
              <w:pStyle w:val="Compact"/>
              <w:jc w:val="left"/>
            </w:pPr>
            <w:r>
              <w:t xml:space="preserve">民主体系整合者</w:t>
            </w:r>
          </w:p>
        </w:tc>
        <w:tc>
          <w:tcPr/>
          <w:p>
            <w:pPr>
              <w:pStyle w:val="Compact"/>
              <w:jc w:val="left"/>
            </w:pPr>
            <w:r>
              <w:t xml:space="preserve">共享民主价值，深度整合于A1体系；民主制度本身提供内生的政策自主性，自主空间不因体量而异</w:t>
            </w:r>
          </w:p>
        </w:tc>
        <w:tc>
          <w:tcPr/>
          <w:p>
            <w:pPr>
              <w:pStyle w:val="Compact"/>
              <w:jc w:val="left"/>
            </w:pPr>
            <w:r>
              <w:t xml:space="preserve">欧盟、日本、韩国、澳大利亚、新加坡、阿联酋</w:t>
            </w:r>
          </w:p>
        </w:tc>
      </w:tr>
      <w:tr>
        <w:tc>
          <w:tcPr/>
          <w:p>
            <w:pPr>
              <w:pStyle w:val="Compact"/>
              <w:jc w:val="left"/>
            </w:pPr>
            <w:r>
              <w:rPr>
                <w:bCs/>
                <w:b/>
              </w:rPr>
              <w:t xml:space="preserve">B2</w:t>
            </w:r>
          </w:p>
        </w:tc>
        <w:tc>
          <w:tcPr/>
          <w:p>
            <w:pPr>
              <w:pStyle w:val="Compact"/>
              <w:jc w:val="left"/>
            </w:pPr>
            <w:r>
              <w:t xml:space="preserve">威权体系整合者</w:t>
            </w:r>
          </w:p>
        </w:tc>
        <w:tc>
          <w:tcPr/>
          <w:p>
            <w:pPr>
              <w:pStyle w:val="Compact"/>
              <w:jc w:val="left"/>
            </w:pPr>
            <w:r>
              <w:t xml:space="preserve">综合实力有限，深度嵌入A2体系的技术—经济—政治网络，转轨成本极高；部分为主动对齐，部分为结构性落入</w:t>
            </w:r>
          </w:p>
        </w:tc>
        <w:tc>
          <w:tcPr/>
          <w:p>
            <w:pPr>
              <w:pStyle w:val="Compact"/>
              <w:jc w:val="left"/>
            </w:pPr>
            <w:r>
              <w:t xml:space="preserve">巴基斯坦、部分中亚国家、部分非洲国家</w:t>
            </w:r>
          </w:p>
        </w:tc>
      </w:tr>
      <w:tr>
        <w:tc>
          <w:tcPr/>
          <w:p>
            <w:pPr>
              <w:pStyle w:val="Compact"/>
              <w:jc w:val="left"/>
            </w:pPr>
            <w:r>
              <w:rPr>
                <w:bCs/>
                <w:b/>
              </w:rPr>
              <w:t xml:space="preserve">C</w:t>
            </w:r>
          </w:p>
        </w:tc>
        <w:tc>
          <w:tcPr/>
          <w:p>
            <w:pPr>
              <w:pStyle w:val="Compact"/>
              <w:jc w:val="left"/>
            </w:pPr>
            <w:r>
              <w:t xml:space="preserve">对冲自主体</w:t>
            </w:r>
          </w:p>
        </w:tc>
        <w:tc>
          <w:tcPr/>
          <w:p>
            <w:pPr>
              <w:pStyle w:val="Compact"/>
              <w:jc w:val="left"/>
            </w:pPr>
            <w:r>
              <w:t xml:space="preserve">综合实力足以支撑独立外交，经济结构具备一定多元性，不以单一资源出口为主要筹码；在两大体系间维持议价空间，各国维持自主的能力来源不同，受到的冲击类型与吸收能力见第四、五部分</w:t>
            </w:r>
          </w:p>
        </w:tc>
        <w:tc>
          <w:tcPr/>
          <w:p>
            <w:pPr>
              <w:pStyle w:val="Compact"/>
              <w:jc w:val="left"/>
            </w:pPr>
            <w:r>
              <w:t xml:space="preserve">印度、俄罗斯、土耳其、巴西、印尼、墨西哥、越南</w:t>
            </w:r>
          </w:p>
        </w:tc>
      </w:tr>
      <w:tr>
        <w:tc>
          <w:tcPr/>
          <w:p>
            <w:pPr>
              <w:pStyle w:val="Compact"/>
              <w:jc w:val="left"/>
            </w:pPr>
            <w:r>
              <w:rPr>
                <w:bCs/>
                <w:b/>
              </w:rPr>
              <w:t xml:space="preserve">D</w:t>
            </w:r>
          </w:p>
        </w:tc>
        <w:tc>
          <w:tcPr/>
          <w:p>
            <w:pPr>
              <w:pStyle w:val="Compact"/>
              <w:jc w:val="left"/>
            </w:pPr>
            <w:r>
              <w:t xml:space="preserve">资源出口国</w:t>
            </w:r>
          </w:p>
        </w:tc>
        <w:tc>
          <w:tcPr/>
          <w:p>
            <w:pPr>
              <w:pStyle w:val="Compact"/>
              <w:jc w:val="left"/>
            </w:pPr>
            <w:r>
              <w:t xml:space="preserve">经济高度依赖单一或少数资源出口，当前主要筹码来自资源；2072年内部分化显著，部分成员可能向C类移动，部分可能向E类滑落</w:t>
            </w:r>
          </w:p>
        </w:tc>
        <w:tc>
          <w:tcPr/>
          <w:p>
            <w:pPr>
              <w:pStyle w:val="Compact"/>
              <w:jc w:val="left"/>
            </w:pPr>
            <w:r>
              <w:t xml:space="preserve">海湾国家、刚果、赞比亚、部分中亚国家</w:t>
            </w:r>
          </w:p>
        </w:tc>
      </w:tr>
      <w:tr>
        <w:tc>
          <w:tcPr/>
          <w:p>
            <w:pPr>
              <w:pStyle w:val="Compact"/>
              <w:jc w:val="left"/>
            </w:pPr>
            <w:r>
              <w:rPr>
                <w:bCs/>
                <w:b/>
              </w:rPr>
              <w:t xml:space="preserve">E</w:t>
            </w:r>
          </w:p>
        </w:tc>
        <w:tc>
          <w:tcPr/>
          <w:p>
            <w:pPr>
              <w:pStyle w:val="Compact"/>
              <w:jc w:val="left"/>
            </w:pPr>
            <w:r>
              <w:t xml:space="preserve">边缘经济体</w:t>
            </w:r>
          </w:p>
        </w:tc>
        <w:tc>
          <w:tcPr/>
          <w:p>
            <w:pPr>
              <w:pStyle w:val="Compact"/>
              <w:jc w:val="left"/>
            </w:pPr>
            <w:r>
              <w:t xml:space="preserve">综合实力极低，两大体系均无主动整合动力，实质脱嵌于全球体系；内部区分结构性脱嵌（从未真正整合）与冲突性脱嵌（因持续冲突或政治崩溃退出）两种形态，潜在恢复路径不同</w:t>
            </w:r>
          </w:p>
        </w:tc>
        <w:tc>
          <w:tcPr/>
          <w:p>
            <w:pPr>
              <w:pStyle w:val="Compact"/>
              <w:jc w:val="left"/>
            </w:pPr>
            <w:r>
              <w:t xml:space="preserve">撒哈拉以南非洲大部、持续冲突国</w:t>
            </w:r>
          </w:p>
        </w:tc>
      </w:tr>
    </w:tbl>
    <w:p>
      <w:pPr>
        <w:pStyle w:val="BodyText"/>
      </w:pPr>
      <w:r>
        <w:t xml:space="preserve">各类型在AI替代与聚变能源双重冲击下的响应路径见4.3节，2072年稳态定位见4.16.1节。</w:t>
      </w:r>
    </w:p>
    <w:bookmarkEnd w:id="33"/>
    <w:bookmarkEnd w:id="34"/>
    <w:bookmarkStart w:id="35" w:name="根本命题"/>
    <w:p>
      <w:pPr>
        <w:pStyle w:val="Heading2"/>
      </w:pPr>
      <w:r>
        <w:t xml:space="preserve">1.3　根本命题</w:t>
      </w:r>
    </w:p>
    <w:p>
      <w:pPr>
        <w:pStyle w:val="FirstParagraph"/>
      </w:pPr>
      <w:r>
        <w:t xml:space="preserve">自1760年代工业革命以来，技术创新持续降低生产和运输成本，资本得以跨越地理边界寻找更有利的要素组合，各地区逐步被整合进同一套全球生产体系。这个过程以经济利益为内在动力——用奥地利学派的框架来说，无数个体依据自身的主观评价分散决策，通过价格信号相互协调，在没有任何中央设计的情况下自发形成秩序。制度、文化、政治结构随之被整合，不是因为某种普世价值观的扩张，而是经济引力的结果。</w:t>
      </w:r>
    </w:p>
    <w:p>
      <w:pPr>
        <w:pStyle w:val="BodyText"/>
      </w:pPr>
      <w:r>
        <w:t xml:space="preserve">在这个过程中，劳动成为大多数人参与社会分配的主要机制。AI正在改变这个前提：当机器能以更低成本完成大量依赖标准化认知能力的工作——现代经济中占比最大的那部分——这类劳动的市场价值系统性下降。以劳动贡献为依据的分配逻辑，其物质基础正在被侵蚀。这在人类历史上没有先例。</w:t>
      </w:r>
    </w:p>
    <w:p>
      <w:pPr>
        <w:pStyle w:val="BodyText"/>
      </w:pPr>
      <w:r>
        <w:t xml:space="preserve">这个断裂的结果是真实的社区多元化。失去作为生产资源被国家和资本大规模调度的必要性之后，人们在历史上第一次面临可以真正自主支配自己的物质条件。这个条件能否兑现为真实的自治，因制度而异。在民主社会，选票和社会压力使国家干预自治社区的成本上升、收益下降，社区作为主权主体参与共同管理国家。在威权体制下，干预无产出的社区同样成本高于收益——容忍其存在是理性选择，但这里的社区不是主权主体，而是被允许存在的剩余空间。两条路径都指向社区自治的实际存在，但性质根本不同。</w:t>
      </w:r>
    </w:p>
    <w:p>
      <w:pPr>
        <w:pStyle w:val="BodyText"/>
      </w:pPr>
      <w:r>
        <w:t xml:space="preserve">人们回归更自然的自治单位——社区。社区以地理为边界：运输成本决定了哪些地方能融入城市集群，与这一物质供给来源的距离直接塑造了社区的资源丰度和生活形态。现有基础设施完善、要素聚集效应强的地方，在新技术背景下整合成有实际产出的城市集群；远离这些集群的社区，在较低的物质供给水平上维持自身的存在方式。社区之间没有信息距离：制度选择和发展结果充分可见，相互比较和竞争使各社区能更有效率地摸索出适合自身条件的稳态。没有哪种稳态是被预先设计的——这是分散决策长期累积的自发结果，不是目标。</w:t>
      </w:r>
    </w:p>
    <w:p>
      <w:pPr>
        <w:pStyle w:val="BodyText"/>
      </w:pPr>
      <w:r>
        <w:t xml:space="preserve">没有共同终点，只有路径的真正分叉。这不是文明退步，而是约260年同质化压力解除后，各地区历史文化惯性的重新浮现。本文试图用逻辑勾画未来几十年的社会图景。</w:t>
      </w:r>
    </w:p>
    <w:bookmarkEnd w:id="35"/>
    <w:bookmarkStart w:id="43" w:name="核心机制"/>
    <w:p>
      <w:pPr>
        <w:pStyle w:val="Heading2"/>
      </w:pPr>
      <w:r>
        <w:t xml:space="preserve">1.4　核心机制</w:t>
      </w:r>
    </w:p>
    <w:bookmarkStart w:id="36" w:name="劳动价值的结构性弱化"/>
    <w:p>
      <w:pPr>
        <w:pStyle w:val="Heading3"/>
      </w:pPr>
      <w:r>
        <w:t xml:space="preserve">1.4.1　劳动价值的结构性弱化</w:t>
      </w:r>
    </w:p>
    <w:p>
      <w:pPr>
        <w:pStyle w:val="FirstParagraph"/>
      </w:pPr>
      <w:r>
        <w:t xml:space="preserve">历史上每一次重大技术革命都替代了旧岗位，同时创造了新岗位：农业机械化释放的劳动力进入工厂，工厂自动化释放的劳动力进入服务业。这个历史规律建立在一个隐含前提上：新技术只是替代了特定的体力或认知子任务，人类仍然被需要来完成更复杂、更需要判断力的部分。农业机械替代了锄地，但不能替代作物管理的判断；流水线替代了手工，但不能替代工程师和管理者。劳动力总是在更高层次找到新的落脚点。</w:t>
      </w:r>
    </w:p>
    <w:p>
      <w:pPr>
        <w:pStyle w:val="BodyText"/>
      </w:pPr>
      <w:r>
        <w:t xml:space="preserve">AI打破了这个规律的核心前提。标准化认知能力——阅读、写作、分析、编码、客服、法律检索、财务核算——曾经是白领阶层的主要依托，也是技术替代的”最后一道防线”：体力劳动可以被机器替代，但认知劳动被认为是人类独有的优势。当这道防线被突破，缓冲层系统性消失，历史上”替代→升级→再就业”的循环在AI时代失去了运作条件。不是旧岗位消失而新岗位数量不足，而是新岗位的认知门槛已经超过了大多数被替代者的可及范围。</w:t>
      </w:r>
    </w:p>
    <w:p>
      <w:pPr>
        <w:pStyle w:val="BodyText"/>
      </w:pPr>
      <w:r>
        <w:rPr>
          <w:bCs/>
          <w:b/>
        </w:rPr>
        <w:t xml:space="preserve">资本过剩与分配断裂同步浮现。</w:t>
      </w:r>
      <w:r>
        <w:t xml:space="preserve">AI提升生产率，财富高度集中在资本所有者，马太效应以前所未有的速度运作。劳动收入占GDP比重系统性下降，而资本收入高度集中——这两个趋势叠加，使以劳动贡献为依据的分配逻辑在物质层面失去基础。分配问题从政治争议变成结构现实。</w:t>
      </w:r>
    </w:p>
    <w:bookmarkEnd w:id="36"/>
    <w:bookmarkStart w:id="37" w:name="流动性衰退机制经济驱动"/>
    <w:p>
      <w:pPr>
        <w:pStyle w:val="Heading3"/>
      </w:pPr>
      <w:r>
        <w:t xml:space="preserve">1.4.2　流动性衰退机制（经济驱动）</w:t>
      </w:r>
    </w:p>
    <w:p>
      <w:pPr>
        <w:pStyle w:val="FirstParagraph"/>
      </w:pPr>
      <w:r>
        <w:t xml:space="preserve">流动性衰退是多态社会形成的第二条核心机制，与劳动价值弱化相互强化，共同将人口从流动状态推向本地定居。这个机制不需要任何人主动推动，是经济引力改变后各地区历史惯性重新浮现的自然结果。</w:t>
      </w:r>
    </w:p>
    <w:p>
      <w:pPr>
        <w:pStyle w:val="BodyText"/>
      </w:pPr>
      <w:r>
        <w:t xml:space="preserve">AI降低标准化劳动力需求，使跨地域流动的核心收益——找到更好的工作——系统性缩水。与此同时，留守本地的成本在下降：配给覆盖基本生存后，离开不再是逃避贫困的必要手段，而本地网络积累的社会资本（人际关系、声望、互助资格）在流动中将全部归零。流动的净收益从正转负，定居成为越来越多人的理性选择。</w:t>
      </w:r>
    </w:p>
    <w:p>
      <w:pPr>
        <w:pStyle w:val="BodyText"/>
      </w:pPr>
      <w:r>
        <w:t xml:space="preserve">这个过程一旦启动，就进入自我强化的正反馈：人口留下→本地消费密度上升→本地服务业扩张→本地就业机会增加→更多人倾向留下→本地文化与社区活力积累→流动的吸引力进一步下降。这条反馈链解释了为何多态社会的地方分化一旦开始就趋向固化，而非被市场力量自然均衡。它也是1.4.4节价值感机制得以运作的物质前提：人口稳定是本地价值网络能够积累的基础条件。</w:t>
      </w:r>
    </w:p>
    <w:p>
      <w:pPr>
        <w:pStyle w:val="BodyText"/>
      </w:pPr>
      <w:r>
        <w:t xml:space="preserve">这个正反馈有一个关键的不对称性：它在人口增长方向上是渐进的，在人口流失方向上却是非线性的。当社区人口跌破维持人际服务经济所需的临界密度时，反馈方向逆转——照料、维修、情感劳动等服务的供需两侧同步萎缩，本地服务业失去维持条件，剩余人口加速离开，再次压低密度。学校关闭往往是触发点，因为它不只是教育设施的消失，而是家长社群这一核心组织节点的解体，社区凝聚力通常在数年内显著下降。一旦进入这条逆向链条，仅靠内部力量几乎无法逆转，社区趋向失活。这个密度临界点机制是A1体系低产出社区轨迹分化的根本原因：表面上同样依赖BSC托底、同样处于市场退出区，但处于临界点之上的社区与跌破临界点的社区，将走向完全不同的长期结局。</w:t>
      </w:r>
    </w:p>
    <w:bookmarkEnd w:id="37"/>
    <w:bookmarkStart w:id="38" w:name="相互忽视均衡"/>
    <w:p>
      <w:pPr>
        <w:pStyle w:val="Heading3"/>
      </w:pPr>
      <w:r>
        <w:t xml:space="preserve">1.4.3　相互忽视均衡</w:t>
      </w:r>
    </w:p>
    <w:p>
      <w:pPr>
        <w:pStyle w:val="FirstParagraph"/>
      </w:pPr>
      <w:r>
        <w:t xml:space="preserve">1.4.1和1.4.2描述的是两个驱动力——劳动价值弱化和流动性衰退——如何把人口推向本地社区。这里需要回答另一个问题：人口回流本地之后，为什么不产生大规模的政治动员或社会冲突？1.4.3回答的是系统稳定的问题，1.4.4回答的是社区内聚的问题，两者是互补的：前者解释为什么冲突不爆发，后者解释为什么社区能聚拢。</w:t>
      </w:r>
    </w:p>
    <w:p>
      <w:pPr>
        <w:pStyle w:val="BodyText"/>
      </w:pPr>
      <w:r>
        <w:t xml:space="preserve">相互忽视均衡是多态社会最核心的稳定机制，也是工业时代整合逻辑失效后自然涌现的替代秩序。它不是某种政策设计的产物，而是AI时代资本逻辑与社区逻辑各自演化后，在成本收益计算上达成的自发均衡。</w:t>
      </w:r>
    </w:p>
    <w:p>
      <w:pPr>
        <w:pStyle w:val="BodyText"/>
      </w:pPr>
      <w:r>
        <w:rPr>
          <w:bCs/>
          <w:b/>
        </w:rPr>
        <w:t xml:space="preserve">均衡的经济根基。</w:t>
      </w:r>
      <w:r>
        <w:t xml:space="preserve">工业时代的整合逻辑建立在一个前提上：标准化劳动力是核心生产要素，因此资本和国家都有强烈动机将边缘人口纳入生产体系。整合是有回报的。AI替代从根本上瓦解了这个前提。当机器能以更低成本完成大量标准化认知工作，边缘社区的人口从”待整合的潜在劳动力”变成”不需要的剩余存在”。AI资本仍然需要数据、消费者、关键资源和规则空间——但它不需要退出社区的居民作为标准化劳动力投入。整合边缘地区的收益系统性下降，成本（基础设施、行政、冲突管理）并未同步下降。忽视，在纯粹的成本收益账面上，比改造便宜。</w:t>
      </w:r>
    </w:p>
    <w:p>
      <w:pPr>
        <w:pStyle w:val="BodyText"/>
      </w:pPr>
      <w:r>
        <w:t xml:space="preserve">退出社区同样无需对抗。对抗消耗能量，需要组织能力、持续动员和清晰的政治目标。当配给覆盖了基本物质生存，生存焦虑不再是动员的燃料；当AI时代的结构性问题缺乏个体层面的解决方案，集体行动的预期收益极低。忽视更省力，不是因为人们满足，而是因为对抗的机会成本已经超过它可能带来的收益。只要基本物质生存可以维持，相互忽视是双方都能接受的纳什均衡。</w:t>
      </w:r>
    </w:p>
    <w:p>
      <w:pPr>
        <w:pStyle w:val="BodyText"/>
      </w:pPr>
      <w:r>
        <w:rPr>
          <w:bCs/>
          <w:b/>
        </w:rPr>
        <w:t xml:space="preserve">均衡的三个支撑层。</w:t>
      </w:r>
      <w:r>
        <w:t xml:space="preserve">相互忽视均衡在2072年由三个层面共同支撑，层间相互强化。</w:t>
      </w:r>
    </w:p>
    <w:p>
      <w:pPr>
        <w:pStyle w:val="BodyText"/>
      </w:pPr>
      <w:r>
        <w:t xml:space="preserve">第一层是物质层：配给体系覆盖基本生存底线，移除了极端不满的最主要来源。饥饿和无法就医曾是历史上最强的动员燃料；当这两者被系统性覆盖，不满的能量级别从”生存威胁”降至”意义匮乏”——后者是真实的痛苦，但在政治上远难以组织化。</w:t>
      </w:r>
    </w:p>
    <w:p>
      <w:pPr>
        <w:pStyle w:val="BodyText"/>
      </w:pPr>
      <w:r>
        <w:t xml:space="preserve">第二层是结构层：AI时代的问题在本质上缺乏集体行动解。工业时代工人可以组织起来要求更高工资，因为他们拥有集体撤出劳动的筹码。当AI占据了大量岗位，这个筹码消失了。结构性问题没有集体行动可以直接解决的对应目标——向谁施压？要求什么？实现后能改变什么？这些问题在逻辑上没有令人满意的答案。动员能力的系统性弱化不需要任何压制机制，是问题本身性质决定的。</w:t>
      </w:r>
    </w:p>
    <w:p>
      <w:pPr>
        <w:pStyle w:val="BodyText"/>
      </w:pPr>
      <w:r>
        <w:t xml:space="preserve">第三层是经验层：动荡期的集体记忆——无结果的国际、国内暴力冲突、欧洲政治极化的代价、全球劳工运动无法解决失业扩大的现实——使各方都发展出了对正面冲突的系统性厌倦。这个厌倦不是道德立场，而是有创伤经验和挫败记忆支撑的行为倾向：冲突与动员的代价是已知的，收益是不确定的，回避是有学习基础的理性选择。</w:t>
      </w:r>
    </w:p>
    <w:p>
      <w:pPr>
        <w:pStyle w:val="BodyText"/>
      </w:pPr>
      <w:r>
        <w:rPr>
          <w:bCs/>
          <w:b/>
        </w:rPr>
        <w:t xml:space="preserve">均衡的内在张力。</w:t>
      </w:r>
      <w:r>
        <w:t xml:space="preserve">相互忽视均衡是稳定的，但稳定不等于静止。这个均衡内部存在若干持续运行的张力，在2072年尚未威胁均衡本身，但构成其未来演化的主要变量。</w:t>
      </w:r>
    </w:p>
    <w:p>
      <w:pPr>
        <w:pStyle w:val="BodyText"/>
      </w:pPr>
      <w:r>
        <w:t xml:space="preserve">张力之一：忽视的对称性是不完整的。AI资本忽视退出社区，是因为不需要他们；退出社区忽视AI体系，是因为对抗成本高于收益。两种忽视的性质根本不同——前者是主动选择不整合，后者是被迫接受不被整合。这个不对称性在均衡表面之下持续积累，产生的是个体层面的深层不满，而非系统性对抗，但两者之间的转化条件始终存在。</w:t>
      </w:r>
    </w:p>
    <w:p>
      <w:pPr>
        <w:pStyle w:val="BodyText"/>
      </w:pPr>
      <w:r>
        <w:t xml:space="preserve">张力之二：均衡的维持依赖配给体系的持续运转。一旦配给覆盖出现系统性断裂——无论是财政危机、技术失效还是政治崩溃——物质层支撑瓦解，均衡的稳固性会快速退化。这是多态社会最深的结构性脆弱点，隐藏在日常稳定的表面之下。</w:t>
      </w:r>
    </w:p>
    <w:p>
      <w:pPr>
        <w:pStyle w:val="BodyText"/>
      </w:pPr>
      <w:r>
        <w:t xml:space="preserve">张力之三：均衡主要发生在国家内部的不同社区之间。在国家层面，地缘竞争、技术标准争夺、资源控制仍然持续存在，不适用相互忽视的逻辑。但这种竞争的性质在2072年已不同于工业时代：直接军事冲突的代价使大国之间以战争为政策工具基本成为过去，竞争主要以经济、技术标准、信息、代理人等形式进行，烈度因领域而异。不能适应新现实的国家会在地缘重组中被边缘化，贸易份额持续萎缩的国家对两大体系的战略重要性降低，逐步进入类似社区内部”被遗忘”的状态——这个压力对国家的作用与配给对个体的作用截然不同，但机制存在结构性相似。</w:t>
      </w:r>
    </w:p>
    <w:p>
      <w:pPr>
        <w:pStyle w:val="BodyText"/>
      </w:pPr>
      <w:r>
        <w:rPr>
          <w:iCs/>
          <w:i/>
        </w:rPr>
        <w:t xml:space="preserve">相互忽视均衡是一个低冲突、低整合、低期待的稳态。它不是任何人理想中的世界，它只是在给定的成本结构下，各方理性行为者自然收敛到的位置。理解这个均衡，是理解2072年多态社会为何稳定的核心。</w:t>
      </w:r>
    </w:p>
    <w:p>
      <w:pPr>
        <w:pStyle w:val="BodyText"/>
      </w:pPr>
      <w:r>
        <w:rPr>
          <w:bCs/>
          <w:b/>
        </w:rPr>
        <w:t xml:space="preserve">地区差异：东亚两种接受机制的叠加。</w:t>
      </w:r>
      <w:r>
        <w:t xml:space="preserve">民主东亚（日韩台）在相互忽视均衡中呈现出一种特殊的双层结构：认知和解（理解了为什么，接受不可改变性）与文化规范性接受（不应该抱怨，压制表达本身）同时运作。多数情境下两者相互强化，都指向沉默和不行动，均衡的稳固性因此高于单一机制作用的社会。但在个体层面存在积累效应：认知和解允许痛苦存在，规范性接受要求压制痛苦的表达；痛苦被理性承认却又被文化性压制，找不到出口。不是两种机制对立，而是它们的合力使个体承担了本可以被表达和分散的心理成本——痛苦被理性承认却又被文化性压制，找不到出口。这个合力在加固均衡的同时，也是均衡内部最深的隐性代价。</w:t>
      </w:r>
    </w:p>
    <w:bookmarkEnd w:id="38"/>
    <w:bookmarkStart w:id="39" w:name="价值感机制被需要而非被市场定价"/>
    <w:p>
      <w:pPr>
        <w:pStyle w:val="Heading3"/>
      </w:pPr>
      <w:r>
        <w:t xml:space="preserve">1.4.4　价值感机制：被需要，而非被市场定价</w:t>
      </w:r>
    </w:p>
    <w:p>
      <w:pPr>
        <w:pStyle w:val="FirstParagraph"/>
      </w:pPr>
      <w:r>
        <w:t xml:space="preserve">价值感的核心从来不只是物质回报，而是被需要的感觉。劳动提供尊严，不只是因为带来收入，而是因为创造了被需要的位置——一个在具体人群中有名字、有功能、有历史的位置。当全球市场不再需要大多数人的劳动，这个位置的来源发生了根本性转移：从市场定价的劳动贡献，转向本地社区内部的人际网络。对周围认识你的人的价值是真实的、具体的、不依赖市场定价的。</w:t>
      </w:r>
    </w:p>
    <w:p>
      <w:pPr>
        <w:pStyle w:val="BodyText"/>
      </w:pPr>
      <w:r>
        <w:rPr>
          <w:bCs/>
          <w:b/>
        </w:rPr>
        <w:t xml:space="preserve">价值感是多态社区内聚力的核心机制。</w:t>
      </w:r>
      <w:r>
        <w:t xml:space="preserve">本地社区在AI时代重新成为基础组织单位，不只是因为流动回报下降，更是因为它能提供市场无法替代的东西：一套不需要外部认证的价值确认系统。你帮邻居修了设备，你组织了社区节庆，你照看了独居老人——这些行为在市场上价值有限，在本地社区里构成真实的社会资本，积累为声望、信任和互助资格。这套系统越运转，社区成员之间的相互依赖越深，离开的成本越高，内聚力越强。它是多态稳定在个体心理层面的锚点：不是意识形态的认同，而是日常互动中积累的不可移植的位置感。</w:t>
      </w:r>
    </w:p>
    <w:p>
      <w:pPr>
        <w:pStyle w:val="BodyText"/>
      </w:pPr>
      <w:r>
        <w:rPr>
          <w:bCs/>
          <w:b/>
        </w:rPr>
        <w:t xml:space="preserve">这个机制有内在的脆弱性。</w:t>
      </w:r>
      <w:r>
        <w:t xml:space="preserve">本地价值网络的密度依赖人口稳定——当年轻人持续外流，社区人口萎缩到临界点以下，互助网络因节点不足而失活，内聚力迅速瓦解。这是遗忘地带与慢生活社区之间最关键的结构性差异：前者的人口持续流失使价值网络无法维持，社区凝聚力趋向崩解；后者的人口在流动性衰退的大背景下形成相对稳定，价值网络得以存续并自我强化。</w:t>
      </w:r>
    </w:p>
    <w:p>
      <w:pPr>
        <w:pStyle w:val="BodyText"/>
      </w:pPr>
      <w:r>
        <w:t xml:space="preserve">当物质由机器大量生产，人与人之间真实的连接——被认识你的人需要、被关心你的人看见——反而成为最稀缺也最真实的价值。这可能是整个转型中最深的反转：一个技术加速的时代，重新发现了人类最古老的生存需求。市场经济用了两百年把人从共同体中解放出来，AI时代用一代人的时间把人重新推回共同体，但这次不是因为没有选择，而是因为共同体提供了市场再也无法提供的东西。</w:t>
      </w:r>
    </w:p>
    <w:bookmarkEnd w:id="39"/>
    <w:bookmarkStart w:id="40" w:name="社区的负面可能性"/>
    <w:p>
      <w:pPr>
        <w:pStyle w:val="Heading3"/>
      </w:pPr>
      <w:r>
        <w:t xml:space="preserve">1.4.4.1　社区的负面可能性</w:t>
      </w:r>
    </w:p>
    <w:p>
      <w:pPr>
        <w:pStyle w:val="FirstParagraph"/>
      </w:pPr>
      <w:r>
        <w:t xml:space="preserve">社区作为意义感来源和稳定机制的功能是真实的，但将其理想化会掩盖其内在的结构性代价。从分析框架的角度，社区内聚力高不自动等于社区质量高——两个条件可以分离。</w:t>
      </w:r>
    </w:p>
    <w:p>
      <w:pPr>
        <w:pStyle w:val="BodyText"/>
      </w:pPr>
      <w:r>
        <w:rPr>
          <w:bCs/>
          <w:b/>
        </w:rPr>
        <w:t xml:space="preserve">熟人压力与规范强制。</w:t>
      </w:r>
      <w:r>
        <w:t xml:space="preserve"> </w:t>
      </w:r>
      <w:r>
        <w:t xml:space="preserve">本地声望体系在提供被需要感的同时，也是强制机制。你的行为在社区里持续可见，偏离规范的代价不是陌生人的评判，而是与你有持续关系的人的评判——后者成本更高、更难逃避。社区内聚力高的地方，个体行为的规范压力往往也最强，创造性偏离和个体实验的空间最小。城市集群里被视为正常的生活方式选择，在高内聚社区可能面临持续的社会摩擦。</w:t>
      </w:r>
    </w:p>
    <w:p>
      <w:pPr>
        <w:pStyle w:val="BodyText"/>
      </w:pPr>
      <w:r>
        <w:rPr>
          <w:bCs/>
          <w:b/>
        </w:rPr>
        <w:t xml:space="preserve">排斥异类。</w:t>
      </w:r>
      <w:r>
        <w:t xml:space="preserve"> </w:t>
      </w:r>
      <w:r>
        <w:t xml:space="preserve">社区内聚依赖某种程度的”我们”感，这个”我们”在定义上需要一个”非我们”的边界。高内聚社区往往对外来者（新移民、不符合主流文化框架的个体）有系统性的纳入困难——不是明文排斥，而是非正式互助网络和声望系统不自然地向外来者开放。被遗忘地带的”旅游者到来然后改变社区气质”现象，以及慢速移民与原住民之间的文化张力，都是这个机制的真实呈现。</w:t>
      </w:r>
    </w:p>
    <w:p>
      <w:pPr>
        <w:pStyle w:val="BodyText"/>
      </w:pPr>
      <w:r>
        <w:rPr>
          <w:bCs/>
          <w:b/>
        </w:rPr>
        <w:t xml:space="preserve">地方等级固化。</w:t>
      </w:r>
      <w:r>
        <w:t xml:space="preserve"> </w:t>
      </w:r>
      <w:r>
        <w:t xml:space="preserve">本地声望和社会资本的积累以”留下来”为前提，但这个积累一旦形成，流动意愿就变成了已有积累的抵押物。在高内聚社区，率先定居、率先建立声望的家庭或个体，往往通过控制本地社交机会、舆论方向和非正式经济网络，形成不透明的地方等级。这个等级不依赖任何正式机构，因此也没有正式的申诉渠道——受损者的选择只有接受或离开。</w:t>
      </w:r>
    </w:p>
    <w:p>
      <w:pPr>
        <w:pStyle w:val="BodyText"/>
      </w:pPr>
      <w:r>
        <w:rPr>
          <w:bCs/>
          <w:b/>
        </w:rPr>
        <w:t xml:space="preserve">情感劳动的绑架与性别不对称。</w:t>
      </w:r>
      <w:r>
        <w:t xml:space="preserve"> </w:t>
      </w:r>
      <w:r>
        <w:t xml:space="preserve">价值感机制的另一面是：在社区内提供情感劳动（倾听、照料、调解、维系关系）的人，往往在不知不觉间背负了整个社区情感维系的成本。这种劳动不在正式经济中计价，在社区内聚力高的地方也往往不被显性承认，却是社区功能运转的真实基础。历史性的性别分布使这种劳动在实践中不均匀地由女性承担，即使在劳动门槛已不再由体力决定的2072年，情感劳动的分担方式在社区层面的演变仍然慢于结构条件的变化。</w:t>
      </w:r>
    </w:p>
    <w:p>
      <w:pPr>
        <w:pStyle w:val="BodyText"/>
      </w:pPr>
      <w:r>
        <w:rPr>
          <w:iCs/>
          <w:i/>
        </w:rPr>
        <w:t xml:space="preserve">这些负面可能性不是对社区价值的否定，而是构成社区成为故事冲突天然来源的结构性条件——当人们选择社区时，他们得到了被需要感，也接受了规范压力；得到了归属感，也可能接受了不可见的等级结构。在慢生活社区中，这些代价往往比在高速体系中更不透明、更难以名状地存在。</w:t>
      </w:r>
    </w:p>
    <w:bookmarkEnd w:id="40"/>
    <w:bookmarkStart w:id="41" w:name="劳动时间的演化与闲暇的双重可能性"/>
    <w:p>
      <w:pPr>
        <w:pStyle w:val="Heading3"/>
      </w:pPr>
      <w:r>
        <w:t xml:space="preserve">1.4.5　劳动时间的演化与闲暇的双重可能性</w:t>
      </w:r>
    </w:p>
    <w:p>
      <w:pPr>
        <w:pStyle w:val="FirstParagraph"/>
      </w:pPr>
      <w:r>
        <w:rPr>
          <w:bCs/>
          <w:b/>
        </w:rPr>
        <w:t xml:space="preserve">劳动时间压缩的历史进程。</w:t>
      </w:r>
      <w:r>
        <w:t xml:space="preserve">工业化前的人类社会，劳动时间与生存直接挂钩，约70—80小时/周，没有制度化的休闲边界。工业革命将劳动时间标准化，也使缩短工时成为可以组织动员的政治目标。二十世纪的工人运动将40小时工作周写入法律，这是迄今为止最大规模的时间再分配。21世纪中期，冰岛等北欧国家率先完成约35—36小时/周、薪资不减的缩短工时大规模试点（2015—2019年），将”更少工作也能维持产出”从理论变为实证，四天工作制在2020年代初成为全球政策议题。AI时代的压缩不再是政治谈判的结果，而是技术替代的必然输出：当AI承接了大量标准化认知工作，剩余的人类劳动总量系统性收缩，工时压缩从”争取”变成”分配”——问题不再是能否缩短，而是剩余的工作如何在人群中分配。</w:t>
      </w:r>
    </w:p>
    <w:p>
      <w:pPr>
        <w:pStyle w:val="BodyText"/>
      </w:pPr>
      <w:r>
        <w:rPr>
          <w:bCs/>
          <w:b/>
        </w:rPr>
        <w:t xml:space="preserve">两条路径与它们的社会后果。</w:t>
      </w:r>
      <w:r>
        <w:t xml:space="preserve">AI替代劳动通过两条路径影响工时结构，性质截然不同。第一条是岗位消失路径：AI直接推人出劳动市场，全人口均值工时下降，但在职者工时不变甚至上升——少数人承担更多工作，大量人完全退出。这制造的是工时分配的极化，不是普遍缩短，是2030—2050年代的主要现象。第二条是立法压缩路径：把剩余工作更均匀地分配给更多人，是政治回应而非自然结果。24小时标准工时在2058—2065年间陆续确立，是多轮政治博弈的累积——BSC覆盖基本生存后，劳动者真正有了拒绝超时的底气，均衡工时在谈判中自然下移。在2072年，标准工时本身不再是有意义的劳动约束，而成为与基本收入配套的社会计量单位。</w:t>
      </w:r>
    </w:p>
    <w:p>
      <w:pPr>
        <w:pStyle w:val="BodyText"/>
      </w:pPr>
      <w:r>
        <w:rPr>
          <w:bCs/>
          <w:b/>
        </w:rPr>
        <w:t xml:space="preserve">时间分配的社会意义。</w:t>
      </w:r>
      <w:r>
        <w:t xml:space="preserve">工时压缩改变的不只是劳动时间，而是整个社会的时间结构。工业时代的时间表是均质的：工作日与休息日、工作时间与私人时间，以固定节律切割所有人的生活。这个节律消失后，时间的分配变得高度个体化——有人将空余时间投入社区，有人投入创作，有人投入学习，有人陷入无所事事。这种分化不沿阶级线切割，而是沿意义框架有无切割：有内在结构的人在时间丰裕中找到延伸，没有内在结构的人在时间丰裕中感到失重。多态社会的内部分化因此有了一个新的维度：不只是收入差距，而是时间使用方式的根本分歧。</w:t>
      </w:r>
    </w:p>
    <w:p>
      <w:pPr>
        <w:pStyle w:val="BodyText"/>
      </w:pPr>
      <w:r>
        <w:rPr>
          <w:bCs/>
          <w:b/>
        </w:rPr>
        <w:t xml:space="preserve">闲暇的两种形态。</w:t>
      </w:r>
      <w:r>
        <w:t xml:space="preserve">其一是有意义框架支撑的空余时间：当一个人知道自己在做什么、为什么做，时间的流逝产生积累感，创造文化、哲学和社会创新的可能性就在这里。人类文明的大量创造——古希腊哲学、文艺复兴、启蒙运动——都依赖某种形式的有闲暇的人群。其二是没有意义框架的空余时间：时间变得无限但无形，没有紧迫性的生活需要一种更难获得的内在动力，缺乏这种动力的人面临更高的心理脆弱风险，统计上在特定群体中有可观察的后果，但结果因个体差异和社区条件显著不同。</w:t>
      </w:r>
    </w:p>
    <w:p>
      <w:pPr>
        <w:pStyle w:val="BodyText"/>
      </w:pPr>
      <w:r>
        <w:rPr>
          <w:bCs/>
          <w:b/>
        </w:rPr>
        <w:t xml:space="preserve">社区是意义框架最可靠的来源之一。</w:t>
      </w:r>
      <w:r>
        <w:t xml:space="preserve">市场无法提供意义框架，国家提供的框架在个体层面说服力有限，而本地社区通过日常互动、共同活动、相互依赖自然生成意义结构——不需要意识形态，只需要足够的人口密度和足够长的时间积累。这将1.4.4节讨论的价值感机制与本节的闲暇问题连接起来：社区内聚力越强，成员越能将闲暇时间纳入有意义的活动框架，闲暇转化为创造而非虚无的概率越高。多态社会内部，社区活跃度与个体心理健康之间的正相关，是这个机制在统计层面的呈现。这个推论有其悲观面：在人口持续外流的地区，社区内聚力趋向崩解（1.4.4节），意义框架随之瓦解，闲暇最容易转化为虚无。多态社会的内部差异因此不只是物质水平的差异，也是时间质量的差异——同样的24小时，在活跃社区与失活社区中的体验是根本不同的两种存在状态。</w:t>
      </w:r>
    </w:p>
    <w:p>
      <w:pPr>
        <w:pStyle w:val="BodyText"/>
      </w:pPr>
      <w:r>
        <w:rPr>
          <w:iCs/>
          <w:i/>
        </w:rPr>
        <w:t xml:space="preserve">哪种方向占主导，将是整个文明转型中最关键的变量——而这个变量无法被任何制度预先设计，只能在个人与社区的层面上被选择或错过。</w:t>
      </w:r>
    </w:p>
    <w:bookmarkEnd w:id="41"/>
    <w:bookmarkStart w:id="42" w:name="大众心态转变相互忽视均衡的主观条件"/>
    <w:p>
      <w:pPr>
        <w:pStyle w:val="Heading3"/>
      </w:pPr>
      <w:r>
        <w:t xml:space="preserve">1.4.6　大众心态转变：相互忽视均衡的主观条件</w:t>
      </w:r>
    </w:p>
    <w:p>
      <w:pPr>
        <w:pStyle w:val="FirstParagraph"/>
      </w:pPr>
      <w:r>
        <w:t xml:space="preserve">1.4.1至1.4.5节描述的均衡支撑层——劳动价值弱化、流动性衰退、相互忽视格局、价值感重组、闲暇时间双重可能——主要是结构性和经济性的。但均衡要稳定成立，还需要一个主观侧的条件：多数人口在心理和认知上不主动寻求打破现状。这个条件不是天然存在的，它通过三条相互独立、效果相互强化的精神塑造路径逐步形成。</w:t>
      </w:r>
    </w:p>
    <w:p>
      <w:pPr>
        <w:pStyle w:val="BodyText"/>
      </w:pPr>
      <w:r>
        <w:rPr>
          <w:bCs/>
          <w:b/>
        </w:rPr>
        <w:t xml:space="preserve">路径一：K12教育的规范性养成。</w:t>
      </w:r>
      <w:r>
        <w:t xml:space="preserve"> </w:t>
      </w:r>
      <w:r>
        <w:t xml:space="preserve">义务教育阶段是个体认知框架和社会规范内化的关键窗口。2072年的K12教育在A1与A2体系中形态不同，但都在功能上承担了将个体嵌入现有秩序的早期塑造作用：A1通过公民教育、批判性思维训练和社区归属感培养，形成接受多元、低对抗的规范取向；A2通过集体主义规范、爱国主义叙事和服从性训练，形成对国家秩序的内化认同。两种路径的规范内容不同，但结果有共同的结构效应：在动员倾向形成之前，已经预设了”正常生活”的底色。K12教育的经济功能与社会塑造功能的详细展开见4.16.1节。</w:t>
      </w:r>
    </w:p>
    <w:p>
      <w:pPr>
        <w:pStyle w:val="BodyText"/>
      </w:pPr>
      <w:r>
        <w:rPr>
          <w:bCs/>
          <w:b/>
        </w:rPr>
        <w:t xml:space="preserve">路径二：免费高等教育的认知化解机制。</w:t>
      </w:r>
      <w:r>
        <w:t xml:space="preserve"> </w:t>
      </w:r>
      <w:r>
        <w:t xml:space="preserve">聚变国家在2044—2060年代陆续推进免费高等教育，其直接经济动机是为失业青年提供结构化时间出口，政治动机是以”人力资本投资”的叙事包装隐性再分配（详见4.16.2节）。其精神塑造效果是一个副产品，但效果真实：系统性的社科训练使受教育人口能够在结构层面理解自身处境——从”不知道为什么痛苦”变成”知道为什么、也知道无法改变”。理解本身降低了主动动员的意愿，不是因为压制，而是因为识别了集体行动的机会成本结构。这条路径有严格的时间边界：2072年受过完整高等教育的人口（2044年后入学、目前约25—45岁）是社会中坚层但非人口主力，认知化解的覆盖面仍然有限，代际替换要到2090—2100年才能真正完成。免费高教对均衡的作用因此是正在叠加的加固因素，而非主要承重层。高等教育的四个社会功能（包括吸收躁动期人口、提高社会韧性等）详见5.8.2节。</w:t>
      </w:r>
    </w:p>
    <w:p>
      <w:pPr>
        <w:pStyle w:val="BodyText"/>
      </w:pPr>
      <w:r>
        <w:rPr>
          <w:bCs/>
          <w:b/>
        </w:rPr>
        <w:t xml:space="preserve">路径三：舆论极化疲劳与内容需求的自发漂移。</w:t>
      </w:r>
      <w:r>
        <w:t xml:space="preserve"> </w:t>
      </w:r>
      <w:r>
        <w:t xml:space="preserve">动荡期（2027—2044）的信息环境以高强度情绪内容为主导，极化叙事是流量竞争的产物，也是政治动员的燃料。但高情绪强度内容的持续消费有边际效用递减的内在规律：刺激阈值随暴露时间上升，相同烈度的内容需要逐步升级才能维持情绪响应。2040年代中期起，部分人口经历了结构性的注意力疲劳，主动退出高对抗信息流，内容需求向低刺激、平和、非立场性方向漂移。这个漂移是自发的消费行为调整，没有被规划，但其结果——文化市场情绪强度中枢下移、极化内容消费者趋向边缘化——与相互忽视均衡的形成条件高度吻合。该机制的市场经济学详见4.14.6节。</w:t>
      </w:r>
    </w:p>
    <w:p>
      <w:pPr>
        <w:pStyle w:val="BodyText"/>
      </w:pPr>
      <w:r>
        <w:rPr>
          <w:bCs/>
          <w:b/>
        </w:rPr>
        <w:t xml:space="preserve">三条路径的合力与覆盖边界。</w:t>
      </w:r>
      <w:r>
        <w:t xml:space="preserve"> </w:t>
      </w:r>
      <w:r>
        <w:t xml:space="preserve">三条路径的主体人群有所交叉，但各自也有独立的覆盖人口。K12养成作用于所有经历过义务教育的世代，是覆盖面最广的底层路径；认知化解作用于受过高等教育的中坚层，是深度最高但覆盖面最窄的路径；极化疲劳作用于动荡期的信息重度消费者，是时间最短但扩散最快的路径。三者在人口分布上部分重叠，效果相互叠加。未被三条路径覆盖的人口——主要是被遗忘地带和低速体系外缘的未受高等教育人口——不满真实存在，但动员能力结构性薄弱（见1.4.2节流动性衰退机制）；受过高教而选择不动员的人口，则因理解了集体行动的低收益而将不满内化。两类不满以不同方式被吸收，都不转化为有效的系统性挑战，这是均衡在主观侧成立的完整条件。</w:t>
      </w:r>
    </w:p>
    <w:bookmarkEnd w:id="42"/>
    <w:bookmarkEnd w:id="43"/>
    <w:bookmarkStart w:id="47" w:name="多态社会的三个内因"/>
    <w:p>
      <w:pPr>
        <w:pStyle w:val="Heading2"/>
      </w:pPr>
      <w:r>
        <w:t xml:space="preserve">1.5　多态社会的三个内因</w:t>
      </w:r>
    </w:p>
    <w:bookmarkStart w:id="44" w:name="内因一滞后消化进度不一结构性"/>
    <w:p>
      <w:pPr>
        <w:pStyle w:val="Heading3"/>
      </w:pPr>
      <w:r>
        <w:t xml:space="preserve">1.5.1　内因一：滞后消化进度不一（结构性）</w:t>
      </w:r>
    </w:p>
    <w:p>
      <w:pPr>
        <w:pStyle w:val="FirstParagraph"/>
      </w:pPr>
      <w:r>
        <w:t xml:space="preserve">同一项技术，进入不同的社会，不会产生同等深度的即时变化。技术到来是一个事件，但技术被真正消化——进入经济结构、改变制度框架、重塑价值观念——是一个过程，而且这个过程在不同社会里耗时差异悬殊。</w:t>
      </w:r>
    </w:p>
    <w:p>
      <w:pPr>
        <w:pStyle w:val="BodyText"/>
      </w:pPr>
      <w:r>
        <w:t xml:space="preserve">这种差异不是偶然的，它由两个因素共同决定：一是技术抵达的时间先后（先到的先开始消化）；二是每个社会消化技术的制度速度（有的社会能快速调整，有的需要漫长的政治协商和文化适应）。这两个因素叠加，产生了一个重要结果：到2072年，各条路径实际上并不是在同一个”历史时刻”运行的，它们活在不同的功能性历史时间里。</w:t>
      </w:r>
    </w:p>
    <w:p>
      <w:pPr>
        <w:pStyle w:val="BodyText"/>
      </w:pPr>
      <w:r>
        <w:t xml:space="preserve">以AI对就业的冲击为例。这一冲击在2027年前后开始在核心经济体显现，但中国的制度因为不需要政治协商而能快速作出响应，制度层面约在2033—2038年完成调整；美国经历了更长的政治博弈，制度响应约在2036—2040年完成；欧洲的多国协商机制进一步延长了过程，制度层面约在2038—2045年才调整到位；而全球南方的许多国家，制度响应甚至到2050年代仍在进行。这不是发展程度高低的简单差异——中国的提前消化并非来自技术上的遥遥领先，而是威权体制在制度响应上不需要协商的结构性优势；欧洲的滞后也不是因为落后，而是民主协商本就需要时间，而协商出来的结果往往有更高的制度稳定性。</w:t>
      </w:r>
    </w:p>
    <w:p>
      <w:pPr>
        <w:pStyle w:val="BodyText"/>
      </w:pPr>
      <w:r>
        <w:t xml:space="preserve">文化层面的消化更慢、更深，也更难被加速。当一个社会意识到劳动不再是获取意义和尊严的主要通道，这个认知需要多年、甚至一代人的时间才能从个体感受转化为社会共识，进而形成新的价值框架。中国这一文化层的吸收约在2054年前后达到基本稳定，美国约在2059—2062年，欧洲约在2062—2064年。这意味着到2072年，中国社会已经积累了将近二十年的”意义危机应对经验”，形成了某种与之共存的稳态；而美国和欧洲的部分人口，在2072年可能才刚刚进入这场危机的中段。</w:t>
      </w:r>
    </w:p>
    <w:p>
      <w:pPr>
        <w:pStyle w:val="BodyText"/>
      </w:pPr>
      <w:r>
        <w:t xml:space="preserve">因此，2072年并不是一个所有地方都在处理同一问题的年份。A2路径面对的是”意义危机沉淀近二十年之后的社会管控稳态”，A1路径面对的是”多态格局基本成型但文化吸收尚未完全完成的动态调适期”，全球南方许多国家面对的是”技术经济层面刚刚开始渗透、制度和文化层面几乎还未触动的早期冲击阶段”，被遗忘地带则根本还未进入这场技术变迁的触达范围。同一个物理年份2072，各条路径实际运行在不同的”历史深度”上——这种滞后不是落后，而是历史时差。</w:t>
      </w:r>
    </w:p>
    <w:p>
      <w:pPr>
        <w:pStyle w:val="BodyText"/>
      </w:pPr>
      <w:r>
        <w:t xml:space="preserve">这是多态社会最深层的叙事张力来源，也是它最重要的内因之一：不是谁对谁错的选择差异，而是同一冲击以不同速度渗透不同土壤、产生不同深度的历史积累，最终使同一个物理时间里共存着多个功能性历史时间。</w:t>
      </w:r>
    </w:p>
    <w:bookmarkEnd w:id="44"/>
    <w:bookmarkStart w:id="45" w:name="内因二流动动力的系统性衰退经济性"/>
    <w:p>
      <w:pPr>
        <w:pStyle w:val="Heading3"/>
      </w:pPr>
      <w:r>
        <w:t xml:space="preserve">1.5.2　内因二：流动动力的系统性衰退（经济性）</w:t>
      </w:r>
    </w:p>
    <w:p>
      <w:pPr>
        <w:pStyle w:val="FirstParagraph"/>
      </w:pPr>
      <w:r>
        <w:t xml:space="preserve">工业时代，人口的跨地域流动有清晰的经济逻辑：离开本地可以获得更好的工作，更高的收入，进入更大的机会网络。这个逻辑把几代人从农村带向城市、从内陆带向沿海、从发展中国家带向发达国家，是工业化时代最强大的社会动力之一。多态社会的形成，在很大程度上依赖这个动力的系统性减弱——而减弱不需要任何政策干预，它是经济条件改变后自然发生的结果。</w:t>
      </w:r>
    </w:p>
    <w:p>
      <w:pPr>
        <w:pStyle w:val="BodyText"/>
      </w:pPr>
      <w:r>
        <w:t xml:space="preserve">减弱的核心机制在于流动的收益端和成本端同时发生了变化，且两个方向都指向”留下来”。</w:t>
      </w:r>
    </w:p>
    <w:p>
      <w:pPr>
        <w:pStyle w:val="BodyText"/>
      </w:pPr>
      <w:r>
        <w:t xml:space="preserve">收益端：AI使标准化劳动力需求系统性下降。流动的核心回报——在目的地找到更好的工作——随着大量可以迁移的岗位被AI替代而缩水。过去一个愿意离乡的工人可以期待进入工厂流水线、客服中心、数据录入、基础行政岗位；2072年这些岗位的大多数已经不存在。剩余的高价值岗位需要的是无法通过流动简单获得的专业能力，对大多数流动者而言同样不可及。流动的预期收益从正值收缩到接近零，甚至转为负值。</w:t>
      </w:r>
    </w:p>
    <w:p>
      <w:pPr>
        <w:pStyle w:val="BodyText"/>
      </w:pPr>
      <w:r>
        <w:t xml:space="preserve">成本端：配给覆盖基本生存之后，</w:t>
      </w:r>
      <w:r>
        <w:t xml:space="preserve">“</w:t>
      </w:r>
      <w:r>
        <w:t xml:space="preserve">不得不离开</w:t>
      </w:r>
      <w:r>
        <w:t xml:space="preserve">”</w:t>
      </w:r>
      <w:r>
        <w:t xml:space="preserve">的生存压力消失了。工业时代的大规模人口流动有相当部分不是主动追求机会，而是被迫逃离本地的贫困和匮乏。当配给将基本物质生存锚定在任何地点——无论是城市集群还是偏远小镇——离开就从”必要的逃脱”变成了纯粹的选择题。与此同时，本地积累的社会资本（人际关系、声望、互助网络、被认识你的人需要的位置）在流动中将全部归零，而这些东西在劳动不再是价值唯一来源的时代，恰恰变得越来越珍贵。</w:t>
      </w:r>
    </w:p>
    <w:p>
      <w:pPr>
        <w:pStyle w:val="BodyText"/>
      </w:pPr>
      <w:r>
        <w:t xml:space="preserve">这个双向挤压的后果，是参照系的自然收缩。工业时代有能力、有意愿的人，将自己的生活参照系设定在全球精英水平——硅谷的工程师、伦敦的金融从业者、上海的中产阶级是努力方向的坐标。当流动不再带来这类跃迁的现实可能，参照系向本地社区收缩不是认知上的失败，而是理性的自我定位调整。邻居对你的评价、社区里的声望、本地关系网络里的位置，重新成为可以追求且可以实现的目标。</w:t>
      </w:r>
    </w:p>
    <w:p>
      <w:pPr>
        <w:pStyle w:val="BodyText"/>
      </w:pPr>
      <w:r>
        <w:t xml:space="preserve">这个收缩一旦启动，就进入自我强化的正反馈：更多人留下→本地消费密度上升→本地服务业扩张→更多本地就业机会→更多人倾向留下→本地文化与社区活力积累→流动的吸引力进一步降低。这条反馈链解释了多态社会的地方分化为何一旦开始就趋向固化：不是被制度设计锁住了，而是经济逻辑本身在发力。</w:t>
      </w:r>
    </w:p>
    <w:p>
      <w:pPr>
        <w:pStyle w:val="BodyText"/>
      </w:pPr>
      <w:r>
        <w:t xml:space="preserve">这个机制之所以是多态社会的内因，而非偶然现象，在于它不依赖任何人的主动推动，不依赖信息隔离，不依赖地方保护主义——它依赖的只是更朴素的成本收益计算，在AI时代的经济条件下，留下来变成了越来越理性的选择。各地区历史上因为流动压力而被压制的文化惯性，在这个选择被做出之后，自然重新浮现。</w:t>
      </w:r>
    </w:p>
    <w:bookmarkEnd w:id="45"/>
    <w:bookmarkStart w:id="46" w:name="内因三价值锚点的多元化文化性"/>
    <w:p>
      <w:pPr>
        <w:pStyle w:val="Heading3"/>
      </w:pPr>
      <w:r>
        <w:t xml:space="preserve">1.5.3　内因三：价值锚点的多元化（文化性）</w:t>
      </w:r>
    </w:p>
    <w:p>
      <w:pPr>
        <w:pStyle w:val="FirstParagraph"/>
      </w:pPr>
      <w:r>
        <w:t xml:space="preserve">理解这个内因，需要先理解工业时代的价值统一性是如何形成的。工业经济需要大量可以互换的标准化劳动力，这意味着它需要人们认同一套共同的成功标准：努力工作、追求收入、向上流动、参与市场。这套标准不是自发产生的——它通过大众教育、工作纪律、消费文化、全球媒体被主动传播，压制了原本在各地分散存在的差异化价值体系。两百年工业化的结果，是全球范围内对”成功”的定义高度趋同：有好工作、有收入增长、参与消费社会，被视为普遍的正常目标。各地的宗教传统、手工文化、社区仪式、本地声望体系，在市场经济的参照系下被边缘化为”落后”或”传统”，吸引力系统性下降。</w:t>
      </w:r>
    </w:p>
    <w:p>
      <w:pPr>
        <w:pStyle w:val="BodyText"/>
      </w:pPr>
      <w:r>
        <w:t xml:space="preserve">AI时代改变了这个前提的根基。当标准化劳动力不再是稀缺的生产要素，市场经济就失去了维持”统一成功标准”的驱动力——没有人再需要把全球各地的人校准到同一套价值体系里来服务同一套生产需求。这个压力的消失，使各地历史上被压制的文化逻辑重新获得了相对优势。</w:t>
      </w:r>
    </w:p>
    <w:p>
      <w:pPr>
        <w:pStyle w:val="BodyText"/>
      </w:pPr>
      <w:r>
        <w:t xml:space="preserve">这个重新浮现不是复古运动，不是有意识的文化抵抗，而是价值比较的自然结果。当市场成功标准的可及性大幅下降（大多数人无法通过劳动实现工业时代意义上的向上流动），而本地价值体系提供的东西——社区归属、仪式参与感、手工技艺的内在满足、被熟悉你的人认可的尊重——并没有消失，那些本地锚点的相对吸引力就会自然上升。这不需要人们主动”选择传统”，只需要市场成功标准不再具有压倒性的相对优势。</w:t>
      </w:r>
    </w:p>
    <w:p>
      <w:pPr>
        <w:pStyle w:val="BodyText"/>
      </w:pPr>
      <w:r>
        <w:t xml:space="preserve">不同地区浮现的价值锚点形态各异：有的依托宗教传统重建意义框架，礼拜节律、共同仪式、超越性叙事提供了劳动无法给予的结构；有的依托手工技艺，在一件需要时间和技能积累的作品里找到被需要感和成就感；有的依托本地声望体系，在被社区认识、被信任、被需要的位置上建立身份；有的依托关系深度，把维系长期的深厚人际连接作为值得投入的核心目标。这些锚点之间没有统一标准，不可相互换算，也无法被外部市场定价——这正是它们在多态社会里构成稳定内因的关键所在。</w:t>
      </w:r>
    </w:p>
    <w:p>
      <w:pPr>
        <w:pStyle w:val="BodyText"/>
      </w:pPr>
      <w:r>
        <w:t xml:space="preserve">一旦某个社区建立了稳定运行的内部价值体系，外部世界的诱惑力就会相对下降——不是因为外部世界变差了，而是因为”离开去追逐那个”的机会成本上升了。离开意味着放弃已经积累的本地地位、放弃内部价值体系带来的意义感、以不确定的外部机会交换确定的内部损失。这个逻辑形成了多态稳定在文化层面的正反馈：越稳固的内部价值体系，越能留住人口；人口越稳定，内部价值网络的密度越高；密度越高，价值体系越稳固。</w:t>
      </w:r>
    </w:p>
    <w:p>
      <w:pPr>
        <w:pStyle w:val="BodyText"/>
      </w:pPr>
      <w:r>
        <w:t xml:space="preserve">这个内因与前两个内因共同作用，互为强化。滞后消化进度不一，使各路径发展出了不同深度的历史积累，为差异化价值锚点的形成提供了时间基础；流动动力的衰退，使人口真正留在本地，为价值网络的密度积累提供了人口基础；价值锚点的多元化，则为留下来的选择提供了文化层面的正当性和内在动力，使多态稳定不只依赖经济计算，也依赖人们真实感受到的意义归属。</w:t>
      </w:r>
    </w:p>
    <w:p>
      <w:pPr>
        <w:pStyle w:val="BodyText"/>
      </w:pPr>
      <w:r>
        <w:t xml:space="preserve">人口层面同样趋向稳态：配给覆盖经济障碍、高等教育普及提升心理障碍、空间和资源约束施加上限，三者合力使各路径在不同时间节点陆续趋向人口-资源动态平衡。这个稳态不是马尔萨斯式的强制均衡，而是认知-社会式的自愿均衡——人们有能力、有意愿、有条件选择不过度繁殖。这是2072年人口问题的真正历史性质变。</w:t>
      </w:r>
    </w:p>
    <w:bookmarkEnd w:id="46"/>
    <w:bookmarkEnd w:id="47"/>
    <w:bookmarkStart w:id="48" w:name="动荡的真实来源"/>
    <w:p>
      <w:pPr>
        <w:pStyle w:val="Heading2"/>
      </w:pPr>
      <w:r>
        <w:t xml:space="preserve">1.6　动荡的真实来源</w:t>
      </w:r>
    </w:p>
    <w:p>
      <w:pPr>
        <w:pStyle w:val="FirstParagraph"/>
      </w:pPr>
      <w:r>
        <w:t xml:space="preserve">多态社会在2072年是稳定的，但通往这个稳定的过渡期并不平静。理解动荡，需要先理解它的时间结构：动荡不是一个均匀的历史阶段，而是多条压力线在不同地区以不同速度叠加爆发的过程。把它简单标注为”前聚变动荡期”会造成误导——聚变电网在2044年上线，但经济渗透到2049—2053年才在核心区完成，制度响应（配给体系覆盖、技术红利税收调节立法）在不同路径延迟到2052—2059年甚至更晚。发达路径的核心动荡集中在2027—2044年，全球南方的动荡延续到2050年代，被遗忘地带的生存压力在2072年仍未解除。不存在一个单一的动荡期，只存在各路径各自经历的、进度不一的压力积累与消化过程。各路径的动荡时序与具体形态详见第七部分。</w:t>
      </w:r>
    </w:p>
    <w:p>
      <w:pPr>
        <w:pStyle w:val="BodyText"/>
      </w:pPr>
      <w:r>
        <w:t xml:space="preserve">在这个前提下，动荡的真实来源有以下几条，各自独立运作，并在特定条件下相互叠加。</w:t>
      </w:r>
    </w:p>
    <w:p>
      <w:pPr>
        <w:pStyle w:val="BodyText"/>
      </w:pPr>
      <w:r>
        <w:rPr>
          <w:bCs/>
          <w:b/>
        </w:rPr>
        <w:t xml:space="preserve">主要来源：过渡期身份真空。</w:t>
      </w:r>
      <w:r>
        <w:t xml:space="preserve">旧的流动预期尚未消退，新的稳态尚未形成，大量人处于失去旧锚点又未找到新锚点的中间状态。工业时代提供了一套清晰的身份框架：你是某个职业的从业者、某个阶层的成员、某个上升轨迹的参与者。这套框架在AI时代系统性失效，但替代框架的形成需要时间——1.5节描述的三个内因（滞后消化、流动衰退、价值多元化）最终都指向稳定，但到达稳定之前有一段必经的中间地带。这个中间地带是政治极化、民粹主义、文化战争的真实温床，不是因为有人煽动，而是因为失去了描述”我是谁、我在哪里、我为什么在这里”的语言的人，在政治上极易被激活。</w:t>
      </w:r>
    </w:p>
    <w:p>
      <w:pPr>
        <w:pStyle w:val="BodyText"/>
      </w:pPr>
      <w:r>
        <w:rPr>
          <w:bCs/>
          <w:b/>
        </w:rPr>
        <w:t xml:space="preserve">结构性来源：AI冲击与制度响应之间的裸露期。</w:t>
      </w:r>
      <w:r>
        <w:t xml:space="preserve">技术替代的速度远快于制度的响应速度。AI从2027年前后开始系统性替代标准化认知劳动，但覆盖基本生存的配给体系在大多数路径直到2052—2055年才建立，制度响应的延迟留下了约二十年的”裸露期”——就业萎缩已经发生，保障制度尚未到位，大量人处于旧有劳动结构失效而新的分配机制未建立的真空。这个裸露期是动荡期内部压力最集中的来源，在A1体系中以政治博弈和社会动荡的形式展现，在A2体系中以制度性缓冲掩盖实质压力的形式展现，在全球南方以更直接的生存危机形式展现。</w:t>
      </w:r>
    </w:p>
    <w:p>
      <w:pPr>
        <w:pStyle w:val="BodyText"/>
      </w:pPr>
      <w:r>
        <w:rPr>
          <w:bCs/>
          <w:b/>
        </w:rPr>
        <w:t xml:space="preserve">持续性来源：代际断裂。</w:t>
      </w:r>
      <w:r>
        <w:t xml:space="preserve">父辈找到的应对方式——无论是退出劳动市场、回归社区、建立新的价值锚点——不能自动传递给子女。每一代人都需要在自己的历史条件下重新完成这个过程，而历史条件又在持续变化。这个代际张力不会随多态稳态的形成而消失，只是在2072年之后转移到更温和的形式：不再是身份危机，而是代际之间对”什么是有意义的生活”的分歧。</w:t>
      </w:r>
    </w:p>
    <w:p>
      <w:pPr>
        <w:pStyle w:val="BodyText"/>
      </w:pPr>
      <w:r>
        <w:rPr>
          <w:bCs/>
          <w:b/>
        </w:rPr>
        <w:t xml:space="preserve">地理来源：半接入状态的痛苦。</w:t>
      </w:r>
      <w:r>
        <w:t xml:space="preserve">足够深地融入全球经济以产生依赖，却不够深地参与以获取红利。这种处境对全球南方制造业主导型经济体（属C类或B2类成员）和部分D类资源出口国而言最具破坏性：制造业岗位被AI替代的冲击已经到达，但对等的制度保障和技术红利完全缺席；传统发展路径（低成本劳动力→出口导向工业化）被切断，而替代路径（知识经济、AI服务业）所需的人力资本积累还有十到二十年的差距。在信息完全流通的背景下，知道自己被排除在外比不知道更产生痛苦——这是半接入状态特有的困境，完全接入的受益者没有这种痛苦，完全脱嵌的被遗忘地带也没有，恰好在中间的人有。</w:t>
      </w:r>
    </w:p>
    <w:p>
      <w:pPr>
        <w:pStyle w:val="BodyText"/>
      </w:pPr>
      <w:r>
        <w:rPr>
          <w:bCs/>
          <w:b/>
        </w:rPr>
        <w:t xml:space="preserve">扰动因素：地缘冲突与意识形态动员。</w:t>
      </w:r>
      <w:r>
        <w:t xml:space="preserve">经济力量是动荡的底层驱动，但它呈现出来的具体形态受地缘政治和意识形态突变量的强烈影响。动荡期大国直接军事对抗（2028—2029年），将核阴影短暂引入全球公共意识，加速了各阵营路径的分化与相互区隔，也加速了全球反战情绪的结构性积累。动荡期东欧冲突的冻结收场重组了欧洲安全格局。这些事件不改变动荡的长期方向，但显著改变了过渡路径的具体形态和代价。意识形态冲突同样如此——民粹政治在发达路径的周期性爆发、A2体系内部的国家主义叙事强化，都是经济压力在政治层面的形态表达，而非独立的历史驱动力。具体的冲突事件和政治极化轨迹见第七部分。</w:t>
      </w:r>
    </w:p>
    <w:p>
      <w:pPr>
        <w:pStyle w:val="BodyText"/>
      </w:pPr>
      <w:r>
        <w:rPr>
          <w:iCs/>
          <w:i/>
        </w:rPr>
        <w:t xml:space="preserve">动荡与稳定不是对立的两个状态，而是同一个转型过程的两个阶段：动荡是过渡期的压力积累，稳定是压力消化之后的形态固化。2072年的多态稳定，是动荡期代价的另一面。</w:t>
      </w:r>
    </w:p>
    <w:bookmarkEnd w:id="48"/>
    <w:bookmarkStart w:id="52" w:name="精神健康宏观结构"/>
    <w:p>
      <w:pPr>
        <w:pStyle w:val="Heading2"/>
      </w:pPr>
      <w:r>
        <w:t xml:space="preserve">1.7　精神健康宏观结构</w:t>
      </w:r>
    </w:p>
    <w:p>
      <w:pPr>
        <w:pStyle w:val="FirstParagraph"/>
      </w:pPr>
      <w:r>
        <w:t xml:space="preserve">多态社会在系统层面稳定，在个体层面呈现出人类历史上前所未有的精神健康挑战格局。这个格局的特殊性在于：它不是贫困导致的，不是战争导致的，不是压迫导致的（尽管这些仍然存在于某些路径中），而是自由本身导致的——大量的时间、较低的物质压力、但缺乏意义框架的生存状态。</w:t>
      </w:r>
    </w:p>
    <w:bookmarkStart w:id="49" w:name="主要精神健康向量"/>
    <w:p>
      <w:pPr>
        <w:pStyle w:val="Heading3"/>
      </w:pPr>
      <w:r>
        <w:t xml:space="preserve">1.7.1　主要精神健康向量</w:t>
      </w:r>
    </w:p>
    <w:p>
      <w:pPr>
        <w:pStyle w:val="FirstParagraph"/>
      </w:pPr>
      <w:r>
        <w:t xml:space="preserve">意义感调适是2072年分布最广的心理过程，跨越所有路径和阶层，但程度和形态因人而异。工业时代提供了一个简单但有效的意义框架：劳动→成就→价值感。这个框架至少提供了结构——每天有事情要做，有可以追求的指标，有可以与人分享的叙事。当这个框架失效，结构消失，部分人口面临真实的意义寻找挑战；另一部分人则通过社区归属、新兴岗位的被需要感、低速生活方式的主动选择或文化扩散传递的新框架，已经形成了与新现实相容的意义稳态。人类的心理适应能力使”危机”不等于”普遍深度痛苦”，但适应过程本身因个体和社区条件差异而显著不均。</w:t>
      </w:r>
    </w:p>
    <w:p>
      <w:pPr>
        <w:pStyle w:val="BodyText"/>
      </w:pPr>
      <w:r>
        <w:t xml:space="preserve">孤独流行病在多态社会中呈现悖论形态：社区连接比工业时代更密集，但深度孤独感更普遍。原因在于连接的质量而非数量。工业时代的人际连接通过工作场所、宗教机构、公民组织中介，这些中介提供了共同目标和共同经历——连接有内容。多态社会的连接更自发、更流动，但也更表面——在没有共同目标的情况下，人们难以突破闲聊的层次，难以建立真正的相互依赖。</w:t>
      </w:r>
    </w:p>
    <w:p>
      <w:pPr>
        <w:pStyle w:val="BodyText"/>
      </w:pPr>
      <w:r>
        <w:t xml:space="preserve">慢性低度抑郁（Dysthymia）成为最常见的临床呈现，远比急性抑郁症或躁郁症更普遍。它不影响基本功能，不达到临床干预门槛，但持续地降低生活质量——用患者自己的话说是「没有什么特别不好，但也没有什么特别好」。这种状态在工业时代被工作和生存压力掩盖，在多态社会中因为缺少覆盖物而充分浮现。</w:t>
      </w:r>
    </w:p>
    <w:bookmarkEnd w:id="49"/>
    <w:bookmarkStart w:id="50" w:name="路径差异"/>
    <w:p>
      <w:pPr>
        <w:pStyle w:val="Heading3"/>
      </w:pPr>
      <w:r>
        <w:t xml:space="preserve">1.7.2　路径差异</w:t>
      </w:r>
    </w:p>
    <w:p>
      <w:pPr>
        <w:pStyle w:val="FirstParagraph"/>
      </w:pPr>
      <w:r>
        <w:t xml:space="preserve">A2路径：精神健康挑战被纳入社会管理框架，形成独特的「功能性幸福」文化——社区层面的正向叙事建构、AI辅助的情绪监测系统、通过参与社区项目提供结构性活动。这套系统的效率在于它不否认个体痛苦，而是提供通道将痛苦转化为社区贡献的动力。代价是：真正的内在处理被功能性适应替代，心理脆弱性并未被消除，只是被管理。</w:t>
      </w:r>
    </w:p>
    <w:p>
      <w:pPr>
        <w:pStyle w:val="BodyText"/>
      </w:pPr>
      <w:r>
        <w:t xml:space="preserve">欧洲民主路径：精神健康被纳入公共卫生体系，免费心理治疗覆盖率高，但等待时间长，质量参差不齐。欧洲发展出了「精神健康第三空间」——咖啡馆式的非正式互助小组，有训练过的非专业引导者，提供结构性的情感表达空间，填补了专业治疗与完全私人挣扎之间的真空。</w:t>
      </w:r>
    </w:p>
    <w:p>
      <w:pPr>
        <w:pStyle w:val="BodyText"/>
      </w:pPr>
      <w:r>
        <w:t xml:space="preserve">A1路径：精神健康市场化程度最高，AI治疗师覆盖率在2060年后达到90%，人类治疗师成为奢侈品。AI治疗在某些功能性指标上表现优异，但对于意义寻找类的心理挑战，其长期效果存在明显的个体差异——提供情感陪伴和认知框架是AI的长处，但意义感的建立依赖真实的社会连接和个体的主动构建，这是AI介入效果的结构性边界。</w:t>
      </w:r>
    </w:p>
    <w:p>
      <w:pPr>
        <w:pStyle w:val="BodyText"/>
      </w:pPr>
      <w:r>
        <w:t xml:space="preserve">遗忘地带：完全缺乏系统性支持，传统宗教社区在这里扮演了精神健康系统的功能，但覆盖范围和质量都高度不均。自杀率在遗忘地带仍然是全球最高，但数据收集本身就是奢侈品。</w:t>
      </w:r>
    </w:p>
    <w:bookmarkEnd w:id="50"/>
    <w:bookmarkStart w:id="51" w:name="精神健康与多态稳定的关系"/>
    <w:p>
      <w:pPr>
        <w:pStyle w:val="Heading3"/>
      </w:pPr>
      <w:r>
        <w:t xml:space="preserve">1.7.3　精神健康与多态稳定的关系</w:t>
      </w:r>
    </w:p>
    <w:p>
      <w:pPr>
        <w:pStyle w:val="FirstParagraph"/>
      </w:pPr>
      <w:r>
        <w:t xml:space="preserve">精神健康挑战是多态稳定的背景变量，不是威胁。自杀率、慢性抑郁率等指标在特定人群（裸露期被替代的中层人口、慢生活社区留守老龄化人口）有统计性上升，但人类适应机制——社区归属、意义框架的文化扩散、宗教与世俗仪式的结构性功能——使整体社会痛苦指数随BSC覆盖和多态社区稳态的形成而趋于收敛。个体心理挑战因高度私人化而难以政治组织化：「我感到空虚」不能被转化为政治纲领，「我的生活没有意义」不能被转化为集体要求。这使心理层面的适应过程主要在个体和社区层面进行，而非通过制度性渠道，是多态稳定的内在机制之一。</w:t>
      </w:r>
    </w:p>
    <w:p>
      <w:pPr>
        <w:pStyle w:val="BodyText"/>
      </w:pPr>
      <w:r>
        <w:rPr>
          <w:iCs/>
          <w:i/>
        </w:rPr>
        <w:t xml:space="preserve">系统稳定与个体意义寻找是并行的两个过程，不相互取消。2072年的多态社会解决了生存问题，但意义问题的答案仍在各路径、各社区、各个体之间持续被寻找和构建——这个过程本身，是多态稳态最有活力的维度。</w:t>
      </w:r>
    </w:p>
    <w:bookmarkEnd w:id="51"/>
    <w:bookmarkEnd w:id="52"/>
    <w:bookmarkEnd w:id="53"/>
    <w:bookmarkStart w:id="63" w:name="第二部分-滞后量框架"/>
    <w:p>
      <w:pPr>
        <w:pStyle w:val="Heading1"/>
      </w:pPr>
      <w:r>
        <w:t xml:space="preserve">第二部分　滞后量框架</w:t>
      </w:r>
    </w:p>
    <w:p>
      <w:pPr>
        <w:pStyle w:val="FirstParagraph"/>
      </w:pPr>
      <w:r>
        <w:t xml:space="preserve">技术的到来与技术成为社会现实之间，往往隔着十五到三十年的全面社会重组过程。2072世界观以两条技术主轴为骨干——AI替代就业与聚变能源商业化——但两者在时间结构上根本不同，产生的社会冲击也走不同的路径。第二部分的任务是建立时间坐标系：厘清四层滞后结构的理论基础，分别呈现两条主轴的发展时序，再在总时序层面说明它们如何交汇。</w:t>
      </w:r>
    </w:p>
    <w:p>
      <w:pPr>
        <w:pStyle w:val="BodyText"/>
      </w:pPr>
      <w:r>
        <w:rPr>
          <w:bCs/>
          <w:b/>
        </w:rPr>
        <w:t xml:space="preserve">滞后量框架的核心概念。</w:t>
      </w:r>
      <w:r>
        <w:t xml:space="preserve">本文使用”滞后量”（lag）描述技术、经济、制度与文化变迁之间的时间差，分四层展开：L1（技术部署）：从突破到规模化可用；L2（经济渗透）：从可用到进入生产体系改变成本结构；L3（制度响应）：法律、福利、治理结构的调整；L4（社会文化吸收）：价值观、意义框架、行为模式的代际转变。任何把”技术普及”等同于”社会转型完成”的分析，都混淆了L1与L4。</w:t>
      </w:r>
    </w:p>
    <w:p>
      <w:pPr>
        <w:pStyle w:val="BodyText"/>
      </w:pPr>
      <w:r>
        <w:rPr>
          <w:bCs/>
          <w:b/>
        </w:rPr>
        <w:t xml:space="preserve">两类根本不同的滞后。</w:t>
      </w:r>
      <w:r>
        <w:t xml:space="preserve">可逆性滞后——资源和政策约束造成的时间差，给足时间可以追上；结构性滞后——体系性排斥，不是等待问题，是进入许可问题。遗忘地带（E类经济体）不会因为”再等几十年”而自动接入体系；矿产资源国的外资开采不惠及本地居民，再多时间本地投资能力也不会自动出现。混淆这两类滞后，会产生”只要时间足够一切都会好”的错误乐观。</w:t>
      </w:r>
    </w:p>
    <w:p>
      <w:pPr>
        <w:pStyle w:val="BodyText"/>
      </w:pPr>
      <w:r>
        <w:rPr>
          <w:bCs/>
          <w:b/>
        </w:rPr>
        <w:t xml:space="preserve">同一物理年份，不同功能性历史时间。</w:t>
      </w:r>
      <w:r>
        <w:t xml:space="preserve">2072年，全世界共享同一个物理年份。但各地实际运行于哪个技术-制度-文化的组合之上——即功能性历史时间——完全不同。中国核心城市处理”技术充裕下意义感缺失”的存在主义危机，遗忘地带的居民仍在应对前工业时代的基础生存压力。这两个现实的历史距离可能超过一百年。多态社会不只是”各地发展不平衡”，而是同一个物理时间内共存的多个历史时间。</w:t>
      </w:r>
    </w:p>
    <w:bookmarkStart w:id="54" w:name="双主轴总论ai的渐进演化与聚变的阶段性跃迁"/>
    <w:p>
      <w:pPr>
        <w:pStyle w:val="Heading2"/>
      </w:pPr>
      <w:r>
        <w:t xml:space="preserve">2.1　双主轴总论：AI的渐进演化与聚变的阶段性跃迁</w:t>
      </w:r>
    </w:p>
    <w:p>
      <w:pPr>
        <w:pStyle w:val="FirstParagraph"/>
      </w:pPr>
      <w:r>
        <w:t xml:space="preserve">AI与聚变是2072世界观的两条技术主轴，但它们的时间结构根本不同，必须用不同的分析框架处理。</w:t>
      </w:r>
    </w:p>
    <w:p>
      <w:pPr>
        <w:pStyle w:val="BodyText"/>
      </w:pPr>
      <w:r>
        <w:rPr>
          <w:bCs/>
          <w:b/>
        </w:rPr>
        <w:t xml:space="preserve">AI：连续渗透，无单一临界时刻</w:t>
      </w:r>
    </w:p>
    <w:p>
      <w:pPr>
        <w:pStyle w:val="BodyText"/>
      </w:pPr>
      <w:r>
        <w:t xml:space="preserve">AI对经济和社会的影响是连续的、渐进的，没有一个单一的”到来时刻”——它更像一条不断上升的河流，而非一次洪水。从2020年代的工具性AI（提升效率但不取代岗位），到2027年前后AGI临界（标准化认知劳动开始系统性被替代），到2035—2053年的智能体AI与具身机器人叠加（知识工作与体力劳动同步替代），AI的影响是沿着能力边界持续外推的。</w:t>
      </w:r>
    </w:p>
    <w:p>
      <w:pPr>
        <w:pStyle w:val="BodyText"/>
      </w:pPr>
      <w:r>
        <w:t xml:space="preserve">这种连续性使AI在滞后量框架中有特殊属性：</w:t>
      </w:r>
      <w:r>
        <w:rPr>
          <w:bCs/>
          <w:b/>
        </w:rPr>
        <w:t xml:space="preserve">L1事实上从未完成，而是持续移动</w:t>
      </w:r>
      <w:r>
        <w:t xml:space="preserve">。每一轮能力突破都重新定义L1的边界，L2的经济渗透追着L1跑，L3的制度响应追着L2跑，L4的文化吸收永远落在最后。没有一个时刻可以说”AI技术已经全面部署完毕”，因为下一波能力扩展总在到来。</w:t>
      </w:r>
    </w:p>
    <w:p>
      <w:pPr>
        <w:pStyle w:val="BodyText"/>
      </w:pPr>
      <w:r>
        <w:t xml:space="preserve">AI的核心社会冲击沿”劳动意义”轴展开：从”劳动换生存”到”无需劳动也能生存”的转变，触发的不是物质分配问题，而是意义重构问题。这个冲击的L4——意义框架的代际重建——系统性长于聚变，因为它改变的不只是生产方式，而是人类劳动与自我价值感的根本关系。2072年没有任何路径完成了AI冲击的L4吸收，意义重构是整个21世纪后半叶社会线的持续主题。</w:t>
      </w:r>
    </w:p>
    <w:p>
      <w:pPr>
        <w:pStyle w:val="BodyText"/>
      </w:pPr>
      <w:r>
        <w:t xml:space="preserve">AI的关键危险节点是</w:t>
      </w:r>
      <w:r>
        <w:rPr>
          <w:bCs/>
          <w:b/>
        </w:rPr>
        <w:t xml:space="preserve">L2-L3裸露期</w:t>
      </w:r>
      <w:r>
        <w:t xml:space="preserve">：就业已大规模崩塌，而制度保障尚未到位。各路径的裸露期长度不同（中国3—5年、美欧5—10年、全球南方结构性），但裸露期内的社会压力积累是动荡期政治极化的主要经济驱动力，构成第七部分”前聚变动荡期”的核心叙事逻辑。</w:t>
      </w:r>
    </w:p>
    <w:p>
      <w:pPr>
        <w:pStyle w:val="BodyText"/>
      </w:pPr>
      <w:r>
        <w:rPr>
          <w:bCs/>
          <w:b/>
        </w:rPr>
        <w:t xml:space="preserve">聚变：阶段性跃迁，有明确的物质临界点</w:t>
      </w:r>
    </w:p>
    <w:p>
      <w:pPr>
        <w:pStyle w:val="BodyText"/>
      </w:pPr>
      <w:r>
        <w:t xml:space="preserve">聚变的时间结构与AI截然不同：它有明确的技术突破点（2037年净能量突破）、明确的基础设施部署周期（单座商业堆约5—7年建设期）、明确的成本下降曲线（LCOE从约60—100美元/MWh降至约8—15美元/MWh），以及由此产生的</w:t>
      </w:r>
      <w:r>
        <w:rPr>
          <w:bCs/>
          <w:b/>
        </w:rPr>
        <w:t xml:space="preserve">明确的社会转变临界点</w:t>
      </w:r>
      <w:r>
        <w:t xml:space="preserve">。</w:t>
      </w:r>
    </w:p>
    <w:p>
      <w:pPr>
        <w:pStyle w:val="BodyText"/>
      </w:pPr>
      <w:r>
        <w:t xml:space="preserve">这个阶段性特征使聚变的滞后量更容易被框定。2044年电网上线是L1，各路径在2049—2059年陆续完成L2（生产体系渗透），L3（制度响应，主要体现为配给体系财政可行性成立）与L2高度重叠，L4（能源充裕成为生活背景）在2054—2064年展开。聚变的物质性使其L4滞后短于AI：人们不需要重建意义框架来接受”能源便宜了”，只需要调整生活习惯和产业预期。</w:t>
      </w:r>
    </w:p>
    <w:p>
      <w:pPr>
        <w:pStyle w:val="BodyText"/>
      </w:pPr>
      <w:r>
        <w:t xml:space="preserve">聚变的核心社会冲击沿”物质丰度”轴展开：从稀缺到充裕，核心制度响应是如何分配新增的物质条件。与AI的意义问题不同，聚变提供的是可分配的物质基础，制度的任务是确保分配公平，而不是创造意义。这也是为什么聚变是配给体系财政可行性的物质前提：没有廉价能源，合成食品无法大规模生产，物资配给无法以低成本覆盖基本需求。</w:t>
      </w:r>
    </w:p>
    <w:p>
      <w:pPr>
        <w:pStyle w:val="BodyText"/>
      </w:pPr>
      <w:r>
        <w:t xml:space="preserve">聚变在地缘政治上的杠杆效应同样具有阶段性：谁先完成基础设施布局，谁就通过能源依附关系形成较稳定的地缘倾向。2061年前后形成的格局，反映的是有聚变接入需求的国家在L1—L2窗口期内完成路径选择的结果——这对A1/A2/B1/B2/C类国家产生真实的依附关系，但对大量未接入聚变的C/D/E类国家并不适用；两大体系之间持续的商业互依也使”固化”一词高估了实际的隔绝程度。</w:t>
      </w:r>
    </w:p>
    <w:p>
      <w:pPr>
        <w:pStyle w:val="BodyText"/>
      </w:pPr>
      <w:r>
        <w:rPr>
          <w:bCs/>
          <w:b/>
        </w:rPr>
        <w:t xml:space="preserve">两条主轴的因果关联</w:t>
      </w:r>
    </w:p>
    <w:p>
      <w:pPr>
        <w:pStyle w:val="BodyText"/>
      </w:pPr>
      <w:r>
        <w:t xml:space="preserve">AI和聚变不只在时序上存在叠加，更在因果上相互关联。聚变提供的廉价能源使合成食品经济可行，为AI替代造成的就业崩塌提供了物质兜底——没有聚变，AI裸露期的社会压力将面临没有物质支撑的制度响应，这是两条主线在因果上而非仅仅在时序上关联的根本机制。反向关联同样存在：AI使聚变工程的设计与运维自动化，加速了聚变的部署与规模化。两条主轴是同一个技术革命的两个侧面，分拆分析只是为了分析清晰，不代表它们可以独立发生。</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AI主轴</w:t>
            </w:r>
          </w:p>
        </w:tc>
        <w:tc>
          <w:tcPr/>
          <w:p>
            <w:pPr>
              <w:pStyle w:val="Compact"/>
              <w:jc w:val="left"/>
            </w:pPr>
            <w:r>
              <w:rPr>
                <w:bCs/>
                <w:b/>
              </w:rPr>
              <w:t xml:space="preserve">聚变主轴</w:t>
            </w:r>
          </w:p>
        </w:tc>
      </w:tr>
      <w:tr>
        <w:tc>
          <w:tcPr/>
          <w:p>
            <w:pPr>
              <w:pStyle w:val="Compact"/>
              <w:jc w:val="left"/>
            </w:pPr>
            <w:r>
              <w:rPr>
                <w:bCs/>
                <w:b/>
              </w:rPr>
              <w:t xml:space="preserve">时间结构</w:t>
            </w:r>
          </w:p>
        </w:tc>
        <w:tc>
          <w:tcPr/>
          <w:p>
            <w:pPr>
              <w:pStyle w:val="Compact"/>
              <w:jc w:val="left"/>
            </w:pPr>
            <w:r>
              <w:t xml:space="preserve">连续渗透，L1持续移动</w:t>
            </w:r>
          </w:p>
        </w:tc>
        <w:tc>
          <w:tcPr/>
          <w:p>
            <w:pPr>
              <w:pStyle w:val="Compact"/>
              <w:jc w:val="left"/>
            </w:pPr>
            <w:r>
              <w:t xml:space="preserve">阶段性跃迁，有明确临界点</w:t>
            </w:r>
          </w:p>
        </w:tc>
      </w:tr>
      <w:tr>
        <w:tc>
          <w:tcPr/>
          <w:p>
            <w:pPr>
              <w:pStyle w:val="Compact"/>
              <w:jc w:val="left"/>
            </w:pPr>
            <w:r>
              <w:rPr>
                <w:bCs/>
                <w:b/>
              </w:rPr>
              <w:t xml:space="preserve">冲击轴</w:t>
            </w:r>
          </w:p>
        </w:tc>
        <w:tc>
          <w:tcPr/>
          <w:p>
            <w:pPr>
              <w:pStyle w:val="Compact"/>
              <w:jc w:val="left"/>
            </w:pPr>
            <w:r>
              <w:t xml:space="preserve">劳动意义</w:t>
            </w:r>
          </w:p>
        </w:tc>
        <w:tc>
          <w:tcPr/>
          <w:p>
            <w:pPr>
              <w:pStyle w:val="Compact"/>
              <w:jc w:val="left"/>
            </w:pPr>
            <w:r>
              <w:t xml:space="preserve">物质丰度</w:t>
            </w:r>
          </w:p>
        </w:tc>
      </w:tr>
      <w:tr>
        <w:tc>
          <w:tcPr/>
          <w:p>
            <w:pPr>
              <w:pStyle w:val="Compact"/>
              <w:jc w:val="left"/>
            </w:pPr>
            <w:r>
              <w:rPr>
                <w:bCs/>
                <w:b/>
              </w:rPr>
              <w:t xml:space="preserve">核心张力</w:t>
            </w:r>
          </w:p>
        </w:tc>
        <w:tc>
          <w:tcPr/>
          <w:p>
            <w:pPr>
              <w:pStyle w:val="Compact"/>
              <w:jc w:val="left"/>
            </w:pPr>
            <w:r>
              <w:t xml:space="preserve">意义重构（无可分配资源）</w:t>
            </w:r>
          </w:p>
        </w:tc>
        <w:tc>
          <w:tcPr/>
          <w:p>
            <w:pPr>
              <w:pStyle w:val="Compact"/>
              <w:jc w:val="left"/>
            </w:pPr>
            <w:r>
              <w:t xml:space="preserve">分配公平（有物质基础可分配）</w:t>
            </w:r>
          </w:p>
        </w:tc>
      </w:tr>
      <w:tr>
        <w:tc>
          <w:tcPr/>
          <w:p>
            <w:pPr>
              <w:pStyle w:val="Compact"/>
              <w:jc w:val="left"/>
            </w:pPr>
            <w:r>
              <w:rPr>
                <w:bCs/>
                <w:b/>
              </w:rPr>
              <w:t xml:space="preserve">危险节点</w:t>
            </w:r>
          </w:p>
        </w:tc>
        <w:tc>
          <w:tcPr/>
          <w:p>
            <w:pPr>
              <w:pStyle w:val="Compact"/>
              <w:jc w:val="left"/>
            </w:pPr>
            <w:r>
              <w:t xml:space="preserve">L2-L3裸露期（就业崩塌先于制度保障）</w:t>
            </w:r>
          </w:p>
        </w:tc>
        <w:tc>
          <w:tcPr/>
          <w:p>
            <w:pPr>
              <w:pStyle w:val="Compact"/>
              <w:jc w:val="left"/>
            </w:pPr>
            <w:r>
              <w:t xml:space="preserve">路径分化窗口（2037—2055：有融资能力者完成锁定，无融资能力者陷入结构性排斥）</w:t>
            </w:r>
          </w:p>
        </w:tc>
      </w:tr>
      <w:tr>
        <w:tc>
          <w:tcPr/>
          <w:p>
            <w:pPr>
              <w:pStyle w:val="Compact"/>
              <w:jc w:val="left"/>
            </w:pPr>
            <w:r>
              <w:rPr>
                <w:bCs/>
                <w:b/>
              </w:rPr>
              <w:t xml:space="preserve">L4滞后</w:t>
            </w:r>
          </w:p>
        </w:tc>
        <w:tc>
          <w:tcPr/>
          <w:p>
            <w:pPr>
              <w:pStyle w:val="Compact"/>
              <w:jc w:val="left"/>
            </w:pPr>
            <w:r>
              <w:t xml:space="preserve">15—20年（意义重构依赖代际更替）</w:t>
            </w:r>
          </w:p>
        </w:tc>
        <w:tc>
          <w:tcPr/>
          <w:p>
            <w:pPr>
              <w:pStyle w:val="Compact"/>
              <w:jc w:val="left"/>
            </w:pPr>
            <w:r>
              <w:t xml:space="preserve">10—15年（生活习惯调整，无需意义框架重建）</w:t>
            </w:r>
          </w:p>
        </w:tc>
      </w:tr>
      <w:tr>
        <w:tc>
          <w:tcPr/>
          <w:p>
            <w:pPr>
              <w:pStyle w:val="Compact"/>
              <w:jc w:val="left"/>
            </w:pPr>
            <w:r>
              <w:rPr>
                <w:bCs/>
                <w:b/>
              </w:rPr>
              <w:t xml:space="preserve">制度任务</w:t>
            </w:r>
          </w:p>
        </w:tc>
        <w:tc>
          <w:tcPr/>
          <w:p>
            <w:pPr>
              <w:pStyle w:val="Compact"/>
              <w:jc w:val="left"/>
            </w:pPr>
            <w:r>
              <w:t xml:space="preserve">重建意义框架，应对退出就业</w:t>
            </w:r>
          </w:p>
        </w:tc>
        <w:tc>
          <w:tcPr/>
          <w:p>
            <w:pPr>
              <w:pStyle w:val="Compact"/>
              <w:jc w:val="left"/>
            </w:pPr>
            <w:r>
              <w:t xml:space="preserve">分配物质红利，建立配给与保障体系</w:t>
            </w:r>
          </w:p>
        </w:tc>
      </w:tr>
      <w:tr>
        <w:tc>
          <w:tcPr/>
          <w:p>
            <w:pPr>
              <w:pStyle w:val="Compact"/>
              <w:jc w:val="left"/>
            </w:pPr>
            <w:r>
              <w:rPr>
                <w:bCs/>
                <w:b/>
              </w:rPr>
              <w:t xml:space="preserve">关键交汇</w:t>
            </w:r>
          </w:p>
        </w:tc>
        <w:tc>
          <w:tcPr/>
          <w:p>
            <w:pPr>
              <w:pStyle w:val="Compact"/>
              <w:jc w:val="left"/>
            </w:pPr>
            <w:r>
              <w:t xml:space="preserve">2049—2059年：聚变L2-L3完成，为AI L3提供物质兜底</w:t>
            </w:r>
          </w:p>
        </w:tc>
        <w:tc>
          <w:tcPr/>
          <w:p>
            <w:pPr>
              <w:pStyle w:val="Compact"/>
            </w:pPr>
          </w:p>
        </w:tc>
      </w:tr>
    </w:tbl>
    <w:bookmarkEnd w:id="54"/>
    <w:bookmarkStart w:id="55" w:name="ai发展及影响时序"/>
    <w:p>
      <w:pPr>
        <w:pStyle w:val="Heading2"/>
      </w:pPr>
      <w:r>
        <w:t xml:space="preserve">2.2　AI发展及影响时序</w:t>
      </w:r>
    </w:p>
    <w:p>
      <w:pPr>
        <w:pStyle w:val="FirstParagraph"/>
      </w:pPr>
      <w:r>
        <w:t xml:space="preserve">本节呈现AI主轴从2024年到2072年的完整时序，分四个阶段展开：冲击前夜（2024—2027）、L2裸露期（2030—2040）、制度响应期（2033—2059）、意义重构期（2040—2072+）。时序节点以2.1节L1—L4框架为骨架，以第四部分4.2节（AI经济后果）、4.6节（人口与劳动力）、4.7节（就业结构重组）、4.9节（财政框架）的推演为依据。</w:t>
      </w:r>
    </w:p>
    <w:p>
      <w:pPr>
        <w:pStyle w:val="BodyText"/>
      </w:pPr>
      <w:r>
        <w:rPr>
          <w:bCs/>
          <w:b/>
        </w:rPr>
        <w:t xml:space="preserve">AGI临界（2027）：L1边界的决定性移动</w:t>
      </w:r>
    </w:p>
    <w:p>
      <w:pPr>
        <w:pStyle w:val="BodyText"/>
      </w:pPr>
      <w:r>
        <w:t xml:space="preserve">2027年前后，AI能力跨越使标准化认知劳动的系统性替代成为现实。这是AI L1的关键移动时刻，但不是L1的终点——此后每一轮能力扩展（智能体AI、具身机器人、自主AI）都继续推移L1边界。AGI临界的意义在于：它使就业崩塌从”未来的担忧”变为”当下的现实”，触发L2的加速推进和L2-L3裸露期的形成。</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冲击前夜（2024—2027）</w:t>
            </w:r>
          </w:p>
        </w:tc>
        <w:tc>
          <w:tcPr/>
          <w:p>
            <w:pPr>
              <w:pStyle w:val="Compact"/>
            </w:pPr>
          </w:p>
        </w:tc>
      </w:tr>
      <w:tr>
        <w:tc>
          <w:tcPr/>
          <w:p>
            <w:pPr>
              <w:pStyle w:val="Compact"/>
              <w:jc w:val="left"/>
            </w:pPr>
            <w:r>
              <w:rPr>
                <w:bCs/>
                <w:b/>
              </w:rPr>
              <w:t xml:space="preserve">2024—27</w:t>
            </w:r>
          </w:p>
        </w:tc>
        <w:tc>
          <w:tcPr/>
          <w:p>
            <w:pPr>
              <w:pStyle w:val="Compact"/>
              <w:jc w:val="left"/>
            </w:pPr>
            <w:r>
              <w:rPr>
                <w:bCs/>
                <w:b/>
              </w:rPr>
              <w:t xml:space="preserve">工具性AI普及，生产率提升但就业尚未大规模崩塌</w:t>
            </w:r>
            <w:r>
              <w:t xml:space="preserve"> </w:t>
            </w:r>
            <w:r>
              <w:t xml:space="preserve">工业时代劳动逻辑的最后平静期。AI作为效率工具压缩部分白领工作量，岗位消失速度慢于个人适应速度。社会层面焦虑弥散但尚无系统性失业。</w:t>
            </w:r>
            <w:r>
              <w:rPr>
                <w:iCs/>
                <w:i/>
              </w:rPr>
              <w:t xml:space="preserve">个体感受：「AI让我的工作效率提高了，但有些同事在悄悄消失。还没到担心自己的程度，但开始想：五年后呢？」</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L2裸露期——就业崩塌先于制度响应（约2030—2040）</w:t>
            </w:r>
          </w:p>
        </w:tc>
        <w:tc>
          <w:tcPr/>
          <w:p>
            <w:pPr>
              <w:pStyle w:val="Compact"/>
            </w:pPr>
          </w:p>
        </w:tc>
      </w:tr>
      <w:tr>
        <w:tc>
          <w:tcPr/>
          <w:p>
            <w:pPr>
              <w:pStyle w:val="Compact"/>
              <w:jc w:val="left"/>
            </w:pPr>
            <w:r>
              <w:rPr>
                <w:bCs/>
                <w:b/>
              </w:rPr>
              <w:t xml:space="preserve">2030—35</w:t>
            </w:r>
          </w:p>
        </w:tc>
        <w:tc>
          <w:tcPr/>
          <w:p>
            <w:pPr>
              <w:pStyle w:val="Compact"/>
              <w:jc w:val="left"/>
            </w:pPr>
            <w:r>
              <w:rPr>
                <w:bCs/>
                <w:b/>
              </w:rPr>
              <w:t xml:space="preserve">中国L2完成：就业替代成为主要经济现实</w:t>
            </w:r>
            <w:r>
              <w:t xml:space="preserve"> </w:t>
            </w:r>
            <w:r>
              <w:t xml:space="preserve">AGI临界（2027）+ L2滞后3—5年（国家调配加速）= 2030—35。标志不是就业率下降，而是”有名义工作但实质功能被AI执行”的形式就业大规模出现。国企编制吸收第一波压力，公务员考试竞争激烈，录取名额同步压缩。L3响应在中国2033—38年间无需协商推进，裸露期最短约3—5年。</w:t>
            </w:r>
            <w:r>
              <w:rPr>
                <w:iCs/>
                <w:i/>
              </w:rPr>
              <w:t xml:space="preserve">个体感受：「单位说我的工作没变化，但AI已完成了八成内容。考公的竞争更激烈了。」</w:t>
            </w:r>
          </w:p>
        </w:tc>
      </w:tr>
      <w:tr>
        <w:tc>
          <w:tcPr/>
          <w:p>
            <w:pPr>
              <w:pStyle w:val="Compact"/>
              <w:jc w:val="left"/>
            </w:pPr>
            <w:r>
              <w:rPr>
                <w:bCs/>
                <w:b/>
              </w:rPr>
              <w:t xml:space="preserve">2031—40</w:t>
            </w:r>
          </w:p>
        </w:tc>
        <w:tc>
          <w:tcPr/>
          <w:p>
            <w:pPr>
              <w:pStyle w:val="Compact"/>
              <w:jc w:val="left"/>
            </w:pPr>
            <w:r>
              <w:rPr>
                <w:bCs/>
                <w:b/>
              </w:rPr>
              <w:t xml:space="preserve">美欧L2裸露期：就业压力与制度空白并存</w:t>
            </w:r>
            <w:r>
              <w:t xml:space="preserve"> </w:t>
            </w:r>
            <w:r>
              <w:t xml:space="preserve">美国L2：2027+4—6年 = 2031—37，L3滞后至2036—40，裸露期约5—8年。欧洲L2：2028+5—8年 = 2033—39，L3滞后至2038—45，裸露期约5—10年。这是2072世界观中社会稳定性最脆弱的阶段。大量白领中层被替代，生存焦虑真实，制度响应尚未到位，民粹政治获得最强动员燃料。</w:t>
            </w:r>
            <w:r>
              <w:rPr>
                <w:iCs/>
                <w:i/>
              </w:rPr>
              <w:t xml:space="preserve">个体感受：「我失业了。政府说在研究方案。家里的钱撑不了几年。」</w:t>
            </w:r>
          </w:p>
        </w:tc>
      </w:tr>
      <w:tr>
        <w:tc>
          <w:tcPr/>
          <w:p>
            <w:pPr>
              <w:pStyle w:val="Compact"/>
              <w:jc w:val="left"/>
            </w:pPr>
            <w:r>
              <w:rPr>
                <w:bCs/>
                <w:b/>
              </w:rPr>
              <w:t xml:space="preserve">2040—55+</w:t>
            </w:r>
          </w:p>
        </w:tc>
        <w:tc>
          <w:tcPr/>
          <w:p>
            <w:pPr>
              <w:pStyle w:val="Compact"/>
              <w:jc w:val="left"/>
            </w:pPr>
            <w:r>
              <w:rPr>
                <w:bCs/>
                <w:b/>
              </w:rPr>
              <w:t xml:space="preserve">全球南方与被遗忘地带：结构性裸露</w:t>
            </w:r>
            <w:r>
              <w:t xml:space="preserve"> </w:t>
            </w:r>
            <w:r>
              <w:t xml:space="preserve">制造业劳动力比较优势系统性消失。全球南方L3相对A1体系（约2052—55年完成）延迟超过15年（即约2067年以后，多数国家尚未启动），根本原因是没有可分配的经济红利作为制度建设的财政基础——不是协商成本高，是根本没有可分配的东西。裸露期在全球南方是结构性的，不随时间自动解决。</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制度响应期：L3锁定意义危机结构（约2033—2059）</w:t>
            </w:r>
          </w:p>
        </w:tc>
        <w:tc>
          <w:tcPr/>
          <w:p>
            <w:pPr>
              <w:pStyle w:val="Compact"/>
            </w:pPr>
          </w:p>
        </w:tc>
      </w:tr>
      <w:tr>
        <w:tc>
          <w:tcPr/>
          <w:p>
            <w:pPr>
              <w:pStyle w:val="Compact"/>
              <w:jc w:val="left"/>
            </w:pPr>
            <w:r>
              <w:rPr>
                <w:bCs/>
                <w:b/>
              </w:rPr>
              <w:t xml:space="preserve">2033—2052（L3过程）；完成节点约2049—2052年</w:t>
            </w:r>
          </w:p>
        </w:tc>
        <w:tc>
          <w:tcPr/>
          <w:p>
            <w:pPr>
              <w:pStyle w:val="Compact"/>
              <w:jc w:val="left"/>
            </w:pPr>
            <w:r>
              <w:rPr>
                <w:bCs/>
                <w:b/>
              </w:rPr>
              <w:t xml:space="preserve">中国L3：配给双轨成形（AI主轴制度响应，与2.3节聚变L3时序不同）</w:t>
            </w:r>
            <w:r>
              <w:t xml:space="preserve"> </w:t>
            </w:r>
            <w:r>
              <w:t xml:space="preserve">国有AI资本利润配给化机制建立，基础保障与AI治理体系整合，政治性岗位扩张（形式就业制度化）。货币薪资人口维持身份锚点，供应票据人口处于叙事盲区（见4.12.2节双轨分配架构）。意义危机约2053年开始在制度缝隙中显现——不被命名，但真实存在。</w:t>
            </w:r>
          </w:p>
        </w:tc>
      </w:tr>
      <w:tr>
        <w:tc>
          <w:tcPr/>
          <w:p>
            <w:pPr>
              <w:pStyle w:val="Compact"/>
              <w:jc w:val="left"/>
            </w:pPr>
            <w:r>
              <w:rPr>
                <w:bCs/>
                <w:b/>
              </w:rPr>
              <w:t xml:space="preserve">2036—2055（L3过程）；完成节点约2052—2055年</w:t>
            </w:r>
          </w:p>
        </w:tc>
        <w:tc>
          <w:tcPr/>
          <w:p>
            <w:pPr>
              <w:pStyle w:val="Compact"/>
              <w:jc w:val="left"/>
            </w:pPr>
            <w:r>
              <w:rPr>
                <w:bCs/>
                <w:b/>
              </w:rPr>
              <w:t xml:space="preserve">A1体系L3：BSC建立与工时重组</w:t>
            </w:r>
            <w:r>
              <w:t xml:space="preserve"> </w:t>
            </w:r>
            <w:r>
              <w:t xml:space="preserve">资本收入税扩基立法（约2036—40，同期推动的自动化税专项立法政治叙事强但实际税收贡献有限），BSC体系约2052—55覆盖基本生存，工时标准从40→32→28→24小时逐步压缩（24小时标准2058—2065年最终确立）。BSC的建立是L3的物质标志，也触发L4最深层的意义危机：生存有保障后，</w:t>
            </w:r>
            <w:r>
              <w:t xml:space="preserve">“</w:t>
            </w:r>
            <w:r>
              <w:t xml:space="preserve">为什么存在</w:t>
            </w:r>
            <w:r>
              <w:t xml:space="preserve">”</w:t>
            </w:r>
            <w:r>
              <w:t xml:space="preserve">的问题再无经济必要性作为回答。育婴假延长、退休年龄下降、人生时间轴重组等社会制度的连锁重组在这一阶段展开（见4.8.3节）。</w:t>
            </w:r>
          </w:p>
        </w:tc>
      </w:tr>
      <w:tr>
        <w:tc>
          <w:tcPr/>
          <w:p>
            <w:pPr>
              <w:pStyle w:val="Compact"/>
              <w:jc w:val="left"/>
            </w:pPr>
            <w:r>
              <w:rPr>
                <w:bCs/>
                <w:b/>
              </w:rPr>
              <w:t xml:space="preserve">2038—59</w:t>
            </w:r>
          </w:p>
        </w:tc>
        <w:tc>
          <w:tcPr/>
          <w:p>
            <w:pPr>
              <w:pStyle w:val="Compact"/>
              <w:jc w:val="left"/>
            </w:pPr>
            <w:r>
              <w:rPr>
                <w:bCs/>
                <w:b/>
              </w:rPr>
              <w:t xml:space="preserve">欧洲与B1类L3完成：福利缓冲的双刃</w:t>
            </w:r>
            <w:r>
              <w:t xml:space="preserve"> </w:t>
            </w:r>
            <w:r>
              <w:t xml:space="preserve">完善的福利体系使裸露期痛苦低于A1，但意义危机来得更晚、更安静。制度保障了”被告知有价值”，但填不了”感受到被需要”的缺口。</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意义重构期：L4社会文化吸收（约2040—2072+）</w:t>
            </w:r>
          </w:p>
        </w:tc>
        <w:tc>
          <w:tcPr/>
          <w:p>
            <w:pPr>
              <w:pStyle w:val="Compact"/>
            </w:pPr>
          </w:p>
        </w:tc>
      </w:tr>
      <w:tr>
        <w:tc>
          <w:tcPr/>
          <w:p>
            <w:pPr>
              <w:pStyle w:val="Compact"/>
              <w:jc w:val="left"/>
            </w:pPr>
            <w:r>
              <w:rPr>
                <w:bCs/>
                <w:b/>
              </w:rPr>
              <w:t xml:space="preserve">2054起</w:t>
            </w:r>
          </w:p>
        </w:tc>
        <w:tc>
          <w:tcPr/>
          <w:p>
            <w:pPr>
              <w:pStyle w:val="Compact"/>
              <w:jc w:val="left"/>
            </w:pPr>
            <w:r>
              <w:rPr>
                <w:bCs/>
                <w:b/>
              </w:rPr>
              <w:t xml:space="preserve">中国L4：国家主导的意义框架</w:t>
            </w:r>
            <w:r>
              <w:t xml:space="preserve"> </w:t>
            </w:r>
            <w:r>
              <w:t xml:space="preserve">以聚变L1上线（2044年）为基准 + L4滞后10年 = 2054年起。意义框架由官方叙事填充：绩效竞争、社区贡献、文化传承。意义危机存在但不可见，稳定通过管理而非解决实现。</w:t>
            </w:r>
          </w:p>
        </w:tc>
      </w:tr>
      <w:tr>
        <w:tc>
          <w:tcPr/>
          <w:p>
            <w:pPr>
              <w:pStyle w:val="Compact"/>
              <w:jc w:val="left"/>
            </w:pPr>
            <w:r>
              <w:rPr>
                <w:bCs/>
                <w:b/>
              </w:rPr>
              <w:t xml:space="preserve">2059—66</w:t>
            </w:r>
          </w:p>
        </w:tc>
        <w:tc>
          <w:tcPr/>
          <w:p>
            <w:pPr>
              <w:pStyle w:val="Compact"/>
              <w:jc w:val="left"/>
            </w:pPr>
            <w:r>
              <w:rPr>
                <w:bCs/>
                <w:b/>
              </w:rPr>
              <w:t xml:space="preserve">A1/B1类L4：分散的意义重构</w:t>
            </w:r>
            <w:r>
              <w:t xml:space="preserve"> </w:t>
            </w:r>
            <w:r>
              <w:t xml:space="preserve">L3完成节点（美国约2052—55，欧洲约2056—59）+ L4滞后15—18年 = 2059—62（美国），2062—66（欧洲）。意义危机被公开命名，文化产业、哲学话语、宗教复兴、社区运动共同参与重建。</w:t>
            </w:r>
            <w:r>
              <w:t xml:space="preserve">“</w:t>
            </w:r>
            <w:r>
              <w:t xml:space="preserve">政策性就业</w:t>
            </w:r>
            <w:r>
              <w:t xml:space="preserve">”</w:t>
            </w:r>
            <w:r>
              <w:t xml:space="preserve">（4.7节）作为稀缺替代物，宗教和仪式（5.8节）作为无条件归属的来源，构成分散的意义重构生态。2072年这个过程仍在进行中。</w:t>
            </w:r>
          </w:p>
        </w:tc>
      </w:tr>
      <w:tr>
        <w:tc>
          <w:tcPr/>
          <w:p>
            <w:pPr>
              <w:pStyle w:val="Compact"/>
              <w:jc w:val="left"/>
            </w:pPr>
            <w:r>
              <w:rPr>
                <w:bCs/>
                <w:b/>
              </w:rPr>
              <w:t xml:space="preserve">2072</w:t>
            </w:r>
          </w:p>
        </w:tc>
        <w:tc>
          <w:tcPr/>
          <w:p>
            <w:pPr>
              <w:pStyle w:val="Compact"/>
              <w:jc w:val="left"/>
            </w:pPr>
            <w:r>
              <w:rPr>
                <w:bCs/>
                <w:b/>
              </w:rPr>
              <w:t xml:space="preserve">AI主线L4全景</w:t>
            </w:r>
            <w:r>
              <w:t xml:space="preserve"> </w:t>
            </w:r>
            <w:r>
              <w:t xml:space="preserve">中国：L1—L3完成，L4进行中（私人退缩为主要应对方式）。美国：L4深度进行中，意义危机可见可命名，解决方案分散。欧洲：L4启动较晚（2058年后），2072年意义危机开始浮出水面。全球南方：L1—L2进行中，L3刚起步。被遗忘地带：L1尚未完成，生存提供足够结构。</w:t>
            </w:r>
            <w:r>
              <w:rPr>
                <w:iCs/>
                <w:i/>
              </w:rPr>
              <w:t xml:space="preserve">核心发现：AI主线L4滞后系统性长于聚变（15—20年 vs 10—15年），因为意义重构依赖代际更替，不依赖物质条件改善。2072年没有任何路径完成AI冲击的L4吸收。</w:t>
            </w:r>
          </w:p>
        </w:tc>
      </w:tr>
    </w:tbl>
    <w:p>
      <w:pPr>
        <w:pStyle w:val="BodyText"/>
      </w:pPr>
      <w:r>
        <w:rPr>
          <w:bCs/>
          <w:b/>
        </w:rPr>
        <w:t xml:space="preserve">AI主轴的财政传导：从工资税崩塌到资本收入税替代</w:t>
      </w:r>
    </w:p>
    <w:p>
      <w:pPr>
        <w:pStyle w:val="BodyText"/>
      </w:pPr>
      <w:r>
        <w:t xml:space="preserve">AI替代对财政体系的影响构成一条独立的传导链：工资税税基随就业总量下降而系统性萎缩→工资税原为各国社会保险主要来源，税基萎缩使社保体系面临财政缺口→各国在L3阶段被迫将资本利得税、企业所得税、遗产税纳入新财政支柱。A1体系资本税的大幅调整（资本收入税占比系统性上升）是L3制度响应的核心组成部分，不是孤立政策选择；A2体系通过国有AI资本利润直接转化配给资金，绕过了税收立法争议。两种路径都在承认同一个现实：劳动不再是分配财富的充分依据，制度必须在L3阶段完成这个认知的政策转化（详见4.9节财政框架）。</w:t>
      </w:r>
    </w:p>
    <w:p>
      <w:pPr>
        <w:pStyle w:val="BodyText"/>
      </w:pPr>
      <w:r>
        <w:rPr>
          <w:bCs/>
          <w:b/>
        </w:rPr>
        <w:t xml:space="preserve">AI主轴的人口传导：新增人口从财政贡献者变为财政依赖人口</w:t>
      </w:r>
    </w:p>
    <w:p>
      <w:pPr>
        <w:pStyle w:val="BodyText"/>
      </w:pPr>
      <w:r>
        <w:t xml:space="preserve">工业时代人口经济逻辑建立在”新增人口→就业→工资税→支撑养老与公共支出”的传导链上。AI替代打断了这个链条的中间环节——新增人口进入劳动市场时，AI已占据了本应属于他们的岗位。结果是传统”鼓励生育以补充养老税基”的财政逻辑在AI时代失效，真正的养老危机不来自人口少了，而来自有产出的劳动人口比例太低（详见4.6节）。这个断裂同时重写了各国的移民需求结构：低技能移民的经济理由归零，移民筛选从”量”的逻辑转向”类型”的逻辑（技术积分制），各国政策在2030年代后向收紧端系统性漂移。</w:t>
      </w:r>
    </w:p>
    <w:bookmarkEnd w:id="55"/>
    <w:bookmarkStart w:id="59" w:name="聚变滞后量框架"/>
    <w:p>
      <w:pPr>
        <w:pStyle w:val="Heading2"/>
      </w:pPr>
      <w:r>
        <w:t xml:space="preserve">2.3　聚变滞后量框架</w:t>
      </w:r>
    </w:p>
    <w:p>
      <w:pPr>
        <w:pStyle w:val="FirstParagraph"/>
      </w:pPr>
      <w:r>
        <w:t xml:space="preserve">本节呈现聚变主轴的完整时序，以及它如何通过能源-物质丰度路径改变各类经济体的发展轨迹。聚变的明确阶段性使其时序可以被精确框定；其影响的不均等性则通过各类经济体的接入路径、资本结构和制度协商能力来差异化呈现。</w:t>
      </w:r>
    </w:p>
    <w:bookmarkStart w:id="56" w:name="聚变的l1l4时序"/>
    <w:p>
      <w:pPr>
        <w:pStyle w:val="Heading3"/>
      </w:pPr>
      <w:r>
        <w:t xml:space="preserve">2.3.1　聚变的L1—L4时序</w:t>
      </w:r>
    </w:p>
    <w:p>
      <w:pPr>
        <w:pStyle w:val="FirstParagraph"/>
      </w:pPr>
      <w:r>
        <w:rPr>
          <w:bCs/>
          <w:b/>
        </w:rPr>
        <w:t xml:space="preserve">技术突破（2037）→ L1电网上线（2044）→ L2生产体系渗透（各路径2049—2059）→ L3制度响应/配给体系成立（与L2高度重叠）→ L4文化吸收（2054—2064）</w:t>
      </w:r>
    </w:p>
    <w:p>
      <w:pPr>
        <w:pStyle w:val="BodyText"/>
      </w:pPr>
      <w:r>
        <w:rPr>
          <w:bCs/>
          <w:b/>
        </w:rPr>
        <w:t xml:space="preserve">L1（2044，电网上线）</w:t>
      </w:r>
      <w:r>
        <w:t xml:space="preserve">：技术可用，但LCOE约60—100美元/MWh，工业侧感受有限，居民侧几乎无感。物理上可及，经济上尚未产生大规模冲击。2044—2047年为产能爬坡期：首批商业堆数量有限，电网覆盖范围主要集中在城市核心区及算力基础设施，工业渗透滞后约3年（至2047年后第二、三座商业堆建成并形成规模效应）才开始系统性拉低工业电价。</w:t>
      </w:r>
    </w:p>
    <w:p>
      <w:pPr>
        <w:pStyle w:val="BodyText"/>
      </w:pPr>
      <w:r>
        <w:rPr>
          <w:bCs/>
          <w:b/>
        </w:rPr>
        <w:t xml:space="preserve">L2（各路径2049—2059，生产体系渗透）</w:t>
      </w:r>
      <w:r>
        <w:t xml:space="preserve">：LCOE降至约20—35美元/MWh，铝冶炼、合成氨、数据中心等高能耗行业成本结构被重写；合成食品、绿氢的经济可行性在这一阶段成立；深海采矿越过商业临界点。这是产业重组的主战场。各路径L2完成时间：中国2049、美国2051—52、欧洲2052—53（B1类），全球南方（C类）城市2055—2065，D/E类大幅滞后或不可及。</w:t>
      </w:r>
    </w:p>
    <w:p>
      <w:pPr>
        <w:pStyle w:val="BodyText"/>
      </w:pPr>
      <w:r>
        <w:rPr>
          <w:bCs/>
          <w:b/>
        </w:rPr>
        <w:t xml:space="preserve">L3（与L2高度重叠，2049—2059）</w:t>
      </w:r>
      <w:r>
        <w:t xml:space="preserve">：配给体系财政可行性成立是L3的核心节点——廉价能源使合成食品和大规模物资配给的边际成本趋于最小化，各路径陆续立法建立基础保障体系。中国L3：2049—52（无需协商）；美国L3：2052—54（竞争压力加速）；欧洲L3：2056—59（多国协商）。财政—货币—国际金融三套制度框架的建立时序与L3高度交叠（详见4.9—4.12节）。</w:t>
      </w:r>
    </w:p>
    <w:p>
      <w:pPr>
        <w:pStyle w:val="BodyText"/>
      </w:pPr>
      <w:r>
        <w:rPr>
          <w:bCs/>
          <w:b/>
        </w:rPr>
        <w:t xml:space="preserve">L4（2054—2064，文化吸收）</w:t>
      </w:r>
      <w:r>
        <w:t xml:space="preserve">：能源充裕从”新闻”变为”背景”。人们不再讨论电价，就像今天不讨论空气。AI关系系统从新奇变为背景，慢速移动从反常变为可理解的选择。中国L4：2044+10年 = 2054；美国L4：2044+15—18年 = 2059—62；欧洲L4：2044+18—20年 = 2062—64。</w:t>
      </w:r>
    </w:p>
    <w:p>
      <w:pPr>
        <w:pStyle w:val="BodyText"/>
      </w:pPr>
      <w:r>
        <w:rPr>
          <w:bCs/>
          <w:b/>
        </w:rPr>
        <w:t xml:space="preserve">聚变的结构性意义：改变物质生产的约束性质</w:t>
      </w:r>
    </w:p>
    <w:p>
      <w:pPr>
        <w:pStyle w:val="BodyText"/>
      </w:pPr>
      <w:r>
        <w:t xml:space="preserve">聚变的根本意义不在于”能源便宜了”，而在于改变了物质生产的约束性质。工业时代，能源是制约生产规模的稀缺要素，地理位置和资源禀赋决定了谁能工业化。2060年代之后，能源从”限制性约束”变为”背景性基础设施成本”（LCOE约8—15美元/MWh），竞争优势的来源转移到技术、资本和物流网络。这个转移使合成食品、海水淡化、垂直农业、城市矿山回收这些原本因能耗过高而受限的技术，在2055年后陆续越过经济可行临界点，全社会物资供给能力出现量级跃升——配给体系的财政可行性正是建立在这个丰度跃升之上。</w:t>
      </w:r>
    </w:p>
    <w:bookmarkEnd w:id="56"/>
    <w:bookmarkStart w:id="57" w:name="各类经济体的接入路径与滞后差异"/>
    <w:p>
      <w:pPr>
        <w:pStyle w:val="Heading3"/>
      </w:pPr>
      <w:r>
        <w:t xml:space="preserve">2.3.2　各类经济体的接入路径与滞后差异</w:t>
      </w:r>
    </w:p>
    <w:p>
      <w:pPr>
        <w:pStyle w:val="FirstParagraph"/>
      </w:pPr>
      <w:r>
        <w:t xml:space="preserve">聚变红利进入各经济体的路径（市场机制 vs 基础设施援助）决定了L1实际速度，快则提前1—3年，慢则延后5—10年。A1/B1类依赖企业投资回报预期，聚变LCOE须降至竞争临界点才能触发大规模投资；A2体系对C类输出通过政策性融资绑定政治依附，不依赖纯商业回报逻辑。这一差异解释了为何技术条件相近的经济体，实际接入时间可以相差10年以上。</w:t>
      </w:r>
    </w:p>
    <w:p>
      <w:pPr>
        <w:pStyle w:val="BodyText"/>
      </w:pPr>
      <w:r>
        <w:t xml:space="preserve">AI资本的高度集中使B1/B2/C类经济体L2滞后时间比基础设施条件预测更长——红利进入生产体系前已被体系核心截取一层。技术许可费、设备采购溢价、数据主权壁垒构成”红利漏斗”，使技术红利在从A1/A2核心流向边缘经济体的过程中，大部分价值在中间层被截留。</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类型</w:t>
            </w:r>
          </w:p>
        </w:tc>
        <w:tc>
          <w:tcPr/>
          <w:p>
            <w:pPr>
              <w:pStyle w:val="Compact"/>
              <w:jc w:val="left"/>
            </w:pPr>
            <w:r>
              <w:rPr>
                <w:bCs/>
                <w:b/>
              </w:rPr>
              <w:t xml:space="preserve">名称</w:t>
            </w:r>
          </w:p>
        </w:tc>
        <w:tc>
          <w:tcPr/>
          <w:p>
            <w:pPr>
              <w:pStyle w:val="Compact"/>
              <w:jc w:val="left"/>
            </w:pPr>
            <w:r>
              <w:rPr>
                <w:bCs/>
                <w:b/>
              </w:rPr>
              <w:t xml:space="preserve">聚变电力L1—L2</w:t>
            </w:r>
          </w:p>
        </w:tc>
        <w:tc>
          <w:tcPr/>
          <w:p>
            <w:pPr>
              <w:pStyle w:val="Compact"/>
              <w:jc w:val="left"/>
            </w:pPr>
            <w:r>
              <w:rPr>
                <w:bCs/>
                <w:b/>
              </w:rPr>
              <w:t xml:space="preserve">AI普及L1—L2</w:t>
            </w:r>
          </w:p>
        </w:tc>
        <w:tc>
          <w:tcPr/>
          <w:p>
            <w:pPr>
              <w:pStyle w:val="Compact"/>
              <w:jc w:val="left"/>
            </w:pPr>
            <w:r>
              <w:rPr>
                <w:bCs/>
                <w:b/>
              </w:rPr>
              <w:t xml:space="preserve">合成食品</w:t>
            </w:r>
          </w:p>
        </w:tc>
        <w:tc>
          <w:tcPr/>
          <w:p>
            <w:pPr>
              <w:pStyle w:val="Compact"/>
              <w:jc w:val="left"/>
            </w:pPr>
            <w:r>
              <w:rPr>
                <w:bCs/>
                <w:b/>
              </w:rPr>
              <w:t xml:space="preserve">滞后性质</w:t>
            </w:r>
          </w:p>
        </w:tc>
      </w:tr>
      <w:tr>
        <w:tc>
          <w:tcPr/>
          <w:p>
            <w:pPr>
              <w:pStyle w:val="Compact"/>
              <w:jc w:val="left"/>
            </w:pPr>
            <w:r>
              <w:t xml:space="preserve">A1</w:t>
            </w:r>
          </w:p>
        </w:tc>
        <w:tc>
          <w:tcPr/>
          <w:p>
            <w:pPr>
              <w:pStyle w:val="Compact"/>
              <w:jc w:val="left"/>
            </w:pPr>
            <w:r>
              <w:t xml:space="preserve">民主体系核心</w:t>
            </w:r>
          </w:p>
        </w:tc>
        <w:tc>
          <w:tcPr/>
          <w:p>
            <w:pPr>
              <w:pStyle w:val="Compact"/>
              <w:jc w:val="left"/>
            </w:pPr>
            <w:r>
              <w:t xml:space="preserve">2044—2055，内部分化显著</w:t>
            </w:r>
          </w:p>
        </w:tc>
        <w:tc>
          <w:tcPr/>
          <w:p>
            <w:pPr>
              <w:pStyle w:val="Compact"/>
              <w:jc w:val="left"/>
            </w:pPr>
            <w:r>
              <w:t xml:space="preserve">2040年代城市，被遗忘地带滞后15—20年</w:t>
            </w:r>
          </w:p>
        </w:tc>
        <w:tc>
          <w:tcPr/>
          <w:p>
            <w:pPr>
              <w:pStyle w:val="Compact"/>
              <w:jc w:val="left"/>
            </w:pPr>
            <w:r>
              <w:t xml:space="preserve">2040年代城市主流</w:t>
            </w:r>
          </w:p>
        </w:tc>
        <w:tc>
          <w:tcPr/>
          <w:p>
            <w:pPr>
              <w:pStyle w:val="Compact"/>
              <w:jc w:val="left"/>
            </w:pPr>
            <w:r>
              <w:t xml:space="preserve">可逆性为主，内部不均等有结构性成分</w:t>
            </w:r>
          </w:p>
        </w:tc>
      </w:tr>
      <w:tr>
        <w:tc>
          <w:tcPr/>
          <w:p>
            <w:pPr>
              <w:pStyle w:val="Compact"/>
              <w:jc w:val="left"/>
            </w:pPr>
            <w:r>
              <w:t xml:space="preserve">A2</w:t>
            </w:r>
          </w:p>
        </w:tc>
        <w:tc>
          <w:tcPr/>
          <w:p>
            <w:pPr>
              <w:pStyle w:val="Compact"/>
              <w:jc w:val="left"/>
            </w:pPr>
            <w:r>
              <w:t xml:space="preserve">威权体系核心</w:t>
            </w:r>
          </w:p>
        </w:tc>
        <w:tc>
          <w:tcPr/>
          <w:p>
            <w:pPr>
              <w:pStyle w:val="Compact"/>
              <w:jc w:val="left"/>
            </w:pPr>
            <w:r>
              <w:t xml:space="preserve">2044—2060，农村/西部滞后10—15年</w:t>
            </w:r>
          </w:p>
        </w:tc>
        <w:tc>
          <w:tcPr/>
          <w:p>
            <w:pPr>
              <w:pStyle w:val="Compact"/>
              <w:jc w:val="left"/>
            </w:pPr>
            <w:r>
              <w:t xml:space="preserve">2040年代城市，农村滞后8—12年</w:t>
            </w:r>
          </w:p>
        </w:tc>
        <w:tc>
          <w:tcPr/>
          <w:p>
            <w:pPr>
              <w:pStyle w:val="Compact"/>
              <w:jc w:val="left"/>
            </w:pPr>
            <w:r>
              <w:t xml:space="preserve">2040年代城市，农村依赖传统供应链</w:t>
            </w:r>
          </w:p>
        </w:tc>
        <w:tc>
          <w:tcPr/>
          <w:p>
            <w:pPr>
              <w:pStyle w:val="Compact"/>
              <w:jc w:val="left"/>
            </w:pPr>
            <w:r>
              <w:t xml:space="preserve">可逆性为主，政策可加速</w:t>
            </w:r>
          </w:p>
        </w:tc>
      </w:tr>
      <w:tr>
        <w:tc>
          <w:tcPr/>
          <w:p>
            <w:pPr>
              <w:pStyle w:val="Compact"/>
              <w:jc w:val="left"/>
            </w:pPr>
            <w:r>
              <w:t xml:space="preserve">B</w:t>
            </w:r>
          </w:p>
        </w:tc>
        <w:tc>
          <w:tcPr/>
          <w:p>
            <w:pPr>
              <w:pStyle w:val="Compact"/>
              <w:jc w:val="left"/>
            </w:pPr>
            <w:r>
              <w:t xml:space="preserve">西方跟随者</w:t>
            </w:r>
          </w:p>
        </w:tc>
        <w:tc>
          <w:tcPr/>
          <w:p>
            <w:pPr>
              <w:pStyle w:val="Compact"/>
              <w:jc w:val="left"/>
            </w:pPr>
            <w:r>
              <w:t xml:space="preserve">2050—2065，监管使周期+3—5年</w:t>
            </w:r>
          </w:p>
        </w:tc>
        <w:tc>
          <w:tcPr/>
          <w:p>
            <w:pPr>
              <w:pStyle w:val="Compact"/>
              <w:jc w:val="left"/>
            </w:pPr>
            <w:r>
              <w:t xml:space="preserve">接近A1，监管密度更高</w:t>
            </w:r>
          </w:p>
        </w:tc>
        <w:tc>
          <w:tcPr/>
          <w:p>
            <w:pPr>
              <w:pStyle w:val="Compact"/>
              <w:jc w:val="left"/>
            </w:pPr>
            <w:r>
              <w:t xml:space="preserve">约A1的60—70%速度</w:t>
            </w:r>
          </w:p>
        </w:tc>
        <w:tc>
          <w:tcPr/>
          <w:p>
            <w:pPr>
              <w:pStyle w:val="Compact"/>
              <w:jc w:val="left"/>
            </w:pPr>
            <w:r>
              <w:t xml:space="preserve">可逆性滞后，监管和资金是主要约束</w:t>
            </w:r>
          </w:p>
        </w:tc>
      </w:tr>
      <w:tr>
        <w:tc>
          <w:tcPr/>
          <w:p>
            <w:pPr>
              <w:pStyle w:val="Compact"/>
              <w:jc w:val="left"/>
            </w:pPr>
            <w:r>
              <w:t xml:space="preserve">C</w:t>
            </w:r>
          </w:p>
        </w:tc>
        <w:tc>
          <w:tcPr/>
          <w:p>
            <w:pPr>
              <w:pStyle w:val="Compact"/>
              <w:jc w:val="left"/>
            </w:pPr>
            <w:r>
              <w:t xml:space="preserve">威权整合者</w:t>
            </w:r>
          </w:p>
        </w:tc>
        <w:tc>
          <w:tcPr/>
          <w:p>
            <w:pPr>
              <w:pStyle w:val="Compact"/>
              <w:jc w:val="left"/>
            </w:pPr>
            <w:r>
              <w:t xml:space="preserve">主要城市2055—2065，农村2070+</w:t>
            </w:r>
          </w:p>
        </w:tc>
        <w:tc>
          <w:tcPr/>
          <w:p>
            <w:pPr>
              <w:pStyle w:val="Compact"/>
              <w:jc w:val="left"/>
            </w:pPr>
            <w:r>
              <w:t xml:space="preserve">城市2055+，农村基本未覆盖</w:t>
            </w:r>
          </w:p>
        </w:tc>
        <w:tc>
          <w:tcPr/>
          <w:p>
            <w:pPr>
              <w:pStyle w:val="Compact"/>
              <w:jc w:val="left"/>
            </w:pPr>
            <w:r>
              <w:t xml:space="preserve">极慢，本地投资能力不足</w:t>
            </w:r>
          </w:p>
        </w:tc>
        <w:tc>
          <w:tcPr/>
          <w:p>
            <w:pPr>
              <w:pStyle w:val="Compact"/>
              <w:jc w:val="left"/>
            </w:pPr>
            <w:r>
              <w:t xml:space="preserve">城市可逆，农村接近结构性</w:t>
            </w:r>
          </w:p>
        </w:tc>
      </w:tr>
      <w:tr>
        <w:tc>
          <w:tcPr/>
          <w:p>
            <w:pPr>
              <w:pStyle w:val="Compact"/>
              <w:jc w:val="left"/>
            </w:pPr>
            <w:r>
              <w:t xml:space="preserve">D（化石能源）</w:t>
            </w:r>
          </w:p>
        </w:tc>
        <w:tc>
          <w:tcPr/>
          <w:p>
            <w:pPr>
              <w:pStyle w:val="Compact"/>
              <w:jc w:val="left"/>
            </w:pPr>
            <w:r>
              <w:t xml:space="preserve">化石能源出口国</w:t>
            </w:r>
          </w:p>
        </w:tc>
        <w:tc>
          <w:tcPr/>
          <w:p>
            <w:pPr>
              <w:pStyle w:val="Compact"/>
              <w:jc w:val="left"/>
            </w:pPr>
            <w:r>
              <w:t xml:space="preserve">聚变冲击后资金萎缩，路径高度分化</w:t>
            </w:r>
          </w:p>
        </w:tc>
        <w:tc>
          <w:tcPr/>
          <w:p>
            <w:pPr>
              <w:pStyle w:val="Compact"/>
              <w:jc w:val="left"/>
            </w:pPr>
            <w:r>
              <w:t xml:space="preserve">制裁国靠A2，海湾国靠财富基金</w:t>
            </w:r>
          </w:p>
        </w:tc>
        <w:tc>
          <w:tcPr/>
          <w:p>
            <w:pPr>
              <w:pStyle w:val="Compact"/>
              <w:jc w:val="left"/>
            </w:pPr>
            <w:r>
              <w:t xml:space="preserve">城市中等，农村极慢</w:t>
            </w:r>
          </w:p>
        </w:tc>
        <w:tc>
          <w:tcPr/>
          <w:p>
            <w:pPr>
              <w:pStyle w:val="Compact"/>
              <w:jc w:val="left"/>
            </w:pPr>
            <w:r>
              <w:t xml:space="preserve">结构性为主，资金与技术同步缺失</w:t>
            </w:r>
          </w:p>
        </w:tc>
      </w:tr>
      <w:tr>
        <w:tc>
          <w:tcPr/>
          <w:p>
            <w:pPr>
              <w:pStyle w:val="Compact"/>
              <w:jc w:val="left"/>
            </w:pPr>
            <w:r>
              <w:t xml:space="preserve">D（矿产）</w:t>
            </w:r>
          </w:p>
        </w:tc>
        <w:tc>
          <w:tcPr/>
          <w:p>
            <w:pPr>
              <w:pStyle w:val="Compact"/>
              <w:jc w:val="left"/>
            </w:pPr>
            <w:r>
              <w:t xml:space="preserve">矿产资源国</w:t>
            </w:r>
          </w:p>
        </w:tc>
        <w:tc>
          <w:tcPr/>
          <w:p>
            <w:pPr>
              <w:pStyle w:val="Compact"/>
              <w:jc w:val="left"/>
            </w:pPr>
            <w:r>
              <w:t xml:space="preserve">外资带入采矿业，民用极低</w:t>
            </w:r>
          </w:p>
        </w:tc>
        <w:tc>
          <w:tcPr/>
          <w:p>
            <w:pPr>
              <w:pStyle w:val="Compact"/>
              <w:jc w:val="left"/>
            </w:pPr>
            <w:r>
              <w:t xml:space="preserve">采矿业外资驱动，民用接近于零</w:t>
            </w:r>
          </w:p>
        </w:tc>
        <w:tc>
          <w:tcPr/>
          <w:p>
            <w:pPr>
              <w:pStyle w:val="Compact"/>
              <w:jc w:val="left"/>
            </w:pPr>
            <w:r>
              <w:t xml:space="preserve">极慢</w:t>
            </w:r>
          </w:p>
        </w:tc>
        <w:tc>
          <w:tcPr/>
          <w:p>
            <w:pPr>
              <w:pStyle w:val="Compact"/>
              <w:jc w:val="left"/>
            </w:pPr>
            <w:r>
              <w:t xml:space="preserve">结构性，外资替换不惠及居民</w:t>
            </w:r>
          </w:p>
        </w:tc>
      </w:tr>
      <w:tr>
        <w:tc>
          <w:tcPr/>
          <w:p>
            <w:pPr>
              <w:pStyle w:val="Compact"/>
              <w:jc w:val="left"/>
            </w:pPr>
            <w:r>
              <w:t xml:space="preserve">E</w:t>
            </w:r>
          </w:p>
        </w:tc>
        <w:tc>
          <w:tcPr/>
          <w:p>
            <w:pPr>
              <w:pStyle w:val="Compact"/>
              <w:jc w:val="left"/>
            </w:pPr>
            <w:r>
              <w:t xml:space="preserve">农业出口国</w:t>
            </w:r>
          </w:p>
        </w:tc>
        <w:tc>
          <w:tcPr/>
          <w:p>
            <w:pPr>
              <w:pStyle w:val="Compact"/>
              <w:jc w:val="left"/>
            </w:pPr>
            <w:r>
              <w:t xml:space="preserve">中等，大城市2055—2065</w:t>
            </w:r>
          </w:p>
        </w:tc>
        <w:tc>
          <w:tcPr/>
          <w:p>
            <w:pPr>
              <w:pStyle w:val="Compact"/>
              <w:jc w:val="left"/>
            </w:pPr>
            <w:r>
              <w:t xml:space="preserve">大农场快，小农户慢</w:t>
            </w:r>
          </w:p>
        </w:tc>
        <w:tc>
          <w:tcPr/>
          <w:p>
            <w:pPr>
              <w:pStyle w:val="Compact"/>
              <w:jc w:val="left"/>
            </w:pPr>
            <w:r>
              <w:t xml:space="preserve">城市中等，农村极慢</w:t>
            </w:r>
          </w:p>
        </w:tc>
        <w:tc>
          <w:tcPr/>
          <w:p>
            <w:pPr>
              <w:pStyle w:val="Compact"/>
              <w:jc w:val="left"/>
            </w:pPr>
            <w:r>
              <w:t xml:space="preserve">城市可逆，农村结构性分化</w:t>
            </w:r>
          </w:p>
        </w:tc>
      </w:tr>
      <w:tr>
        <w:tc>
          <w:tcPr/>
          <w:p>
            <w:pPr>
              <w:pStyle w:val="Compact"/>
              <w:jc w:val="left"/>
            </w:pPr>
            <w:r>
              <w:t xml:space="preserve">F</w:t>
            </w:r>
          </w:p>
        </w:tc>
        <w:tc>
          <w:tcPr/>
          <w:p>
            <w:pPr>
              <w:pStyle w:val="Compact"/>
              <w:jc w:val="left"/>
            </w:pPr>
            <w:r>
              <w:t xml:space="preserve">制造业人口大国</w:t>
            </w:r>
          </w:p>
        </w:tc>
        <w:tc>
          <w:tcPr/>
          <w:p>
            <w:pPr>
              <w:pStyle w:val="Compact"/>
              <w:jc w:val="left"/>
            </w:pPr>
            <w:r>
              <w:t xml:space="preserve">大城市2060—2070</w:t>
            </w:r>
          </w:p>
        </w:tc>
        <w:tc>
          <w:tcPr/>
          <w:p>
            <w:pPr>
              <w:pStyle w:val="Compact"/>
              <w:jc w:val="left"/>
            </w:pPr>
            <w:r>
              <w:t xml:space="preserve">制造业被动替换，民用极慢</w:t>
            </w:r>
          </w:p>
        </w:tc>
        <w:tc>
          <w:tcPr/>
          <w:p>
            <w:pPr>
              <w:pStyle w:val="Compact"/>
              <w:jc w:val="left"/>
            </w:pPr>
            <w:r>
              <w:t xml:space="preserve">极慢</w:t>
            </w:r>
          </w:p>
        </w:tc>
        <w:tc>
          <w:tcPr/>
          <w:p>
            <w:pPr>
              <w:pStyle w:val="Compact"/>
              <w:jc w:val="left"/>
            </w:pPr>
            <w:r>
              <w:t xml:space="preserve">制造业被动结构性替换，民用可逆但资金不足</w:t>
            </w:r>
          </w:p>
        </w:tc>
      </w:tr>
      <w:tr>
        <w:tc>
          <w:tcPr/>
          <w:p>
            <w:pPr>
              <w:pStyle w:val="Compact"/>
              <w:jc w:val="left"/>
            </w:pPr>
            <w:r>
              <w:t xml:space="preserve">G</w:t>
            </w:r>
          </w:p>
        </w:tc>
        <w:tc>
          <w:tcPr/>
          <w:p>
            <w:pPr>
              <w:pStyle w:val="Compact"/>
              <w:jc w:val="left"/>
            </w:pPr>
            <w:r>
              <w:t xml:space="preserve">摇摆自主体</w:t>
            </w:r>
          </w:p>
        </w:tc>
        <w:tc>
          <w:tcPr/>
          <w:p>
            <w:pPr>
              <w:pStyle w:val="Compact"/>
              <w:jc w:val="left"/>
            </w:pPr>
            <w:r>
              <w:t xml:space="preserve">印度大城市2055—2065，农村2075+</w:t>
            </w:r>
          </w:p>
        </w:tc>
        <w:tc>
          <w:tcPr/>
          <w:p>
            <w:pPr>
              <w:pStyle w:val="Compact"/>
              <w:jc w:val="left"/>
            </w:pPr>
            <w:r>
              <w:t xml:space="preserve">精英层接近A1，底层滞后25—30年</w:t>
            </w:r>
          </w:p>
        </w:tc>
        <w:tc>
          <w:tcPr/>
          <w:p>
            <w:pPr>
              <w:pStyle w:val="Compact"/>
              <w:jc w:val="left"/>
            </w:pPr>
            <w:r>
              <w:t xml:space="preserve">大城市中等</w:t>
            </w:r>
          </w:p>
        </w:tc>
        <w:tc>
          <w:tcPr/>
          <w:p>
            <w:pPr>
              <w:pStyle w:val="Compact"/>
              <w:jc w:val="left"/>
            </w:pPr>
            <w:r>
              <w:t xml:space="preserve">极度内部分化，精英层可逆，底层结构性</w:t>
            </w:r>
          </w:p>
        </w:tc>
      </w:tr>
      <w:tr>
        <w:tc>
          <w:tcPr/>
          <w:p>
            <w:pPr>
              <w:pStyle w:val="Compact"/>
              <w:jc w:val="left"/>
            </w:pPr>
            <w:r>
              <w:t xml:space="preserve">H</w:t>
            </w:r>
          </w:p>
        </w:tc>
        <w:tc>
          <w:tcPr/>
          <w:p>
            <w:pPr>
              <w:pStyle w:val="Compact"/>
              <w:jc w:val="left"/>
            </w:pPr>
            <w:r>
              <w:t xml:space="preserve">城邦整合者</w:t>
            </w:r>
          </w:p>
        </w:tc>
        <w:tc>
          <w:tcPr/>
          <w:p>
            <w:pPr>
              <w:pStyle w:val="Compact"/>
              <w:jc w:val="left"/>
            </w:pPr>
            <w:r>
              <w:t xml:space="preserve">2048—2055，接近完全</w:t>
            </w:r>
          </w:p>
        </w:tc>
        <w:tc>
          <w:tcPr/>
          <w:p>
            <w:pPr>
              <w:pStyle w:val="Compact"/>
              <w:jc w:val="left"/>
            </w:pPr>
            <w:r>
              <w:t xml:space="preserve">接近完全</w:t>
            </w:r>
          </w:p>
        </w:tc>
        <w:tc>
          <w:tcPr/>
          <w:p>
            <w:pPr>
              <w:pStyle w:val="Compact"/>
              <w:jc w:val="left"/>
            </w:pPr>
            <w:r>
              <w:t xml:space="preserve">接近完全</w:t>
            </w:r>
          </w:p>
        </w:tc>
        <w:tc>
          <w:tcPr/>
          <w:p>
            <w:pPr>
              <w:pStyle w:val="Compact"/>
              <w:jc w:val="left"/>
            </w:pPr>
            <w:r>
              <w:t xml:space="preserve">可逆性为主，外籍劳工是内部结构性滞后</w:t>
            </w:r>
          </w:p>
        </w:tc>
      </w:tr>
      <w:tr>
        <w:tc>
          <w:tcPr/>
          <w:p>
            <w:pPr>
              <w:pStyle w:val="Compact"/>
              <w:jc w:val="left"/>
            </w:pPr>
            <w:r>
              <w:t xml:space="preserve">I</w:t>
            </w:r>
          </w:p>
        </w:tc>
        <w:tc>
          <w:tcPr/>
          <w:p>
            <w:pPr>
              <w:pStyle w:val="Compact"/>
              <w:jc w:val="left"/>
            </w:pPr>
            <w:r>
              <w:t xml:space="preserve">边缘脱嵌</w:t>
            </w:r>
          </w:p>
        </w:tc>
        <w:tc>
          <w:tcPr/>
          <w:p>
            <w:pPr>
              <w:pStyle w:val="Compact"/>
              <w:jc w:val="left"/>
            </w:pPr>
            <w:r>
              <w:t xml:space="preserve">基本不可及</w:t>
            </w:r>
          </w:p>
        </w:tc>
        <w:tc>
          <w:tcPr/>
          <w:p>
            <w:pPr>
              <w:pStyle w:val="Compact"/>
              <w:jc w:val="left"/>
            </w:pPr>
            <w:r>
              <w:t xml:space="preserve">基本不可及</w:t>
            </w:r>
          </w:p>
        </w:tc>
        <w:tc>
          <w:tcPr/>
          <w:p>
            <w:pPr>
              <w:pStyle w:val="Compact"/>
              <w:jc w:val="left"/>
            </w:pPr>
            <w:r>
              <w:t xml:space="preserve">基本不可及</w:t>
            </w:r>
          </w:p>
        </w:tc>
        <w:tc>
          <w:tcPr/>
          <w:p>
            <w:pPr>
              <w:pStyle w:val="Compact"/>
              <w:jc w:val="left"/>
            </w:pPr>
            <w:r>
              <w:t xml:space="preserve">结构性，不是时间问题而是体系问题</w:t>
            </w:r>
          </w:p>
        </w:tc>
      </w:tr>
    </w:tbl>
    <w:p>
      <w:pPr>
        <w:pStyle w:val="BodyText"/>
      </w:pPr>
      <w:r>
        <w:rPr>
          <w:bCs/>
          <w:b/>
        </w:rPr>
        <w:t xml:space="preserve">内部分化是独立维度。</w:t>
      </w:r>
      <w:r>
        <w:t xml:space="preserve">同一类型经济体内部的分化幅度，有时比类型间差异更大。A1的”被遗忘地带”与科技城市之间的差距，可能超过B1类与B2类之间的差距。C类印度内部班加罗尔与比哈尔邦农村之间的差距，是世界上技术分化最极端的案例之一。内部分化是多态社会在单一国家内部的缩影。</w:t>
      </w:r>
    </w:p>
    <w:bookmarkEnd w:id="57"/>
    <w:bookmarkStart w:id="58" w:name="聚变的经济传导机制"/>
    <w:p>
      <w:pPr>
        <w:pStyle w:val="Heading3"/>
      </w:pPr>
      <w:r>
        <w:t xml:space="preserve">2.3.3　聚变的经济传导机制</w:t>
      </w:r>
    </w:p>
    <w:p>
      <w:pPr>
        <w:pStyle w:val="FirstParagraph"/>
      </w:pPr>
      <w:r>
        <w:t xml:space="preserve">制度协商能力是L3速度的核心决定变量。A2体系无需政治协商的优势体现为约3—5年的L3加速——国有资本利润可以直接转化为配给扩张；A1体系的民主协商过程延长L3约2—3年，但结果有更高的制度正当性，不会因政权更迭而骤然逆转；欧洲居中，历史上更成熟的福利体系使政治阻力低于A1。制造业主导型经济体和E类的L3延迟超过15年，根本原因不是协商成本高，而是根本没有可分配的经济红利——没有红利就没有制度建设的物质基础。</w:t>
      </w:r>
    </w:p>
    <w:p>
      <w:pPr>
        <w:pStyle w:val="BodyText"/>
      </w:pPr>
      <w:r>
        <w:t xml:space="preserve">非正式经济在L1和L2的部分传导上有缓冲效应，但对L3（制度响应）和L4（文化吸收）几乎没有加速作用，因为后两者依赖国家能力和代际更替，不是市场渗透。</w:t>
      </w:r>
    </w:p>
    <w:bookmarkEnd w:id="58"/>
    <w:bookmarkEnd w:id="59"/>
    <w:bookmarkStart w:id="60" w:name="聚变主线的社会时序"/>
    <w:p>
      <w:pPr>
        <w:pStyle w:val="Heading2"/>
      </w:pPr>
      <w:r>
        <w:t xml:space="preserve">2.4　聚变主线的社会时序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红利前沿：中国先行（L1+L2，约2049—2055）</w:t>
            </w:r>
          </w:p>
        </w:tc>
        <w:tc>
          <w:tcPr/>
          <w:p>
            <w:pPr>
              <w:pStyle w:val="Compact"/>
            </w:pPr>
          </w:p>
        </w:tc>
      </w:tr>
      <w:tr>
        <w:tc>
          <w:tcPr/>
          <w:p>
            <w:pPr>
              <w:pStyle w:val="Compact"/>
              <w:jc w:val="left"/>
            </w:pPr>
            <w:r>
              <w:rPr>
                <w:bCs/>
                <w:b/>
              </w:rPr>
              <w:t xml:space="preserve">2049—51</w:t>
            </w:r>
          </w:p>
        </w:tc>
        <w:tc>
          <w:tcPr/>
          <w:p>
            <w:pPr>
              <w:pStyle w:val="Compact"/>
              <w:jc w:val="left"/>
            </w:pPr>
            <w:r>
              <w:rPr>
                <w:bCs/>
                <w:b/>
              </w:rPr>
              <w:t xml:space="preserve">中国生产体系聚变渗透完成</w:t>
            </w:r>
            <w:r>
              <w:t xml:space="preserve"> </w:t>
            </w:r>
            <w:r>
              <w:t xml:space="preserve">2044电网上线 + L2滞后5年。城市集群核心层最先受益，与美国差距约1—2年。制造业成本压缩，工业品价格下降开始向消费端传导，但红利仍集中在工业侧，普通居民感受有限。</w:t>
            </w:r>
            <w:r>
              <w:rPr>
                <w:iCs/>
                <w:i/>
              </w:rPr>
              <w:t xml:space="preserve">个体感受：「能源便宜了，工厂电费降了。但我的工资没涨，东西也没便宜多少。变化是有的，只是不在我这里。」</w:t>
            </w:r>
          </w:p>
        </w:tc>
      </w:tr>
      <w:tr>
        <w:tc>
          <w:tcPr/>
          <w:p>
            <w:pPr>
              <w:pStyle w:val="Compact"/>
              <w:jc w:val="left"/>
            </w:pPr>
            <w:r>
              <w:rPr>
                <w:bCs/>
                <w:b/>
              </w:rPr>
              <w:t xml:space="preserve">2049—52</w:t>
            </w:r>
          </w:p>
        </w:tc>
        <w:tc>
          <w:tcPr/>
          <w:p>
            <w:pPr>
              <w:pStyle w:val="Compact"/>
              <w:jc w:val="left"/>
            </w:pPr>
            <w:r>
              <w:rPr>
                <w:bCs/>
                <w:b/>
              </w:rPr>
              <w:t xml:space="preserve">中国制度响应：基础保障体系成形</w:t>
            </w:r>
            <w:r>
              <w:t xml:space="preserve"> </w:t>
            </w:r>
            <w:r>
              <w:t xml:space="preserve">2044电网 + L3滞后5—8年（中国无需协商）。国有AI资本利润配给化机制扩大覆盖，全民基础保障与AI治理体系整合，形式就业制度化。</w:t>
            </w:r>
            <w:r>
              <w:rPr>
                <w:iCs/>
                <w:i/>
              </w:rPr>
              <w:t xml:space="preserve">意义危机首次出现：物质生活可见改善，生存压力系统性降低，但「被需要的感觉」消失。约2053年为临界点。</w:t>
            </w:r>
          </w:p>
        </w:tc>
      </w:tr>
      <w:tr>
        <w:tc>
          <w:tcPr/>
          <w:p>
            <w:pPr>
              <w:pStyle w:val="Compact"/>
              <w:jc w:val="left"/>
            </w:pPr>
            <w:r>
              <w:rPr>
                <w:bCs/>
                <w:b/>
              </w:rPr>
              <w:t xml:space="preserve">红利扩散：美欧跟进（L1+L2+L3，约2051—2062）</w:t>
            </w:r>
          </w:p>
        </w:tc>
        <w:tc>
          <w:tcPr/>
          <w:p>
            <w:pPr>
              <w:pStyle w:val="Compact"/>
            </w:pPr>
          </w:p>
        </w:tc>
      </w:tr>
      <w:tr>
        <w:tc>
          <w:tcPr/>
          <w:p>
            <w:pPr>
              <w:pStyle w:val="Compact"/>
              <w:jc w:val="left"/>
            </w:pPr>
            <w:r>
              <w:rPr>
                <w:bCs/>
                <w:b/>
              </w:rPr>
              <w:t xml:space="preserve">2051—53</w:t>
            </w:r>
          </w:p>
        </w:tc>
        <w:tc>
          <w:tcPr/>
          <w:p>
            <w:pPr>
              <w:pStyle w:val="Compact"/>
              <w:jc w:val="left"/>
            </w:pPr>
            <w:r>
              <w:rPr>
                <w:bCs/>
                <w:b/>
              </w:rPr>
              <w:t xml:space="preserve">美国/欧洲生产体系聚变渗透</w:t>
            </w:r>
            <w:r>
              <w:t xml:space="preserve"> </w:t>
            </w:r>
            <w:r>
              <w:t xml:space="preserve">美国：2044+7—8年 = 2051—52。欧洲：2044+8—9年 = 2052—53，协作推进，分配相对均衡。</w:t>
            </w:r>
            <w:r>
              <w:rPr>
                <w:iCs/>
                <w:i/>
              </w:rPr>
              <w:t xml:space="preserve">个体感受：「能源真的便宜了。但便宜省下来的钱，感觉不在自己口袋里。」</w:t>
            </w:r>
          </w:p>
        </w:tc>
      </w:tr>
      <w:tr>
        <w:tc>
          <w:tcPr/>
          <w:p>
            <w:pPr>
              <w:pStyle w:val="Compact"/>
              <w:jc w:val="left"/>
            </w:pPr>
            <w:r>
              <w:rPr>
                <w:bCs/>
                <w:b/>
              </w:rPr>
              <w:t xml:space="preserve">2052—59</w:t>
            </w:r>
          </w:p>
        </w:tc>
        <w:tc>
          <w:tcPr/>
          <w:p>
            <w:pPr>
              <w:pStyle w:val="Compact"/>
              <w:jc w:val="left"/>
            </w:pPr>
            <w:r>
              <w:rPr>
                <w:bCs/>
                <w:b/>
              </w:rPr>
              <w:t xml:space="preserve">美欧制度响应完成</w:t>
            </w:r>
            <w:r>
              <w:t xml:space="preserve"> </w:t>
            </w:r>
            <w:r>
              <w:t xml:space="preserve">美国：2044+8—10年 = 2052—54（竞争压力加速）。欧洲：2044+12—15年 = 2056—59（多国协商）。意义危机在西方浮出水面——这次有名字，因为西方文化更擅长命名问题。</w:t>
            </w:r>
            <w:r>
              <w:rPr>
                <w:iCs/>
                <w:i/>
              </w:rPr>
              <w:t xml:space="preserve">个体感受：「不需要为生存发愁了。但早上醒来，不知道今天的意义是什么。这个问题以前被生存压力盖住了。」</w:t>
            </w:r>
          </w:p>
        </w:tc>
      </w:tr>
      <w:tr>
        <w:tc>
          <w:tcPr/>
          <w:p>
            <w:pPr>
              <w:pStyle w:val="Compact"/>
              <w:jc w:val="left"/>
            </w:pPr>
            <w:r>
              <w:rPr>
                <w:bCs/>
                <w:b/>
              </w:rPr>
              <w:t xml:space="preserve">社会文化吸收与多态稳定（L4，约2054—2076）</w:t>
            </w:r>
          </w:p>
        </w:tc>
        <w:tc>
          <w:tcPr/>
          <w:p>
            <w:pPr>
              <w:pStyle w:val="Compact"/>
            </w:pPr>
          </w:p>
        </w:tc>
      </w:tr>
      <w:tr>
        <w:tc>
          <w:tcPr/>
          <w:p>
            <w:pPr>
              <w:pStyle w:val="Compact"/>
              <w:jc w:val="left"/>
            </w:pPr>
            <w:r>
              <w:rPr>
                <w:bCs/>
                <w:b/>
              </w:rPr>
              <w:t xml:space="preserve">2054—68</w:t>
            </w:r>
          </w:p>
        </w:tc>
        <w:tc>
          <w:tcPr/>
          <w:p>
            <w:pPr>
              <w:pStyle w:val="Compact"/>
              <w:jc w:val="left"/>
            </w:pPr>
            <w:r>
              <w:rPr>
                <w:bCs/>
                <w:b/>
              </w:rPr>
              <w:t xml:space="preserve">文化层面开始吸收技术充裕</w:t>
            </w:r>
            <w:r>
              <w:t xml:space="preserve"> </w:t>
            </w:r>
            <w:r>
              <w:t xml:space="preserve">中国L4：2044+10年 = 2054（国家塑造加速）。美国L4：2059—62。欧洲L4：2062—64。AI关系系统从新奇变为背景，慢速移动从反常变为可理解的选择。</w:t>
            </w:r>
          </w:p>
        </w:tc>
      </w:tr>
      <w:tr>
        <w:tc>
          <w:tcPr/>
          <w:p>
            <w:pPr>
              <w:pStyle w:val="Compact"/>
              <w:jc w:val="left"/>
            </w:pPr>
            <w:r>
              <w:rPr>
                <w:bCs/>
                <w:b/>
              </w:rPr>
              <w:t xml:space="preserve">2072</w:t>
            </w:r>
          </w:p>
        </w:tc>
        <w:tc>
          <w:tcPr/>
          <w:p>
            <w:pPr>
              <w:pStyle w:val="Compact"/>
              <w:jc w:val="left"/>
            </w:pPr>
            <w:r>
              <w:rPr>
                <w:bCs/>
                <w:b/>
              </w:rPr>
              <w:t xml:space="preserve">故事节点：各路径滞后消化进度不一</w:t>
            </w:r>
            <w:r>
              <w:t xml:space="preserve"> </w:t>
            </w:r>
            <w:r>
              <w:t xml:space="preserve">中国：L1—L3完成，L4进行中（共处型稳态，意义危机沉淀近二十年）。美国：L4深度进行中，多态生活方式格局已定。欧洲：L4启动中。全球南方（中国体系）：L1—L2完成，L3进行中。被遗忘地带：仍在L1之前。</w:t>
            </w:r>
            <w:r>
              <w:rPr>
                <w:iCs/>
                <w:i/>
              </w:rPr>
              <w:t xml:space="preserve">核心发现：2072年不同路径处于完全不同的滞后消化阶段——这本身就是多态社会最具体的物质呈现，也是多态社会形成的结构性内因之一。</w:t>
            </w:r>
          </w:p>
        </w:tc>
      </w:tr>
    </w:tbl>
    <w:p>
      <w:pPr>
        <w:pStyle w:val="BodyText"/>
      </w:pPr>
      <w:r>
        <w:t xml:space="preserve">财政—货币—国际金融三套制度框架的建立时序与上表高度交叠：配给体系财政可行性成立（约2052—2055年）是L3制度响应的物质前提，双锚协议等货币协调机制是L3的制度产物，国际金融体系的再平衡贯穿L2至L4全程。详见第四部分4.9—4.12节。</w:t>
      </w:r>
    </w:p>
    <w:bookmarkEnd w:id="60"/>
    <w:bookmarkStart w:id="61" w:name="双主线总时序与关键交汇点"/>
    <w:p>
      <w:pPr>
        <w:pStyle w:val="Heading2"/>
      </w:pPr>
      <w:r>
        <w:t xml:space="preserve">2.5　双主线总时序与关键交汇点</w:t>
      </w:r>
    </w:p>
    <w:p>
      <w:pPr>
        <w:pStyle w:val="FirstParagraph"/>
      </w:pPr>
      <w:r>
        <w:t xml:space="preserve">两条主线的时序在2027—2072年间存在复杂的叠加关系。下表整合两条主线的关键节点，揭示它们在哪些时间窗口相互强化、在哪些节点上各路径命运被锁定。</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年份</w:t>
            </w:r>
          </w:p>
        </w:tc>
        <w:tc>
          <w:tcPr/>
          <w:p>
            <w:pPr>
              <w:pStyle w:val="Compact"/>
              <w:jc w:val="left"/>
            </w:pPr>
            <w:r>
              <w:rPr>
                <w:bCs/>
                <w:b/>
              </w:rPr>
              <w:t xml:space="preserve">AI主轴</w:t>
            </w:r>
          </w:p>
        </w:tc>
        <w:tc>
          <w:tcPr/>
          <w:p>
            <w:pPr>
              <w:pStyle w:val="Compact"/>
              <w:jc w:val="left"/>
            </w:pPr>
            <w:r>
              <w:rPr>
                <w:bCs/>
                <w:b/>
              </w:rPr>
              <w:t xml:space="preserve">聚变主轴</w:t>
            </w:r>
          </w:p>
        </w:tc>
        <w:tc>
          <w:tcPr/>
          <w:p>
            <w:pPr>
              <w:pStyle w:val="Compact"/>
              <w:jc w:val="left"/>
            </w:pPr>
            <w:r>
              <w:rPr>
                <w:bCs/>
                <w:b/>
              </w:rPr>
              <w:t xml:space="preserve">交汇含义</w:t>
            </w:r>
          </w:p>
        </w:tc>
      </w:tr>
      <w:tr>
        <w:tc>
          <w:tcPr/>
          <w:p>
            <w:pPr>
              <w:pStyle w:val="Compact"/>
              <w:jc w:val="left"/>
            </w:pPr>
            <w:r>
              <w:t xml:space="preserve">2027</w:t>
            </w:r>
          </w:p>
        </w:tc>
        <w:tc>
          <w:tcPr/>
          <w:p>
            <w:pPr>
              <w:pStyle w:val="Compact"/>
              <w:jc w:val="left"/>
            </w:pPr>
            <w:r>
              <w:t xml:space="preserve">AGI临界：就业替代系统性开始</w:t>
            </w:r>
          </w:p>
        </w:tc>
        <w:tc>
          <w:tcPr/>
          <w:p>
            <w:pPr>
              <w:pStyle w:val="Compact"/>
              <w:jc w:val="left"/>
            </w:pPr>
            <w:r>
              <w:t xml:space="preserve">聚变研发加速期</w:t>
            </w:r>
          </w:p>
        </w:tc>
        <w:tc>
          <w:tcPr/>
          <w:p>
            <w:pPr>
              <w:pStyle w:val="Compact"/>
              <w:jc w:val="left"/>
            </w:pPr>
            <w:r>
              <w:t xml:space="preserve">AI冲击早于聚变，裸露期开始</w:t>
            </w:r>
          </w:p>
        </w:tc>
      </w:tr>
      <w:tr>
        <w:tc>
          <w:tcPr/>
          <w:p>
            <w:pPr>
              <w:pStyle w:val="Compact"/>
              <w:jc w:val="left"/>
            </w:pPr>
            <w:r>
              <w:t xml:space="preserve">2030—35</w:t>
            </w:r>
          </w:p>
        </w:tc>
        <w:tc>
          <w:tcPr/>
          <w:p>
            <w:pPr>
              <w:pStyle w:val="Compact"/>
              <w:jc w:val="left"/>
            </w:pPr>
            <w:r>
              <w:t xml:space="preserve">中国L2：形式就业大规模出现</w:t>
            </w:r>
          </w:p>
        </w:tc>
        <w:tc>
          <w:tcPr/>
          <w:p>
            <w:pPr>
              <w:pStyle w:val="Compact"/>
              <w:jc w:val="left"/>
            </w:pPr>
            <w:r>
              <w:t xml:space="preserve">—</w:t>
            </w:r>
          </w:p>
        </w:tc>
        <w:tc>
          <w:tcPr/>
          <w:p>
            <w:pPr>
              <w:pStyle w:val="Compact"/>
              <w:jc w:val="left"/>
            </w:pPr>
            <w:r>
              <w:t xml:space="preserve">中国裸露期最短，国家缓冲介入</w:t>
            </w:r>
          </w:p>
        </w:tc>
      </w:tr>
      <w:tr>
        <w:tc>
          <w:tcPr/>
          <w:p>
            <w:pPr>
              <w:pStyle w:val="Compact"/>
              <w:jc w:val="left"/>
            </w:pPr>
            <w:r>
              <w:t xml:space="preserve">2031—40</w:t>
            </w:r>
          </w:p>
        </w:tc>
        <w:tc>
          <w:tcPr/>
          <w:p>
            <w:pPr>
              <w:pStyle w:val="Compact"/>
              <w:jc w:val="left"/>
            </w:pPr>
            <w:r>
              <w:t xml:space="preserve">美欧L2裸露期：最脆弱窗口</w:t>
            </w:r>
          </w:p>
        </w:tc>
        <w:tc>
          <w:tcPr/>
          <w:p>
            <w:pPr>
              <w:pStyle w:val="Compact"/>
              <w:jc w:val="left"/>
            </w:pPr>
            <w:r>
              <w:t xml:space="preserve">—</w:t>
            </w:r>
          </w:p>
        </w:tc>
        <w:tc>
          <w:tcPr/>
          <w:p>
            <w:pPr>
              <w:pStyle w:val="Compact"/>
              <w:jc w:val="left"/>
            </w:pPr>
            <w:r>
              <w:t xml:space="preserve">动荡期政治极化的主要经济驱动</w:t>
            </w:r>
          </w:p>
        </w:tc>
      </w:tr>
      <w:tr>
        <w:tc>
          <w:tcPr/>
          <w:p>
            <w:pPr>
              <w:pStyle w:val="Compact"/>
              <w:jc w:val="left"/>
            </w:pPr>
            <w:r>
              <w:t xml:space="preserve">2033—38</w:t>
            </w:r>
          </w:p>
        </w:tc>
        <w:tc>
          <w:tcPr/>
          <w:p>
            <w:pPr>
              <w:pStyle w:val="Compact"/>
              <w:jc w:val="left"/>
            </w:pPr>
            <w:r>
              <w:t xml:space="preserve">中国L3开始：AI资本利润配给化/基础保障</w:t>
            </w:r>
          </w:p>
        </w:tc>
        <w:tc>
          <w:tcPr/>
          <w:p>
            <w:pPr>
              <w:pStyle w:val="Compact"/>
              <w:jc w:val="left"/>
            </w:pPr>
            <w:r>
              <w:t xml:space="preserve">—</w:t>
            </w:r>
          </w:p>
        </w:tc>
        <w:tc>
          <w:tcPr/>
          <w:p>
            <w:pPr>
              <w:pStyle w:val="Compact"/>
              <w:jc w:val="left"/>
            </w:pPr>
            <w:r>
              <w:t xml:space="preserve">制度响应先于聚变物质兜底到来</w:t>
            </w:r>
          </w:p>
        </w:tc>
      </w:tr>
      <w:tr>
        <w:tc>
          <w:tcPr/>
          <w:p>
            <w:pPr>
              <w:pStyle w:val="Compact"/>
              <w:jc w:val="left"/>
            </w:pPr>
            <w:r>
              <w:t xml:space="preserve">2037</w:t>
            </w:r>
          </w:p>
        </w:tc>
        <w:tc>
          <w:tcPr/>
          <w:p>
            <w:pPr>
              <w:pStyle w:val="Compact"/>
              <w:jc w:val="left"/>
            </w:pPr>
            <w:r>
              <w:t xml:space="preserve">—</w:t>
            </w:r>
          </w:p>
        </w:tc>
        <w:tc>
          <w:tcPr/>
          <w:p>
            <w:pPr>
              <w:pStyle w:val="Compact"/>
              <w:jc w:val="left"/>
            </w:pPr>
            <w:r>
              <w:t xml:space="preserve">聚变净能量突破</w:t>
            </w:r>
          </w:p>
        </w:tc>
        <w:tc>
          <w:tcPr/>
          <w:p>
            <w:pPr>
              <w:pStyle w:val="Compact"/>
              <w:jc w:val="left"/>
            </w:pPr>
            <w:r>
              <w:t xml:space="preserve">物质兜底的技术前提建立</w:t>
            </w:r>
          </w:p>
        </w:tc>
      </w:tr>
      <w:tr>
        <w:tc>
          <w:tcPr/>
          <w:p>
            <w:pPr>
              <w:pStyle w:val="Compact"/>
              <w:jc w:val="left"/>
            </w:pPr>
            <w:r>
              <w:t xml:space="preserve">2036—40</w:t>
            </w:r>
          </w:p>
        </w:tc>
        <w:tc>
          <w:tcPr/>
          <w:p>
            <w:pPr>
              <w:pStyle w:val="Compact"/>
              <w:jc w:val="left"/>
            </w:pPr>
            <w:r>
              <w:t xml:space="preserve">美国L3：基本保障立法</w:t>
            </w:r>
          </w:p>
        </w:tc>
        <w:tc>
          <w:tcPr/>
          <w:p>
            <w:pPr>
              <w:pStyle w:val="Compact"/>
              <w:jc w:val="left"/>
            </w:pPr>
            <w:r>
              <w:t xml:space="preserve">—</w:t>
            </w:r>
          </w:p>
        </w:tc>
        <w:tc>
          <w:tcPr/>
          <w:p>
            <w:pPr>
              <w:pStyle w:val="Compact"/>
              <w:jc w:val="left"/>
            </w:pPr>
            <w:r>
              <w:t xml:space="preserve">与聚变部署预期叠加，加速立法</w:t>
            </w:r>
          </w:p>
        </w:tc>
      </w:tr>
      <w:tr>
        <w:tc>
          <w:tcPr/>
          <w:p>
            <w:pPr>
              <w:pStyle w:val="Compact"/>
              <w:jc w:val="left"/>
            </w:pPr>
            <w:r>
              <w:t xml:space="preserve">2044</w:t>
            </w:r>
          </w:p>
        </w:tc>
        <w:tc>
          <w:tcPr/>
          <w:p>
            <w:pPr>
              <w:pStyle w:val="Compact"/>
              <w:jc w:val="left"/>
            </w:pPr>
            <w:r>
              <w:t xml:space="preserve">—</w:t>
            </w:r>
          </w:p>
        </w:tc>
        <w:tc>
          <w:tcPr/>
          <w:p>
            <w:pPr>
              <w:pStyle w:val="Compact"/>
              <w:jc w:val="left"/>
            </w:pPr>
            <w:r>
              <w:t xml:space="preserve">聚变电网L1上线</w:t>
            </w:r>
          </w:p>
        </w:tc>
        <w:tc>
          <w:tcPr/>
          <w:p>
            <w:pPr>
              <w:pStyle w:val="Compact"/>
              <w:jc w:val="left"/>
            </w:pPr>
            <w:r>
              <w:t xml:space="preserve">物质丰度转变的物理起点</w:t>
            </w:r>
          </w:p>
        </w:tc>
      </w:tr>
      <w:tr>
        <w:tc>
          <w:tcPr/>
          <w:p>
            <w:pPr>
              <w:pStyle w:val="Compact"/>
              <w:jc w:val="left"/>
            </w:pPr>
            <w:r>
              <w:t xml:space="preserve">2044—55</w:t>
            </w:r>
          </w:p>
        </w:tc>
        <w:tc>
          <w:tcPr/>
          <w:p>
            <w:pPr>
              <w:pStyle w:val="Compact"/>
              <w:jc w:val="left"/>
            </w:pPr>
            <w:r>
              <w:t xml:space="preserve">AI裸露期在各路径陆续结束</w:t>
            </w:r>
          </w:p>
        </w:tc>
        <w:tc>
          <w:tcPr/>
          <w:p>
            <w:pPr>
              <w:pStyle w:val="Compact"/>
              <w:jc w:val="left"/>
            </w:pPr>
            <w:r>
              <w:t xml:space="preserve">聚变电网逐步覆盖</w:t>
            </w:r>
          </w:p>
        </w:tc>
        <w:tc>
          <w:tcPr/>
          <w:p>
            <w:pPr>
              <w:pStyle w:val="Compact"/>
              <w:jc w:val="left"/>
            </w:pPr>
            <w:r>
              <w:t xml:space="preserve">两条主线同步推进，动荡期末段</w:t>
            </w:r>
          </w:p>
        </w:tc>
      </w:tr>
      <w:tr>
        <w:tc>
          <w:tcPr/>
          <w:p>
            <w:pPr>
              <w:pStyle w:val="Compact"/>
              <w:jc w:val="left"/>
            </w:pPr>
            <w:r>
              <w:rPr>
                <w:bCs/>
                <w:b/>
              </w:rPr>
              <w:t xml:space="preserve">2049—59</w:t>
            </w:r>
          </w:p>
        </w:tc>
        <w:tc>
          <w:tcPr/>
          <w:p>
            <w:pPr>
              <w:pStyle w:val="Compact"/>
              <w:jc w:val="left"/>
            </w:pPr>
            <w:r>
              <w:rPr>
                <w:bCs/>
                <w:b/>
              </w:rPr>
              <w:t xml:space="preserve">AI L3完成（各路径）：BSC/配给体系到位</w:t>
            </w:r>
          </w:p>
        </w:tc>
        <w:tc>
          <w:tcPr/>
          <w:p>
            <w:pPr>
              <w:pStyle w:val="Compact"/>
              <w:jc w:val="left"/>
            </w:pPr>
            <w:r>
              <w:rPr>
                <w:bCs/>
                <w:b/>
              </w:rPr>
              <w:t xml:space="preserve">聚变L2—L3完成：廉价能源使配给财政可行</w:t>
            </w:r>
          </w:p>
        </w:tc>
        <w:tc>
          <w:tcPr/>
          <w:p>
            <w:pPr>
              <w:pStyle w:val="Compact"/>
              <w:jc w:val="left"/>
            </w:pPr>
            <w:r>
              <w:rPr>
                <w:bCs/>
                <w:b/>
              </w:rPr>
              <w:t xml:space="preserve">关键交汇窗口：聚变提供的物质基础与AI引发的制度需求在此叠合，多态社会的物质条件成立</w:t>
            </w:r>
          </w:p>
        </w:tc>
      </w:tr>
      <w:tr>
        <w:tc>
          <w:tcPr/>
          <w:p>
            <w:pPr>
              <w:pStyle w:val="Compact"/>
              <w:jc w:val="left"/>
            </w:pPr>
            <w:r>
              <w:t xml:space="preserve">2053—62</w:t>
            </w:r>
          </w:p>
        </w:tc>
        <w:tc>
          <w:tcPr/>
          <w:p>
            <w:pPr>
              <w:pStyle w:val="Compact"/>
              <w:jc w:val="left"/>
            </w:pPr>
            <w:r>
              <w:t xml:space="preserve">AI意义危机普遍浮现（L4起点）</w:t>
            </w:r>
          </w:p>
        </w:tc>
        <w:tc>
          <w:tcPr/>
          <w:p>
            <w:pPr>
              <w:pStyle w:val="Compact"/>
              <w:jc w:val="left"/>
            </w:pPr>
            <w:r>
              <w:t xml:space="preserve">聚变文化吸收开始（L4）</w:t>
            </w:r>
          </w:p>
        </w:tc>
        <w:tc>
          <w:tcPr/>
          <w:p>
            <w:pPr>
              <w:pStyle w:val="Compact"/>
              <w:jc w:val="left"/>
            </w:pPr>
            <w:r>
              <w:t xml:space="preserve">两条主线的L4同期启动，相互强化</w:t>
            </w:r>
          </w:p>
        </w:tc>
      </w:tr>
      <w:tr>
        <w:tc>
          <w:tcPr/>
          <w:p>
            <w:pPr>
              <w:pStyle w:val="Compact"/>
              <w:jc w:val="left"/>
            </w:pPr>
            <w:r>
              <w:t xml:space="preserve">2061</w:t>
            </w:r>
          </w:p>
        </w:tc>
        <w:tc>
          <w:tcPr/>
          <w:p>
            <w:pPr>
              <w:pStyle w:val="Compact"/>
              <w:jc w:val="left"/>
            </w:pPr>
            <w:r>
              <w:t xml:space="preserve">—</w:t>
            </w:r>
          </w:p>
        </w:tc>
        <w:tc>
          <w:tcPr/>
          <w:p>
            <w:pPr>
              <w:pStyle w:val="Compact"/>
              <w:jc w:val="left"/>
            </w:pPr>
            <w:r>
              <w:t xml:space="preserve">聚变接入格局基本成形</w:t>
            </w:r>
          </w:p>
        </w:tc>
        <w:tc>
          <w:tcPr/>
          <w:p>
            <w:pPr>
              <w:pStyle w:val="Compact"/>
              <w:jc w:val="left"/>
            </w:pPr>
            <w:r>
              <w:t xml:space="preserve">A1/A2/B1/B2类聚变接入路径相对稳定，C类部分成员持续摇摆，D/E类大多数未锁定；两体系商业互依使格局非固化分割</w:t>
            </w:r>
          </w:p>
        </w:tc>
      </w:tr>
      <w:tr>
        <w:tc>
          <w:tcPr/>
          <w:p>
            <w:pPr>
              <w:pStyle w:val="Compact"/>
              <w:jc w:val="left"/>
            </w:pPr>
            <w:r>
              <w:t xml:space="preserve">2072</w:t>
            </w:r>
          </w:p>
        </w:tc>
        <w:tc>
          <w:tcPr/>
          <w:p>
            <w:pPr>
              <w:pStyle w:val="Compact"/>
              <w:jc w:val="left"/>
            </w:pPr>
            <w:r>
              <w:t xml:space="preserve">AI L4进行中，无路径完成</w:t>
            </w:r>
          </w:p>
        </w:tc>
        <w:tc>
          <w:tcPr/>
          <w:p>
            <w:pPr>
              <w:pStyle w:val="Compact"/>
              <w:jc w:val="left"/>
            </w:pPr>
            <w:r>
              <w:t xml:space="preserve">聚变L4：A1/A2接近完成，南方进行中</w:t>
            </w:r>
          </w:p>
        </w:tc>
        <w:tc>
          <w:tcPr/>
          <w:p>
            <w:pPr>
              <w:pStyle w:val="Compact"/>
              <w:jc w:val="left"/>
            </w:pPr>
            <w:r>
              <w:t xml:space="preserve">故事节点：技术充裕已到，意义重构未完</w:t>
            </w:r>
          </w:p>
        </w:tc>
      </w:tr>
    </w:tbl>
    <w:p>
      <w:pPr>
        <w:pStyle w:val="BodyText"/>
      </w:pPr>
      <w:r>
        <w:rPr>
          <w:bCs/>
          <w:b/>
        </w:rPr>
        <w:t xml:space="preserve">关键交汇点的因果机制（2049—2059年）</w:t>
      </w:r>
    </w:p>
    <w:p>
      <w:pPr>
        <w:pStyle w:val="BodyText"/>
      </w:pPr>
      <w:r>
        <w:t xml:space="preserve">这个十年窗口是两条主线因果关联最密集的时段：聚变L2完成使能源密集型生产成本大幅下降，合成食品和物资配给的边际成本趋于最小化，配给体系的财政可行性成立；同期AI L3制度响应要求建立基础保障体系——两个需求与一个物质条件同时到位。如果聚变L2晚十年，AI制度响应的成本将大幅上升，裸露期的社会压力将无法通过物质兜底化解。反向关联：AI使聚变工程的设计、运维和优化自动化，加速了聚变的部署规模化。两条主线在这个窗口实现了相互支撑。</w:t>
      </w:r>
    </w:p>
    <w:p>
      <w:pPr>
        <w:pStyle w:val="BodyText"/>
      </w:pPr>
      <w:r>
        <w:rPr>
          <w:bCs/>
          <w:b/>
        </w:rPr>
        <w:t xml:space="preserve">路径分化的形成机制</w:t>
      </w:r>
    </w:p>
    <w:p>
      <w:pPr>
        <w:pStyle w:val="BodyText"/>
      </w:pPr>
      <w:r>
        <w:t xml:space="preserve">在2037—2055年的窗口期内，有能力进入聚变融资框架的国家完成了路径选择，技术协议随资金来源绑定，有聚变接入需求的国家其阵营归属在红利实际到来之前就已基本确定（机制详见4.3.2节）——这一依附关系对A1/A2/B1/B2/C类国家是真实的，对C类摇摆体则是持续竞争的对象，不必然锁定。与此同时，AI裸露期的政治压力迫使各国加速向体系寻求援助——A1体系提供技术许可和金融整合，A2体系提供基础设施贷款和政治依附框架，两条主线共同加速了聚变接入国的阵营倾向。但对C/D/E类大多数国家，这个窗口期的现实是：既没有被锁定在A1路径上，也没有被锁定在A2路径上，而是持续处于两套体系战略视野的边缘，在贸易、援助和外交上与两者分别维持工作关系，路径待定而非路径锁定。</w:t>
      </w:r>
    </w:p>
    <w:bookmarkEnd w:id="61"/>
    <w:bookmarkStart w:id="62" w:name="本框架如何使用读者导引"/>
    <w:p>
      <w:pPr>
        <w:pStyle w:val="Heading2"/>
      </w:pPr>
      <w:r>
        <w:t xml:space="preserve">2.6　本框架如何使用：读者导引</w:t>
      </w:r>
    </w:p>
    <w:p>
      <w:pPr>
        <w:pStyle w:val="FirstParagraph"/>
      </w:pPr>
      <w:r>
        <w:t xml:space="preserve">本部分是全文的时间分析工具箱，不是叙事主体。第二部分包含AI主线（2.2节）和聚变主线（2.3—2.4节）两套时序框架，两者在2049—2059年的关键交汇窗口构成多态社会形成的物质机制，建议对照阅读。</w:t>
      </w:r>
    </w:p>
    <w:p>
      <w:pPr>
        <w:pStyle w:val="BodyText"/>
      </w:pPr>
      <w:r>
        <w:rPr>
          <w:bCs/>
          <w:b/>
        </w:rPr>
        <w:t xml:space="preserve">阅读第三部分（技术线）</w:t>
      </w:r>
      <w:r>
        <w:t xml:space="preserve">时：重点关注L1时间节点——技术突破年份与规模化部署年份之间的差距，以及各路径之间的部署速度差异。技术线提供L1的详细叙述，但其社会含义要到L2和L3才充分展开。</w:t>
      </w:r>
    </w:p>
    <w:p>
      <w:pPr>
        <w:pStyle w:val="BodyText"/>
      </w:pPr>
      <w:r>
        <w:rPr>
          <w:bCs/>
          <w:b/>
        </w:rPr>
        <w:t xml:space="preserve">阅读第四部分（经济线）</w:t>
      </w:r>
      <w:r>
        <w:t xml:space="preserve">时：重点关注L2的分配逻辑——红利如何在各类经济体之间分配，哪些群体被提前锁定在红利链条之外。4.2节（AI经济后果）、4.3节（聚变经济后果）、4.6节（人口与劳动力）、4.7节（就业结构重组）、4.9—4.12节（财政货币国际金融）分别对应本部分各节的时序推演。</w:t>
      </w:r>
    </w:p>
    <w:p>
      <w:pPr>
        <w:pStyle w:val="BodyText"/>
      </w:pPr>
      <w:r>
        <w:rPr>
          <w:bCs/>
          <w:b/>
        </w:rPr>
        <w:t xml:space="preserve">阅读第五部分（社会线）</w:t>
      </w:r>
      <w:r>
        <w:t xml:space="preserve">时：这是L3和L4的主战场。5.1节（制度响应分叉阶段，约2031—2045）描述AI裸露期内各路径制度响应的渐进分叉过程，以及A1体系制度形成后向其他路径的传导效应；5.2节（路径分化与红利分层阶段，约2044—2055）描述聚变融资依附固化与AI制度响应叠合的历史性窗口期，以及不同类型国家在聚变接入上的实际分层；5.7节（意义危机分化阶段，约2055—2072+）描述L3基本完成后意义层面的持续重构过程。三节都描述历时性过程，而非一次性节点事件。</w:t>
      </w:r>
    </w:p>
    <w:p>
      <w:pPr>
        <w:pStyle w:val="BodyText"/>
      </w:pPr>
      <w:r>
        <w:rPr>
          <w:bCs/>
          <w:b/>
        </w:rPr>
        <w:t xml:space="preserve">2072年全景的理解关键</w:t>
      </w:r>
      <w:r>
        <w:t xml:space="preserve">：在2072这一物理年份，五条路径处于L1—L4消化的不同阶段，且AI主线和聚变主线的消化进度各自不同。A2路径：聚变L4完成，AI L4进行中；A1路径：聚变L4接近完成，AI L4深度进行中；欧洲路径：聚变L4进行中，AI L4刚启动；全球南方：聚变L1—L2完成，AI L1—L2进行中；被遗忘地带：两条主线均在L1之前或L1阶段。这不是”发展程度不同”的问题，而是功能性历史时间的根本分叉——不同路径不收敛于同一个未来，而是稳定运行于不同的现在。</w:t>
      </w:r>
    </w:p>
    <w:bookmarkEnd w:id="62"/>
    <w:bookmarkEnd w:id="63"/>
    <w:bookmarkStart w:id="185" w:name="第三部分-技术发展时间线20262076"/>
    <w:p>
      <w:pPr>
        <w:pStyle w:val="Heading1"/>
      </w:pPr>
      <w:r>
        <w:t xml:space="preserve">第三部分　技术发展时间线（2026–2076）</w:t>
      </w:r>
    </w:p>
    <w:p>
      <w:pPr>
        <w:pStyle w:val="FirstParagraph"/>
      </w:pPr>
      <w:r>
        <w:t xml:space="preserve">以中美为主轴，全球视野。基调：现实演化路径，无重大断裂。核心驱动力：AI深化 + 聚变发电实用化，自动化作为已有底层被持续提升。中美关系结构：隔绝企图总是被现实交流（合法或非法）穿透的状态——两个深度互依的经济体无法真正脱钩。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美国 / 西方阵营</w:t>
            </w:r>
            <w:r>
              <w:t xml:space="preserve"> </w:t>
            </w:r>
            <w:r>
              <w:rPr>
                <w:bCs/>
                <w:b/>
              </w:rPr>
              <w:t xml:space="preserve">优势领域</w:t>
            </w:r>
            <w:r>
              <w:t xml:space="preserve"> </w:t>
            </w:r>
            <w:r>
              <w:t xml:space="preserve">前沿模型研究、芯片设计概念、高端机器人软件架构；创新速度；应用部署速度已落后</w:t>
            </w:r>
          </w:p>
        </w:tc>
        <w:tc>
          <w:tcPr/>
          <w:p>
            <w:pPr>
              <w:pStyle w:val="Compact"/>
              <w:jc w:val="left"/>
            </w:pPr>
            <w:r>
              <w:rPr>
                <w:bCs/>
                <w:b/>
              </w:rPr>
              <w:t xml:space="preserve">中国 / 关联生态</w:t>
            </w:r>
            <w:r>
              <w:t xml:space="preserve"> </w:t>
            </w:r>
            <w:r>
              <w:rPr>
                <w:bCs/>
                <w:b/>
              </w:rPr>
              <w:t xml:space="preserve">优势领域</w:t>
            </w:r>
            <w:r>
              <w:t xml:space="preserve"> </w:t>
            </w:r>
            <w:r>
              <w:t xml:space="preserve">制造应用、实施规模、机器人硬件产能；垂直AI密度；工程优化效率</w:t>
            </w:r>
          </w:p>
        </w:tc>
      </w:tr>
    </w:tbl>
    <w:bookmarkStart w:id="66" w:name="ai发展时间线与社会影响20262076"/>
    <w:p>
      <w:pPr>
        <w:pStyle w:val="Heading2"/>
      </w:pPr>
      <w:r>
        <w:t xml:space="preserve">3.1　AI发展时间线与社会影响（2026–2076）</w:t>
      </w:r>
    </w:p>
    <w:bookmarkStart w:id="64" w:name="通用人工智能agi定义临界判断与2027年设定的依据"/>
    <w:p>
      <w:pPr>
        <w:pStyle w:val="Heading3"/>
      </w:pPr>
      <w:r>
        <w:t xml:space="preserve">3.1.1　通用人工智能（AGI）：定义、临界判断与2027年设定的依据</w:t>
      </w:r>
    </w:p>
    <w:p>
      <w:pPr>
        <w:pStyle w:val="FirstParagraph"/>
      </w:pPr>
      <w:r>
        <w:t xml:space="preserve">“</w:t>
      </w:r>
      <w:r>
        <w:t xml:space="preserve">AGI</w:t>
      </w:r>
      <w:r>
        <w:t xml:space="preserve">”</w:t>
      </w:r>
      <w:r>
        <w:t xml:space="preserve">在学术界和工业界没有统一定义，不同定义对应不同的临界时间节点和不同的社会影响路径。本文件在使用这个概念之前，需要明确它在这里的含义。</w:t>
      </w:r>
    </w:p>
    <w:p>
      <w:pPr>
        <w:pStyle w:val="BodyText"/>
      </w:pPr>
      <w:r>
        <w:rPr>
          <w:bCs/>
          <w:b/>
        </w:rPr>
        <w:t xml:space="preserve">本文件使用的定义</w:t>
      </w:r>
    </w:p>
    <w:p>
      <w:pPr>
        <w:pStyle w:val="BodyText"/>
      </w:pPr>
      <w:r>
        <w:t xml:space="preserve">本文件中的AGI临界指：AI系统在无需针对特定任务专项训练的情况下，能够在大多数有经济价值的认知任务上达到或超过人类专业水平，且推理成本降至边际可忽略。这个定义聚焦于经济替代能力，而不是意识、自主性或通用智能的哲学内涵。它对应的现实检验标准是：一个企业能否用这个系统替代一名受过大学教育的通用知识工作者，且替代成本低于雇用。</w:t>
      </w:r>
    </w:p>
    <w:p>
      <w:pPr>
        <w:pStyle w:val="BodyText"/>
      </w:pPr>
      <w:r>
        <w:t xml:space="preserve">这个定义刻意回避了两个常见的扩展：一是”自我改进”（递归式能力提升）；二是超越人类的跨领域科学发现能力。两者在2026年都没有可靠的技术路径，放入定义会使临界判断无法锚定。本文件的AGI临界是一个经济意义上的门槛事件，不是科幻意义上的奇点。</w:t>
      </w:r>
    </w:p>
    <w:p>
      <w:pPr>
        <w:pStyle w:val="BodyText"/>
      </w:pPr>
      <w:r>
        <w:rPr>
          <w:bCs/>
          <w:b/>
        </w:rPr>
        <w:t xml:space="preserve">为什么是2027年</w:t>
      </w:r>
    </w:p>
    <w:p>
      <w:pPr>
        <w:pStyle w:val="BodyText"/>
      </w:pPr>
      <w:r>
        <w:t xml:space="preserve">从2026年的技术现状推算，到达上述定义的临界有三条收敛的证据链。</w:t>
      </w:r>
    </w:p>
    <w:p>
      <w:pPr>
        <w:pStyle w:val="BodyText"/>
      </w:pPr>
      <w:r>
        <w:t xml:space="preserve">第一条是能力曲线的现实基线。截至2026年，前沿模型在法律文书起草、代码生成、金融分析、医学影像初筛等具体专业任务上已经达到或接近人类专业水平，但在需要持续推理、跨会话记忆、工具调用和主动任务分解的通用场景中仍有明显局限。这个局限对应的技术问题——长上下文可靠性、多步骤规划稳定性、工具调用成功率——是可以被识别的工程问题，而不是原理性障碍。当前进展速度下，这些问题的工程解决窗口在1—3年内。</w:t>
      </w:r>
    </w:p>
    <w:p>
      <w:pPr>
        <w:pStyle w:val="BodyText"/>
      </w:pPr>
      <w:r>
        <w:t xml:space="preserve">第二条是推理成本曲线。2023年到2026年，前沿模型推理成本每年大幅下降，这是算力效率提升和模型架构优化的叠加结果。以这个曲线外推，到2027—2028年，通用认知任务的单次推理成本将低于同等任务的人工时薪，形成经济替代的基本条件。成本曲线比能力曲线更可预测，因为它主要由芯片性能和规模效应决定，而非依赖不确定的算法突破。</w:t>
      </w:r>
    </w:p>
    <w:p>
      <w:pPr>
        <w:pStyle w:val="BodyText"/>
      </w:pPr>
      <w:r>
        <w:t xml:space="preserve">第三条是部署基础设施的成熟度。AGI的经济替代不只需要能力临界，还需要企业能够把AI系统嵌入现有工作流程。2024—2026年”智能体”（agentic AI）工具链的快速成熟——能够调用外部工具、维持多步骤任务、在企业系统中自主操作——表明部署基础设施与能力提升在同步推进。两者同步是替代规模化的前提，而不只是能力到达临界。</w:t>
      </w:r>
    </w:p>
    <w:p>
      <w:pPr>
        <w:pStyle w:val="BodyText"/>
      </w:pPr>
      <w:r>
        <w:t xml:space="preserve">综合三条证据链，2027年是一个内在一致的判断，不是随意选取的年份。它的不确定性范围是前后约两年：如果算法效率提升加速，临界可能在2025—2026年提前到达（这在写作时已经是现实可见的可能性）；如果推理可靠性问题比预期难以工程化解决，临界可能推迟到2028—2029年。核心推演不依赖临界年份的精确性，依赖的是”临界发生在聚变商业化（2044年）之前约15年”这个相对时序关系——这个关系在两年的误差范围内是稳健的。</w:t>
      </w:r>
    </w:p>
    <w:p>
      <w:pPr>
        <w:pStyle w:val="BodyText"/>
      </w:pPr>
      <w:r>
        <w:rPr>
          <w:bCs/>
          <w:b/>
        </w:rPr>
        <w:t xml:space="preserve">中美AGI能力的分岔路径</w:t>
      </w:r>
    </w:p>
    <w:p>
      <w:pPr>
        <w:pStyle w:val="BodyText"/>
      </w:pPr>
      <w:r>
        <w:t xml:space="preserve">本文件设定美国在通用推理方向率先到达AGI临界，中国在垂直部署方向更早完成规模化。这个设定不是价值判断，而是来自两个体系的结构性差异。</w:t>
      </w:r>
    </w:p>
    <w:p>
      <w:pPr>
        <w:pStyle w:val="BodyText"/>
      </w:pPr>
      <w:r>
        <w:t xml:space="preserve">A1路径的优势是认知自由度：开放的研究环境、跨机构人才流动、允许失败的创业文化，产生了更高密度的范式突破。AGI在本文件的定义下本质上是一个通用推理问题，需要的是能力的广度和跨域迁移，而不只是垂直场景的工程优化。这类突破更容易在开放的认知环境中出现。</w:t>
      </w:r>
    </w:p>
    <w:p>
      <w:pPr>
        <w:pStyle w:val="BodyText"/>
      </w:pPr>
      <w:r>
        <w:t xml:space="preserve">A2路径的优势是部署密度：制造质检、物流调度、政务审批等垂直场景的AI部署密度在2026年已是全球最高，大规模真实场景数据的积累使垂直能力的工程优化速度更快。垂直部署不需要AGI，只需要在特定域内可靠运行的专项模型，这是中国体系更擅长的。</w:t>
      </w:r>
    </w:p>
    <w:p>
      <w:pPr>
        <w:pStyle w:val="BodyText"/>
      </w:pPr>
      <w:r>
        <w:t xml:space="preserve">两条路径不是竞争关系，而是在不同维度上各有先发优势。美国先到达通用推理临界，中国先完成垂直场景的规模化替代。两者在不同时序上触发不同的经济和社会后果：美国的通用替代波先于中国，但中国的垂直替代密度在某些行业更彻底。</w:t>
      </w:r>
    </w:p>
    <w:p>
      <w:pPr>
        <w:pStyle w:val="BodyText"/>
      </w:pPr>
      <w:r>
        <w:rPr>
          <w:bCs/>
          <w:b/>
        </w:rPr>
        <w:t xml:space="preserve">AGI之后的能力演化</w:t>
      </w:r>
    </w:p>
    <w:p>
      <w:pPr>
        <w:pStyle w:val="BodyText"/>
      </w:pPr>
      <w:r>
        <w:t xml:space="preserve">AGI临界不是终点，而是一个加速起点。到达临界之后，三个演化方向同时推进。</w:t>
      </w:r>
    </w:p>
    <w:p>
      <w:pPr>
        <w:pStyle w:val="BodyText"/>
      </w:pPr>
      <w:r>
        <w:rPr>
          <w:bCs/>
          <w:b/>
        </w:rPr>
        <w:t xml:space="preserve">自主性提升：</w:t>
      </w:r>
      <w:r>
        <w:t xml:space="preserve">从”需要人类在回路”到”人类仅在关键节点介入”到”人类仅负责目标设定”的梯度演化。2035年前后智能体AI的规模化对应第二级，2048年超级AI系统对应第三级。</w:t>
      </w:r>
    </w:p>
    <w:p>
      <w:pPr>
        <w:pStyle w:val="BodyText"/>
      </w:pPr>
      <w:r>
        <w:rPr>
          <w:bCs/>
          <w:b/>
        </w:rPr>
        <w:t xml:space="preserve">多模态融合：</w:t>
      </w:r>
      <w:r>
        <w:t xml:space="preserve">语言、视觉、物理操作能力在具身机器人平台上的整合，是将认知替代扩展到物理劳动的关键路径。2032年具身机器人商业化是这个路径上的重要节点。</w:t>
      </w:r>
    </w:p>
    <w:p>
      <w:pPr>
        <w:pStyle w:val="BodyText"/>
      </w:pPr>
      <w:r>
        <w:rPr>
          <w:bCs/>
          <w:b/>
        </w:rPr>
        <w:t xml:space="preserve">推理成本归零：</w:t>
      </w:r>
      <w:r>
        <w:t xml:space="preserve">到2040年代，主要认知任务的推理成本将低至可忽略，经济替代的障碍从”能不能做”转向”愿不愿意让AI做”——后者是社会和制度问题，不是技术问题。</w:t>
      </w:r>
    </w:p>
    <w:bookmarkEnd w:id="64"/>
    <w:bookmarkStart w:id="65" w:name="ai发展时间线20262076"/>
    <w:p>
      <w:pPr>
        <w:pStyle w:val="Heading3"/>
      </w:pPr>
      <w:r>
        <w:t xml:space="preserve">3.1.2　AI发展时间线（2026–2076）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时间</w:t>
            </w:r>
          </w:p>
        </w:tc>
        <w:tc>
          <w:tcPr/>
          <w:p>
            <w:pPr>
              <w:pStyle w:val="Compact"/>
              <w:jc w:val="left"/>
            </w:pPr>
            <w:r>
              <w:rPr>
                <w:bCs/>
                <w:b/>
              </w:rPr>
              <w:t xml:space="preserve">事件</w:t>
            </w:r>
          </w:p>
        </w:tc>
      </w:tr>
      <w:tr>
        <w:tc>
          <w:tcPr/>
          <w:p>
            <w:pPr>
              <w:pStyle w:val="Compact"/>
              <w:jc w:val="left"/>
            </w:pPr>
            <w:r>
              <w:rPr>
                <w:bCs/>
                <w:b/>
              </w:rPr>
              <w:t xml:space="preserve">AI领域分化（2026–2032）</w:t>
            </w:r>
          </w:p>
        </w:tc>
        <w:tc>
          <w:tcPr/>
          <w:p>
            <w:pPr>
              <w:pStyle w:val="Compact"/>
            </w:pPr>
          </w:p>
        </w:tc>
      </w:tr>
      <w:tr>
        <w:tc>
          <w:tcPr/>
          <w:p>
            <w:pPr>
              <w:pStyle w:val="Compact"/>
              <w:jc w:val="left"/>
            </w:pPr>
            <w:r>
              <w:rPr>
                <w:bCs/>
                <w:b/>
              </w:rPr>
              <w:t xml:space="preserve">2027（±2年，2025—2029）</w:t>
            </w:r>
          </w:p>
        </w:tc>
        <w:tc>
          <w:tcPr/>
          <w:p>
            <w:pPr>
              <w:pStyle w:val="Compact"/>
              <w:jc w:val="left"/>
            </w:pPr>
            <w:r>
              <w:rPr>
                <w:bCs/>
                <w:b/>
              </w:rPr>
              <w:t xml:space="preserve">美国：AGI能力临界</w:t>
            </w:r>
            <w:r>
              <w:t xml:space="preserve"> </w:t>
            </w:r>
            <w:r>
              <w:t xml:space="preserve">前提：推理可靠性工程问题解决 + 推理成本低于人工时薪 + 智能体工具链成熟。通用推理超越专业人类水平。Anthropic/OpenAI闭源路线与Meta开源路线形成制度性分裂。推理成本降至边际可忽略。</w:t>
            </w:r>
          </w:p>
        </w:tc>
      </w:tr>
      <w:tr>
        <w:tc>
          <w:tcPr/>
          <w:p>
            <w:pPr>
              <w:pStyle w:val="Compact"/>
              <w:jc w:val="left"/>
            </w:pPr>
            <w:r>
              <w:rPr>
                <w:bCs/>
                <w:b/>
              </w:rPr>
              <w:t xml:space="preserve">2027</w:t>
            </w:r>
          </w:p>
        </w:tc>
        <w:tc>
          <w:tcPr/>
          <w:p>
            <w:pPr>
              <w:pStyle w:val="Compact"/>
              <w:jc w:val="left"/>
            </w:pPr>
            <w:r>
              <w:rPr>
                <w:bCs/>
                <w:b/>
              </w:rPr>
              <w:t xml:space="preserve">中国：垂直AI规模化领先</w:t>
            </w:r>
            <w:r>
              <w:t xml:space="preserve"> </w:t>
            </w:r>
            <w:r>
              <w:t xml:space="preserve">制造质检、物流调度、政务审批AI部署密度全球最高。通用推理落后约两代。DeepSeek架构路径确立：以算法效率弥补算力差距的工程范式成为国家战略。</w:t>
            </w:r>
          </w:p>
        </w:tc>
      </w:tr>
      <w:tr>
        <w:tc>
          <w:tcPr/>
          <w:p>
            <w:pPr>
              <w:pStyle w:val="Compact"/>
              <w:jc w:val="left"/>
            </w:pPr>
            <w:r>
              <w:rPr>
                <w:bCs/>
                <w:b/>
              </w:rPr>
              <w:t xml:space="preserve">2029</w:t>
            </w:r>
          </w:p>
        </w:tc>
        <w:tc>
          <w:tcPr/>
          <w:p>
            <w:pPr>
              <w:pStyle w:val="Compact"/>
              <w:jc w:val="left"/>
            </w:pPr>
            <w:r>
              <w:rPr>
                <w:bCs/>
                <w:b/>
              </w:rPr>
              <w:t xml:space="preserve">美国：半导体管制再升级</w:t>
            </w:r>
            <w:r>
              <w:t xml:space="preserve"> </w:t>
            </w:r>
            <w:r>
              <w:t xml:space="preserve">覆盖至封装、HBM内存及设计工具。但执行漏洞系统性存在：代理采购网络已跨越东南亚、中东多节点。</w:t>
            </w:r>
          </w:p>
        </w:tc>
      </w:tr>
      <w:tr>
        <w:tc>
          <w:tcPr/>
          <w:p>
            <w:pPr>
              <w:pStyle w:val="Compact"/>
              <w:jc w:val="left"/>
            </w:pPr>
            <w:r>
              <w:rPr>
                <w:bCs/>
                <w:b/>
              </w:rPr>
              <w:t xml:space="preserve">2029</w:t>
            </w:r>
          </w:p>
        </w:tc>
        <w:tc>
          <w:tcPr/>
          <w:p>
            <w:pPr>
              <w:pStyle w:val="Compact"/>
              <w:jc w:val="left"/>
            </w:pPr>
            <w:r>
              <w:rPr>
                <w:bCs/>
                <w:b/>
              </w:rPr>
              <w:t xml:space="preserve">中国：5nm制程功能性突破</w:t>
            </w:r>
            <w:r>
              <w:t xml:space="preserve"> </w:t>
            </w:r>
            <w:r>
              <w:t xml:space="preserve">SMIC通过多重曝光工艺绕过EUV依赖。良率仍低于台积电30%以上，但已满足国内AI训练集群部署需求。</w:t>
            </w:r>
            <w:r>
              <w:rPr>
                <w:iCs/>
                <w:i/>
              </w:rPr>
              <w:t xml:space="preserve">渗透机制：台湾工程师离职潮、马来西亚封装厂作为中转节点、开源EDA工具链本土化。</w:t>
            </w:r>
          </w:p>
        </w:tc>
      </w:tr>
      <w:tr>
        <w:tc>
          <w:tcPr/>
          <w:p>
            <w:pPr>
              <w:pStyle w:val="Compact"/>
            </w:pPr>
          </w:p>
        </w:tc>
        <w:tc>
          <w:tcPr/>
          <w:p>
            <w:pPr>
              <w:pStyle w:val="Compact"/>
              <w:jc w:val="left"/>
            </w:pPr>
            <w:r>
              <w:t xml:space="preserve">渗透现实：华为通过代理公司获取台积电产能（2023–24年模式延续）；开源模型无法管控扩散；顶尖AI人才双向流动未中断。</w:t>
            </w:r>
          </w:p>
        </w:tc>
      </w:tr>
      <w:tr>
        <w:tc>
          <w:tcPr/>
          <w:p>
            <w:pPr>
              <w:pStyle w:val="Compact"/>
              <w:jc w:val="left"/>
            </w:pPr>
            <w:r>
              <w:rPr>
                <w:bCs/>
                <w:b/>
              </w:rPr>
              <w:t xml:space="preserve">2032</w:t>
            </w:r>
          </w:p>
        </w:tc>
        <w:tc>
          <w:tcPr/>
          <w:p>
            <w:pPr>
              <w:pStyle w:val="Compact"/>
              <w:jc w:val="left"/>
            </w:pPr>
            <w:r>
              <w:rPr>
                <w:bCs/>
                <w:b/>
              </w:rPr>
              <w:t xml:space="preserve">中国：功能性技术独立确立</w:t>
            </w:r>
            <w:r>
              <w:t xml:space="preserve"> </w:t>
            </w:r>
            <w:r>
              <w:t xml:space="preserve">AI芯片：7–5nm集群化部署，以规模对冲单芯片性能差，灰色渠道补充。AI软件（技术域）：工程优化与西方对等，基础科学推理局部领先。AI软件（社会域）：意识形态管控通过AI工具实施，阉割思想自由度，结构性压制范式突破能力，创新活力集中于技术域。</w:t>
            </w:r>
            <w:r>
              <w:rPr>
                <w:iCs/>
                <w:i/>
              </w:rPr>
              <w:t xml:space="preserve">机器人硬件：全球产能第一，人形机器人成本大幅下降至个人消费品可及范围，供应链完整。机器人软件：控制层仍存在对西方开源框架非官方移植的依赖。西方残余优势：芯片设计概念、高端机器人软件架构、前沿模型研究——认知自由度产生的创新能力。</w:t>
            </w:r>
          </w:p>
        </w:tc>
      </w:tr>
      <w:tr>
        <w:tc>
          <w:tcPr/>
          <w:p>
            <w:pPr>
              <w:pStyle w:val="Compact"/>
              <w:jc w:val="left"/>
            </w:pPr>
            <w:r>
              <w:rPr>
                <w:bCs/>
                <w:b/>
              </w:rPr>
              <w:t xml:space="preserve">2032</w:t>
            </w:r>
          </w:p>
        </w:tc>
        <w:tc>
          <w:tcPr/>
          <w:p>
            <w:pPr>
              <w:pStyle w:val="Compact"/>
              <w:jc w:val="left"/>
            </w:pPr>
            <w:r>
              <w:rPr>
                <w:bCs/>
                <w:b/>
              </w:rPr>
              <w:t xml:space="preserve">美国/西方：具身机器人商业化完成</w:t>
            </w:r>
            <w:r>
              <w:t xml:space="preserve"> </w:t>
            </w:r>
            <w:r>
              <w:t xml:space="preserve">工厂与仓储部署达临界规模。前沿模型驱动的通用机器人控制栈成熟。白领辅助AI同步普及。</w:t>
            </w:r>
            <w:r>
              <w:rPr>
                <w:iCs/>
                <w:i/>
              </w:rPr>
              <w:t xml:space="preserve">概念设计仍领先：高自由度操作、非结构化环境适应、跨任务迁移学习。</w:t>
            </w:r>
          </w:p>
        </w:tc>
      </w:tr>
      <w:tr>
        <w:tc>
          <w:tcPr/>
          <w:p>
            <w:pPr>
              <w:pStyle w:val="Compact"/>
              <w:jc w:val="left"/>
            </w:pPr>
            <w:r>
              <w:rPr>
                <w:bCs/>
                <w:b/>
              </w:rPr>
              <w:t xml:space="preserve">AI深化与自动化饱和（2045–2058）</w:t>
            </w:r>
          </w:p>
        </w:tc>
        <w:tc>
          <w:tcPr/>
          <w:p>
            <w:pPr>
              <w:pStyle w:val="Compact"/>
            </w:pPr>
          </w:p>
        </w:tc>
      </w:tr>
      <w:tr>
        <w:tc>
          <w:tcPr/>
          <w:p>
            <w:pPr>
              <w:pStyle w:val="Compact"/>
              <w:jc w:val="left"/>
            </w:pPr>
            <w:r>
              <w:rPr>
                <w:bCs/>
                <w:b/>
              </w:rPr>
              <w:t xml:space="preserve">2048</w:t>
            </w:r>
          </w:p>
        </w:tc>
        <w:tc>
          <w:tcPr/>
          <w:p>
            <w:pPr>
              <w:pStyle w:val="Compact"/>
              <w:jc w:val="left"/>
            </w:pPr>
            <w:r>
              <w:rPr>
                <w:bCs/>
                <w:b/>
              </w:rPr>
              <w:t xml:space="preserve">美国：超级AI系统部署</w:t>
            </w:r>
            <w:r>
              <w:t xml:space="preserve"> </w:t>
            </w:r>
            <w:r>
              <w:t xml:space="preserve">跨领域通用系统进入政府、金融、科研决策链。开源生态事实上无法管控。欧盟监管框架形同虚设。</w:t>
            </w:r>
          </w:p>
        </w:tc>
      </w:tr>
      <w:tr>
        <w:tc>
          <w:tcPr/>
          <w:p>
            <w:pPr>
              <w:pStyle w:val="Compact"/>
              <w:jc w:val="left"/>
            </w:pPr>
            <w:r>
              <w:rPr>
                <w:bCs/>
                <w:b/>
              </w:rPr>
              <w:t xml:space="preserve">2048</w:t>
            </w:r>
          </w:p>
        </w:tc>
        <w:tc>
          <w:tcPr/>
          <w:p>
            <w:pPr>
              <w:pStyle w:val="Compact"/>
              <w:jc w:val="left"/>
            </w:pPr>
            <w:r>
              <w:rPr>
                <w:bCs/>
                <w:b/>
              </w:rPr>
              <w:t xml:space="preserve">中国：国家AI调度层完成</w:t>
            </w:r>
            <w:r>
              <w:t xml:space="preserve"> </w:t>
            </w:r>
            <w:r>
              <w:t xml:space="preserve">全社会资源分配经由AI系统优化。垂直能力局部超越西方。前沿模型创新速度结构性落后——意识形态管控对认知自由度的系统性压制造成范式突破能力的结构性损耗。</w:t>
            </w:r>
          </w:p>
        </w:tc>
      </w:tr>
      <w:tr>
        <w:tc>
          <w:tcPr/>
          <w:p>
            <w:pPr>
              <w:pStyle w:val="Compact"/>
              <w:jc w:val="left"/>
            </w:pPr>
            <w:r>
              <w:rPr>
                <w:bCs/>
                <w:b/>
              </w:rPr>
              <w:t xml:space="preserve">2053（±2年，2051—2055）</w:t>
            </w:r>
          </w:p>
        </w:tc>
        <w:tc>
          <w:tcPr/>
          <w:p>
            <w:pPr>
              <w:pStyle w:val="Compact"/>
              <w:jc w:val="left"/>
            </w:pPr>
            <w:r>
              <w:rPr>
                <w:bCs/>
                <w:b/>
              </w:rPr>
              <w:t xml:space="preserve">中美同步：可自动化岗位替代率越过80%</w:t>
            </w:r>
            <w:r>
              <w:t xml:space="preserve"> </w:t>
            </w:r>
            <w:r>
              <w:t xml:space="preserve">前提：具身机器人控制栈与企业流程嵌入同时成熟。知识工作、服务业、创意辅助大规模渗透。「退出就业」人口规模显著上升。两套机制应对：中国以国家分配缓冲，美国让市场重组消化。</w:t>
            </w:r>
            <w:r>
              <w:rPr>
                <w:iCs/>
                <w:i/>
              </w:rPr>
              <w:t xml:space="preserve">共同结果：两套机制都产生大量在系统中无真实位置的人——美国版本是「被市场淘汰」，中国版本是「被国家安置但无意义」。无名的状态比有名的状态更难被自我叙述。</w:t>
            </w:r>
          </w:p>
        </w:tc>
      </w:tr>
      <w:tr>
        <w:tc>
          <w:tcPr/>
          <w:p>
            <w:pPr>
              <w:pStyle w:val="Compact"/>
              <w:jc w:val="left"/>
            </w:pPr>
            <w:r>
              <w:rPr>
                <w:bCs/>
                <w:b/>
              </w:rPr>
              <w:t xml:space="preserve">【持续性：随AI部署规模扩展】</w:t>
            </w:r>
          </w:p>
        </w:tc>
        <w:tc>
          <w:tcPr/>
          <w:p>
            <w:pPr>
              <w:pStyle w:val="Compact"/>
              <w:jc w:val="left"/>
            </w:pPr>
            <w:r>
              <w:rPr>
                <w:bCs/>
                <w:b/>
              </w:rPr>
              <w:t xml:space="preserve">全球：AI系统误差积累与人类巡检工作的形成</w:t>
            </w:r>
            <w:r>
              <w:t xml:space="preserve"> </w:t>
            </w:r>
            <w:r>
              <w:t xml:space="preserve">分布偏移（distribution shift）是自动化系统的固有属性，而非某一时期特有的现象——训练时的环境假设与实际运行环境之间的差距随部署规模扩大而持续积累，从AI应用开始普及起就存在，没有终止点。深海采矿车、道路控制系统、工业自动化设施，都会在训练数据之外的边界条件下悄悄降低决策质量，直到某个阈值触发系统性错误。人类巡检的价值不在于做AI做不到的事，而在于发现AI不知道自己不知道的事——边界条件、异常模式、偏差的早期信号。</w:t>
            </w:r>
            <w:r>
              <w:rPr>
                <w:iCs/>
                <w:i/>
              </w:rPr>
              <w:t xml:space="preserve">社会结果：「即使不再必要也保留了下来」的工作生态。技术逻辑提供正当性（系统误差是真实的，巡检发现的问题往往在灾难之前很久就已存在），社会逻辑提供驱动力（工作的意义感和社区归属感在多态社会里重新变得重要）。两条逻辑相互强化，使巡检工作在经济上可选但在社会上不可或缺。这是深海城镇等高度自动化环境里的特定社区长期存在的物质基础之一。</w:t>
            </w:r>
          </w:p>
        </w:tc>
      </w:tr>
      <w:tr>
        <w:tc>
          <w:tcPr/>
          <w:p>
            <w:pPr>
              <w:pStyle w:val="Compact"/>
              <w:jc w:val="left"/>
            </w:pPr>
            <w:r>
              <w:rPr>
                <w:bCs/>
                <w:b/>
              </w:rPr>
              <w:t xml:space="preserve">技术稳定与渗透平衡（2058–2076）</w:t>
            </w:r>
          </w:p>
        </w:tc>
        <w:tc>
          <w:tcPr/>
          <w:p>
            <w:pPr>
              <w:pStyle w:val="Compact"/>
            </w:pPr>
          </w:p>
        </w:tc>
      </w:tr>
      <w:tr>
        <w:tc>
          <w:tcPr/>
          <w:p>
            <w:pPr>
              <w:pStyle w:val="Compact"/>
              <w:jc w:val="left"/>
            </w:pPr>
            <w:r>
              <w:rPr>
                <w:bCs/>
                <w:b/>
              </w:rPr>
              <w:t xml:space="preserve">2061</w:t>
            </w:r>
          </w:p>
        </w:tc>
        <w:tc>
          <w:tcPr/>
          <w:p>
            <w:pPr>
              <w:pStyle w:val="Compact"/>
              <w:jc w:val="left"/>
            </w:pPr>
            <w:r>
              <w:rPr>
                <w:bCs/>
                <w:b/>
              </w:rPr>
              <w:t xml:space="preserve">全球：聚变接入格局基本成形</w:t>
            </w:r>
            <w:r>
              <w:t xml:space="preserve"> </w:t>
            </w:r>
            <w:r>
              <w:t xml:space="preserve">两套标准在有聚变接入的国家形成相对稳定的势力范围，但大量C/D/E类国家并无聚变接入、不存在基础设施层面的阵营锁定。能源协议、基础AI接口层存在事实互操作，两体系持续的商业互依阻止了真正隔绝。</w:t>
            </w:r>
            <w:r>
              <w:t xml:space="preserve">“</w:t>
            </w:r>
            <w:r>
              <w:t xml:space="preserve">固化</w:t>
            </w:r>
            <w:r>
              <w:t xml:space="preserve">”</w:t>
            </w:r>
            <w:r>
              <w:t xml:space="preserve">描述的是接入格局的相对稳定，不是全球所有国家的二元分割。</w:t>
            </w:r>
          </w:p>
        </w:tc>
      </w:tr>
      <w:tr>
        <w:tc>
          <w:tcPr/>
          <w:p>
            <w:pPr>
              <w:pStyle w:val="Compact"/>
              <w:jc w:val="left"/>
            </w:pPr>
            <w:r>
              <w:rPr>
                <w:bCs/>
                <w:b/>
              </w:rPr>
              <w:t xml:space="preserve">2068</w:t>
            </w:r>
          </w:p>
        </w:tc>
        <w:tc>
          <w:tcPr/>
          <w:p>
            <w:pPr>
              <w:pStyle w:val="Compact"/>
              <w:jc w:val="left"/>
            </w:pPr>
            <w:r>
              <w:rPr>
                <w:bCs/>
                <w:b/>
              </w:rPr>
              <w:t xml:space="preserve">美国：情感计算与虚拟在场成熟</w:t>
            </w:r>
            <w:r>
              <w:t xml:space="preserve"> </w:t>
            </w:r>
            <w:r>
              <w:t xml:space="preserve">AI关系系统进入主流消费市场。人际关系的物理在场要求系统性下降，社会归属感的获取路径从空间共存转向数字接入。线下社交网络密度在城市核心区持续降低。</w:t>
            </w:r>
          </w:p>
        </w:tc>
      </w:tr>
      <w:tr>
        <w:tc>
          <w:tcPr/>
          <w:p>
            <w:pPr>
              <w:pStyle w:val="Compact"/>
              <w:jc w:val="left"/>
            </w:pPr>
            <w:r>
              <w:rPr>
                <w:bCs/>
                <w:b/>
              </w:rPr>
              <w:t xml:space="preserve">2068</w:t>
            </w:r>
          </w:p>
        </w:tc>
        <w:tc>
          <w:tcPr/>
          <w:p>
            <w:pPr>
              <w:pStyle w:val="Compact"/>
              <w:jc w:val="left"/>
            </w:pPr>
            <w:r>
              <w:rPr>
                <w:bCs/>
                <w:b/>
              </w:rPr>
              <w:t xml:space="preserve">中国：情感计算与社会治理融合</w:t>
            </w:r>
            <w:r>
              <w:t xml:space="preserve"> </w:t>
            </w:r>
            <w:r>
              <w:t xml:space="preserve">情感AI与社会信用体系整合。孤立被系统性监测与干预。「自愿孤立」成为需要解释的行为。</w:t>
            </w:r>
          </w:p>
        </w:tc>
      </w:tr>
      <w:tr>
        <w:tc>
          <w:tcPr/>
          <w:p>
            <w:pPr>
              <w:pStyle w:val="Compact"/>
              <w:jc w:val="left"/>
            </w:pPr>
            <w:r>
              <w:rPr>
                <w:bCs/>
                <w:b/>
              </w:rPr>
              <w:t xml:space="preserve">2072</w:t>
            </w:r>
          </w:p>
        </w:tc>
        <w:tc>
          <w:tcPr/>
          <w:p>
            <w:pPr>
              <w:pStyle w:val="Compact"/>
              <w:jc w:val="left"/>
            </w:pPr>
            <w:r>
              <w:rPr>
                <w:bCs/>
                <w:b/>
              </w:rPr>
              <w:t xml:space="preserve">故事节点：技术已成不可见背景</w:t>
            </w:r>
            <w:r>
              <w:t xml:space="preserve"> </w:t>
            </w:r>
            <w:r>
              <w:t xml:space="preserve">聚变、AI、自动化不再是新闻。技术进步感消失。社会问题从「如何发展」转向「如何活着」。慢生活社区存在于每条路径中，但性质完全不同。</w:t>
            </w:r>
          </w:p>
        </w:tc>
      </w:tr>
    </w:tbl>
    <w:bookmarkEnd w:id="65"/>
    <w:bookmarkEnd w:id="66"/>
    <w:bookmarkStart w:id="70" w:name="聚变突破与工程化20352047"/>
    <w:p>
      <w:pPr>
        <w:pStyle w:val="Heading2"/>
      </w:pPr>
      <w:r>
        <w:t xml:space="preserve">3.2　聚变突破与工程化（2035—2047）</w:t>
      </w:r>
    </w:p>
    <w:bookmarkStart w:id="67" w:name="从净能量输出到商业并网20372046"/>
    <w:p>
      <w:pPr>
        <w:pStyle w:val="Heading3"/>
      </w:pPr>
      <w:r>
        <w:t xml:space="preserve">3.2.1　从净能量输出到商业并网（2037—2046）</w:t>
      </w:r>
    </w:p>
    <w:p>
      <w:pPr>
        <w:pStyle w:val="FirstParagraph"/>
      </w:pPr>
      <w:r>
        <w:t xml:space="preserve">净能量输出（Q&gt;1）是物理突破，不是商业化。从示范堆到商业并网之间横亘着一道工程鸿沟——材料验证、安全监管、供应链建立、电网标准制定，每一项都需要实际时间积累，无法被AI完全压缩。历史上大型发电技术从原理验证到商业运营通常需要10—15年；AI辅助工程设计和并联开发将这个窗口压缩至约7—9年，但不能消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2037（±2年，2035—2039）</w:t>
            </w:r>
          </w:p>
        </w:tc>
        <w:tc>
          <w:tcPr/>
          <w:p>
            <w:pPr>
              <w:pStyle w:val="Compact"/>
              <w:jc w:val="left"/>
            </w:pPr>
            <w:r>
              <w:t xml:space="preserve">美国：聚变净能量稳定输出　前提：第一壁材料工程问题解决 + 私营聚变资本完成融资闭环。私营主导（Commonwealth Fusion/TAE路线）。Q值持续大于1，但商业化时间表仍有争议——示范堆到商业电站的工程化周期历史上需要10—15年，AI辅助工程设计和并联开发策略将这个窗口压缩，但不能消除。</w:t>
            </w:r>
          </w:p>
        </w:tc>
      </w:tr>
      <w:tr>
        <w:tc>
          <w:tcPr/>
          <w:p>
            <w:pPr>
              <w:pStyle w:val="Compact"/>
              <w:jc w:val="left"/>
            </w:pPr>
            <w:r>
              <w:rPr>
                <w:bCs/>
                <w:b/>
              </w:rPr>
              <w:t xml:space="preserve">2037</w:t>
            </w:r>
          </w:p>
        </w:tc>
        <w:tc>
          <w:tcPr/>
          <w:p>
            <w:pPr>
              <w:pStyle w:val="Compact"/>
              <w:jc w:val="left"/>
            </w:pPr>
            <w:r>
              <w:t xml:space="preserve">中国：CFETR净能量输出宣布　国家主导磁约束路线，公告晚14—20个月。独立验证受限于数据开放程度；西方存疑但无法证伪。</w:t>
            </w:r>
          </w:p>
        </w:tc>
      </w:tr>
      <w:tr>
        <w:tc>
          <w:tcPr/>
          <w:p>
            <w:pPr>
              <w:pStyle w:val="Compact"/>
              <w:jc w:val="left"/>
            </w:pPr>
            <w:r>
              <w:rPr>
                <w:bCs/>
                <w:b/>
              </w:rPr>
              <w:t xml:space="preserve">2038—2041</w:t>
            </w:r>
          </w:p>
        </w:tc>
        <w:tc>
          <w:tcPr/>
          <w:p>
            <w:pPr>
              <w:pStyle w:val="Compact"/>
              <w:jc w:val="left"/>
            </w:pPr>
            <w:r>
              <w:t xml:space="preserve">全球：工程化攻关期　净能量输出到商业并网之间的工程鸿沟：第一壁材料耐中子辐照问题、超导磁体规模化制造、氚增殖包层工程化、电网接入标准与安全监管框架建立。中美各自推进、互不共享核心工程数据。AI辅助优化将典型工程周期从15年压缩至约7—9年，但材料验证周期无法大幅压缩——辐照损伤需要在真实中子通量下积累时间。</w:t>
            </w:r>
          </w:p>
        </w:tc>
      </w:tr>
      <w:tr>
        <w:tc>
          <w:tcPr/>
          <w:p>
            <w:pPr>
              <w:pStyle w:val="Compact"/>
              <w:jc w:val="left"/>
            </w:pPr>
            <w:r>
              <w:rPr>
                <w:bCs/>
                <w:b/>
              </w:rPr>
              <w:t xml:space="preserve">2041</w:t>
            </w:r>
          </w:p>
        </w:tc>
        <w:tc>
          <w:tcPr/>
          <w:p>
            <w:pPr>
              <w:pStyle w:val="Compact"/>
              <w:jc w:val="left"/>
            </w:pPr>
            <w:r>
              <w:t xml:space="preserve">全球：聚变电网协议体系分化　美国主导IEEE框架推进聚变并网标准，中国在国标体系内同步制定替代协议，各自按本体系工程逻辑演进，互不协调。欧洲试图保持兼容性但逐步向A1标准收拢。协议分化本身不是主要驱动力，而是已有阵营分野在基础设施层面的技术固化——设备供应链、认证体系、运维数据接口随之绑定，切换成本随年限单向上升。</w:t>
            </w:r>
          </w:p>
        </w:tc>
      </w:tr>
      <w:tr>
        <w:tc>
          <w:tcPr/>
          <w:p>
            <w:pPr>
              <w:pStyle w:val="Compact"/>
              <w:jc w:val="left"/>
            </w:pPr>
            <w:r>
              <w:rPr>
                <w:bCs/>
                <w:b/>
              </w:rPr>
              <w:t xml:space="preserve">2044—2046</w:t>
            </w:r>
          </w:p>
        </w:tc>
        <w:tc>
          <w:tcPr/>
          <w:p>
            <w:pPr>
              <w:pStyle w:val="Compact"/>
              <w:jc w:val="left"/>
            </w:pPr>
            <w:r>
              <w:t xml:space="preserve">美国：首座商业原型堆并网（东海岸工业走廊）　这是工程里程碑，不是红利起点。第一代商业堆的平准化度电成本（平准化度电成本（LCOE））约60—100美元/MWh——高于同期成熟风光电（15—30美元/MWh），但提供风光无法提供的稳定基荷。它替代的是核电和化石燃料调峰，不是立即压低电价。意义在于验证了商业可行性，启动了规模化建设的融资和供应链。</w:t>
            </w:r>
          </w:p>
        </w:tc>
      </w:tr>
      <w:tr>
        <w:tc>
          <w:tcPr/>
          <w:p>
            <w:pPr>
              <w:pStyle w:val="Compact"/>
              <w:jc w:val="left"/>
            </w:pPr>
            <w:r>
              <w:rPr>
                <w:bCs/>
                <w:b/>
              </w:rPr>
              <w:t xml:space="preserve">2045—2047</w:t>
            </w:r>
          </w:p>
        </w:tc>
        <w:tc>
          <w:tcPr/>
          <w:p>
            <w:pPr>
              <w:pStyle w:val="Compact"/>
              <w:jc w:val="left"/>
            </w:pPr>
            <w:r>
              <w:t xml:space="preserve">中国：国家聚变电网部署启动　优先工业集群与AI算力基础设施。第一批聚变堆同样面临高初始成本，通过国家统筹定价使工业用电成本表现上优于市场价，代价是财政补贴——这是A2路径的制度优势：国家可以在商业回收期前强制推进部署。城市民用覆盖和农村延迟问题与A1同样存在，但时序由计划决定而非市场。</w:t>
            </w:r>
          </w:p>
        </w:tc>
      </w:tr>
    </w:tbl>
    <w:bookmarkEnd w:id="67"/>
    <w:bookmarkStart w:id="68" w:name="能源红利渗透阶段20472072"/>
    <w:p>
      <w:pPr>
        <w:pStyle w:val="Heading3"/>
      </w:pPr>
      <w:r>
        <w:t xml:space="preserve">3.2.2　能源红利渗透阶段（2047—2072）</w:t>
      </w:r>
    </w:p>
    <w:p>
      <w:pPr>
        <w:pStyle w:val="FirstParagraph"/>
      </w:pPr>
      <w:r>
        <w:t xml:space="preserve">商业并网是起点，不是终点。聚变的真正经济影响通过成本曲线下行、规模效应累积、产业重组三个相互强化的过程渐进释放，历时约25年。不同行业、不同地区在不同时间节点感受到实质变化——工业部门先于居民，A1/A2核心区先于边缘地区，高能耗行业先于服务业。</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2047—2052</w:t>
            </w:r>
          </w:p>
        </w:tc>
        <w:tc>
          <w:tcPr/>
          <w:p>
            <w:pPr>
              <w:pStyle w:val="Compact"/>
              <w:jc w:val="left"/>
            </w:pPr>
            <w:r>
              <w:t xml:space="preserve">第一波规模化：工业部门率先受益　随着第二、三座商业堆建成，规模效应开始压低建设成本（每翻倍产能降低约15—20%）。LCOE向40—70美元/MWh下降。能源占成本比例高的行业最先感受到实质变化：铝冶炼、氯碱化工、合成氨（化肥原料）、海水淡化、数据中心。深海采矿经济性越过临界点——采矿设备的持续运营能耗从主要成本项降为次要成本项。这个阶段的特征是：工业端看到了变化，居民端感受不明显。</w:t>
            </w:r>
          </w:p>
        </w:tc>
      </w:tr>
      <w:tr>
        <w:tc>
          <w:tcPr/>
          <w:p>
            <w:pPr>
              <w:pStyle w:val="Compact"/>
              <w:jc w:val="left"/>
            </w:pPr>
            <w:r>
              <w:rPr>
                <w:bCs/>
                <w:b/>
              </w:rPr>
              <w:t xml:space="preserve">2050—2055</w:t>
            </w:r>
          </w:p>
        </w:tc>
        <w:tc>
          <w:tcPr/>
          <w:p>
            <w:pPr>
              <w:pStyle w:val="Compact"/>
              <w:jc w:val="left"/>
            </w:pPr>
            <w:r>
              <w:t xml:space="preserve">石油需求开始系统性下滑　聚变电网覆盖率在A1/A2核心区达到约30—40%时，化石燃料的边际需求开始持续下降。不是价格崩溃，而是需求持续萎缩——产油国面临”量价齐跌”的长期压力。化石能源资源国的收入开始下行，但财政储备尚可支撑（主权财富基金的缓冲期约10—20年）。这是拐点，不是终点。</w:t>
            </w:r>
          </w:p>
        </w:tc>
      </w:tr>
      <w:tr>
        <w:tc>
          <w:tcPr/>
          <w:p>
            <w:pPr>
              <w:pStyle w:val="Compact"/>
              <w:jc w:val="left"/>
            </w:pPr>
            <w:r>
              <w:rPr>
                <w:bCs/>
                <w:b/>
              </w:rPr>
              <w:t xml:space="preserve">2052—2058</w:t>
            </w:r>
          </w:p>
        </w:tc>
        <w:tc>
          <w:tcPr/>
          <w:p>
            <w:pPr>
              <w:pStyle w:val="Compact"/>
              <w:jc w:val="left"/>
            </w:pPr>
            <w:r>
              <w:t xml:space="preserve">第二波扩张：LCOE突破竞争力临界　量产化使聚变堆建设成本降至约15—25亿美元/GW（相比首堆下降50—60%）。LCOE降至约20—35美元/MWh，开始在全负荷运行场景下与成熟光伏竞争。聚变的竞争优势不是最低价，而是稳定性——90%以上利用率的基荷，光伏无法提供，天然气成本更高。工业电价在A1/A2核心区较2026年下降40—55%。绿氢生产在经济上首次真正成立，合成燃料（合成可持续航空燃料（SAF））进入规模化生产。城市集群生活成本开始系统性下降（供暖、制冷、交通电力）。</w:t>
            </w:r>
          </w:p>
        </w:tc>
      </w:tr>
      <w:tr>
        <w:tc>
          <w:tcPr/>
          <w:p>
            <w:pPr>
              <w:pStyle w:val="Compact"/>
              <w:jc w:val="left"/>
            </w:pPr>
            <w:r>
              <w:rPr>
                <w:bCs/>
                <w:b/>
              </w:rPr>
              <w:t xml:space="preserve">2055—2060</w:t>
            </w:r>
          </w:p>
        </w:tc>
        <w:tc>
          <w:tcPr/>
          <w:p>
            <w:pPr>
              <w:pStyle w:val="Compact"/>
              <w:jc w:val="left"/>
            </w:pPr>
            <w:r>
              <w:t xml:space="preserve">配给体系的财政基础成立　廉价工业电力使合成食品、垂直农业的生产成本降至传统农业的同等水平或以下。大规模物质配给在财政上由不可行变为可行——不是因为能源免费，而是能源成本足够低使合成生产链的边际成本趋于最小化。这是各路径配给体系在2052—2058年间先后建立的能源物质基础（A2约2052年，A1约2054—2055年，欧洲约2056—2058年）。化石能源资源国普遍越过财政可持续的临界点，主权财富基金稀薄的国家开始出现危机。</w:t>
            </w:r>
          </w:p>
        </w:tc>
      </w:tr>
      <w:tr>
        <w:tc>
          <w:tcPr/>
          <w:p>
            <w:pPr>
              <w:pStyle w:val="Compact"/>
              <w:jc w:val="left"/>
            </w:pPr>
            <w:r>
              <w:rPr>
                <w:bCs/>
                <w:b/>
              </w:rPr>
              <w:t xml:space="preserve">2060—2072</w:t>
            </w:r>
          </w:p>
        </w:tc>
        <w:tc>
          <w:tcPr/>
          <w:p>
            <w:pPr>
              <w:pStyle w:val="Compact"/>
              <w:jc w:val="left"/>
            </w:pPr>
            <w:r>
              <w:t xml:space="preserve">成熟阶段：能源作为基础设施成本　第三代商业堆（技术成熟后标准化建设）LCOE约8—15美元/MWh。工业电价较2026年下降70—80%，居民电价在主要城市集群基本被纳入配给或极低定价。化石能源需求在A1/A2核心区已萎缩至基本可忽略——剩余用途是航空调峰和化工原料。石油美元体系实质性瓦解，美元储备货币地位进入加速侵蚀阶段。2072年：</w:t>
            </w:r>
            <w:r>
              <w:t xml:space="preserve">“</w:t>
            </w:r>
            <w:r>
              <w:t xml:space="preserve">能源成本趋近于零</w:t>
            </w:r>
            <w:r>
              <w:t xml:space="preserve">”</w:t>
            </w:r>
            <w:r>
              <w:t xml:space="preserve">是对这个阶段的近似描述——绝对值约为今天工业电价的5—15%，仍有运维和资本摊销成本，但相对于任何其他生产要素已可忽略不计。</w:t>
            </w:r>
          </w:p>
        </w:tc>
      </w:tr>
    </w:tbl>
    <w:bookmarkEnd w:id="68"/>
    <w:bookmarkStart w:id="69" w:name="聚变成本结构为何不能真正归零"/>
    <w:p>
      <w:pPr>
        <w:pStyle w:val="Heading3"/>
      </w:pPr>
      <w:r>
        <w:t xml:space="preserve">3.2.3　聚变成本结构：为何不能真正归零</w:t>
      </w:r>
    </w:p>
    <w:p>
      <w:pPr>
        <w:pStyle w:val="FirstParagraph"/>
      </w:pPr>
      <w:r>
        <w:t xml:space="preserve">聚变的燃料成本确实趋近于零——氘从海水提取（约0.003美元/kWh燃料当量），氚由堆内锂-6增殖自产，两者合计在LCOE中几乎可忽略。但资本成本（CAPEX）和运维成本（OPEX）是真实的工程开支，不会消失。</w:t>
      </w:r>
    </w:p>
    <w:p>
      <w:pPr>
        <w:pStyle w:val="BodyText"/>
      </w:pPr>
      <w:r>
        <w:rPr>
          <w:bCs/>
          <w:b/>
        </w:rPr>
        <w:t xml:space="preserve">中子辐照损伤是聚变运维的核心挑战。</w:t>
      </w:r>
      <w:r>
        <w:t xml:space="preserve">高能中子持续轰击第一壁材料和结构材料，导致金属脆化和活化。第一壁部件（钨/铍）需要每5—7年大修更换，产生低放射性废料。远程操作维护设备的成本在早期堆中占LCOE的约15—25%。2072年辐照损伤材料问题尚未被液态锂壁等技术完全解决——这是聚变运维成本无法压至极低的结构性原因。</w:t>
      </w:r>
    </w:p>
    <w:p>
      <w:pPr>
        <w:pStyle w:val="BodyText"/>
      </w:pPr>
      <w:r>
        <w:rPr>
          <w:bCs/>
          <w:b/>
        </w:rPr>
        <w:t xml:space="preserve">LCOE的理论下限约为8—15美元/MWh。</w:t>
      </w:r>
      <w:r>
        <w:t xml:space="preserve">假设建设成本随规模效应降至约10亿美元/GW（极乐观），30年寿命、90%利用率，资本分摊约3—5美元/MWh；运维（含材料更换）约5—10美元/MWh；燃料约0.1美元/MWh。2072年成熟电网的LCOE约8—15美元/MWh——相当于今天工业电价的约1/8到1/15，</w:t>
      </w:r>
      <w:r>
        <w:t xml:space="preserve">“</w:t>
      </w:r>
      <w:r>
        <w:t xml:space="preserve">趋近于零</w:t>
      </w:r>
      <w:r>
        <w:t xml:space="preserve">”</w:t>
      </w:r>
      <w:r>
        <w:t xml:space="preserve">是相对描述，不是绝对意义上的免费。</w:t>
      </w:r>
    </w:p>
    <w:p>
      <w:pPr>
        <w:pStyle w:val="BodyText"/>
      </w:pPr>
      <w:r>
        <w:rPr>
          <w:iCs/>
          <w:i/>
        </w:rPr>
        <w:t xml:space="preserve">聚变电力在2072年已经足够廉价，使能源成本从生产的主要约束变为次要基础设施成本。它没有消除经济成本，但改变了成本结构的权重——能源不再是限制性变量，资本、技术、人才和物流成为新的竞争要素。这个改变是深刻的，但它是渐进完成的，时间跨度从2047年到2072年，而不是2044年一步到位。</w:t>
      </w:r>
    </w:p>
    <w:bookmarkEnd w:id="69"/>
    <w:bookmarkEnd w:id="70"/>
    <w:bookmarkStart w:id="75" w:name="能源技术的分层共存"/>
    <w:p>
      <w:pPr>
        <w:pStyle w:val="Heading2"/>
      </w:pPr>
      <w:r>
        <w:t xml:space="preserve">3.3　能源技术的分层共存</w:t>
      </w:r>
    </w:p>
    <w:p>
      <w:pPr>
        <w:pStyle w:val="FirstParagraph"/>
      </w:pPr>
      <w:r>
        <w:t xml:space="preserve">能源转型从来不是线性替代，而是叠加和分层。聚变电网在2072年覆盖了主要城市集群和工业走廊，但全球大量旧电厂仍在服役——不是因为技术落后没有被替代，而是因为替代的经济逻辑尚未成立。一座2030年建成的燃气电厂设计寿命30–40年，关闭它需要的不是「有更好的技术」，而是「继续运行比替代更贵」。在很多地区，这个条件在2072年仍未达到。</w:t>
      </w:r>
    </w:p>
    <w:bookmarkStart w:id="71" w:name="旧技术的持续理由"/>
    <w:p>
      <w:pPr>
        <w:pStyle w:val="Heading3"/>
      </w:pPr>
      <w:r>
        <w:t xml:space="preserve">3.3.1　旧技术的持续理由</w:t>
      </w:r>
    </w:p>
    <w:p>
      <w:pPr>
        <w:pStyle w:val="FirstParagraph"/>
      </w:pPr>
      <w:r>
        <w:rPr>
          <w:bCs/>
          <w:b/>
        </w:rPr>
        <w:t xml:space="preserve">水力发电（最持久）。</w:t>
      </w:r>
      <w:r>
        <w:t xml:space="preserve">水坝一旦建成维护成本极低，不消耗燃料，聚变时代仍然是最便宜的电力来源之一，没有任何经济理由关闭。三峡、伊泰普、胡佛大坝在2072年仍然满负荷运行。唯一的约束是新坝不再建设——环境代价不值得，而且聚变已经满足增量需求。</w:t>
      </w:r>
    </w:p>
    <w:p>
      <w:pPr>
        <w:pStyle w:val="BodyText"/>
      </w:pPr>
      <w:r>
        <w:rPr>
          <w:bCs/>
          <w:b/>
        </w:rPr>
        <w:t xml:space="preserve">天然气调峰（最有韧性）。</w:t>
      </w:r>
      <w:r>
        <w:t xml:space="preserve">聚变提供稳定基础负荷，但电网仍然需要快速响应的调峰能力。聚变堆的启动和调节速度远慢于天然气电站（小时级vs分钟级）。在聚变+可再生能源的混合电网里，天然气调峰站仍然有不可替代的灵活性价值，到2072年燃料消耗量大幅下降但机组仍然在线。</w:t>
      </w:r>
    </w:p>
    <w:p>
      <w:pPr>
        <w:pStyle w:val="BodyText"/>
      </w:pPr>
      <w:r>
        <w:rPr>
          <w:bCs/>
          <w:b/>
        </w:rPr>
        <w:t xml:space="preserve">核裂变电站（地区性持续）。</w:t>
      </w:r>
      <w:r>
        <w:t xml:space="preserve">在聚变电网尚未覆盖的地区，2030–2040年代建成的核电站仍在服役年限内，不会被提前关闭。法国、日本、韩国的核电站在2072年仍是电力供应的重要组成部分。</w:t>
      </w:r>
    </w:p>
    <w:p>
      <w:pPr>
        <w:pStyle w:val="BodyText"/>
      </w:pPr>
      <w:r>
        <w:rPr>
          <w:bCs/>
          <w:b/>
        </w:rPr>
        <w:t xml:space="preserve">煤电（最快消失但未完全消失）。</w:t>
      </w:r>
      <w:r>
        <w:t xml:space="preserve">碳排放政治压力最大，灵活性最差，退役速度最快。但在能源贫困地区（撒哈拉以南非洲部分、南亚边缘区域），煤电可能是2072年仍在运行的最后一类化石燃料电厂，因为替代成本对当地而言太高，且缺乏足够的政治压力。</w:t>
      </w:r>
    </w:p>
    <w:p>
      <w:pPr>
        <w:pStyle w:val="BodyText"/>
      </w:pPr>
      <w:r>
        <w:rPr>
          <w:bCs/>
          <w:b/>
        </w:rPr>
        <w:t xml:space="preserve">太阳能与风能（与聚变并存）。</w:t>
      </w:r>
      <w:r>
        <w:t xml:space="preserve">不是旧技术，而是分散式的永久补充。聚变是集中式大型发电，太阳能是分散式就地发电，两者服务不同场景，不构成竞争。到2072年太阳能板成本极低，被遗忘地带的村庄用太阳能板加电池维持基本用电，完全不需要电网连接，是能源独立的极端形式。</w:t>
      </w:r>
    </w:p>
    <w:bookmarkEnd w:id="71"/>
    <w:bookmarkStart w:id="72" w:name="新的储能方式"/>
    <w:p>
      <w:pPr>
        <w:pStyle w:val="Heading3"/>
      </w:pPr>
      <w:r>
        <w:t xml:space="preserve">3.3.2　新的储能方式</w:t>
      </w:r>
    </w:p>
    <w:p>
      <w:pPr>
        <w:pStyle w:val="FirstParagraph"/>
      </w:pPr>
      <w:r>
        <w:t xml:space="preserve">聚变提供稳定的基础负荷，但电网仍然需要储能来应对供需时间错位——日夜负荷差、季节性波动、以及聚变堆本身启停调节速度慢（小时级）的内在限制。2072年的储能体系不依赖单一技术，而是由多类技术按时间尺度分工覆盖，从秒级的频率调节到季节级的长周期平衡，形成层叠互补的完整体系。</w:t>
      </w:r>
    </w:p>
    <w:p>
      <w:pPr>
        <w:pStyle w:val="BodyText"/>
      </w:pPr>
      <w:r>
        <w:rPr>
          <w:bCs/>
          <w:b/>
        </w:rPr>
        <w:t xml:space="preserve">电化学储能（秒到小时级）。</w:t>
      </w:r>
      <w:r>
        <w:t xml:space="preserve">固态电池在2072年技术成熟，能量密度大幅提升，成本持续下降，电网级储能广泛部署。城市里数以百万计的Muule电池通过V2G（Vehicle-to-Grid）协议参与电网调峰——停驶时向电网放电，充电时从电网吸电，形成巨大的分散式储能网络。换电站密度越高的地区，这个分散式网络的调峰容量越大，适合处理瞬时波动和小时内的供需错位。</w:t>
      </w:r>
    </w:p>
    <w:p>
      <w:pPr>
        <w:pStyle w:val="BodyText"/>
      </w:pPr>
      <w:r>
        <w:rPr>
          <w:bCs/>
          <w:b/>
        </w:rPr>
        <w:t xml:space="preserve">电解制氢与氢储能（小时到季节级）。</w:t>
      </w:r>
      <w:r>
        <w:t xml:space="preserve">聚变电力成本趋近于零后，电解水制氢（绿氢）在经济上首次真正成立——电力占制氢成本的70%以上，电价趋零使绿氢的边际生产成本大幅下降。多余的聚变电力在低谷时段电解制氢，以压缩气体、液氢或氨的形式储存，在需要时通过燃料电池或氢轮机发电，构成跨天乃至跨季节的超长时储能。2072年的氢储能不只服务电网调峰：作为化工原料，绿氢取代了大量依赖化石燃料的工业流程（合成氨、炼钢还原剂、精炼脱硫），成为聚变经济去碳化的关键工业枢纽。氢的主要挑战是储运效率——液氢沸点极低（−253°C），长距离管道输送存在泄漏损耗，2072年的主流方案是就地制氢就地消纳，或以氨（NH₃）作为载体进行远距离运输再还原。</w:t>
      </w:r>
    </w:p>
    <w:p>
      <w:pPr>
        <w:pStyle w:val="BodyText"/>
      </w:pPr>
      <w:r>
        <w:rPr>
          <w:bCs/>
          <w:b/>
        </w:rPr>
        <w:t xml:space="preserve">其他电化学储能形式。</w:t>
      </w:r>
      <w:r>
        <w:t xml:space="preserve">液流电池（钒液流、铁铬液流）适合大规模固定式储能，容量与功率解耦设计使其可以按需扩容，循环寿命远超锂电池，是工业园区和数据中心的常见选择。熔盐储热（Molten Salt）在聚变设施附近同样有应用空间——聚变产生的热量可以直接以熔盐形式储存，再按需转化为电力或工业蒸汽，热电转换效率高于先发电再储电的路径，适合工业热需求密集的区域。</w:t>
      </w:r>
    </w:p>
    <w:p>
      <w:pPr>
        <w:pStyle w:val="BodyText"/>
      </w:pPr>
      <w:r>
        <w:rPr>
          <w:bCs/>
          <w:b/>
        </w:rPr>
        <w:t xml:space="preserve">海水抽水蓄能（小时到天级）。</w:t>
      </w:r>
      <w:r>
        <w:t xml:space="preserve">利用临海山地地形，低谷时将海水抽至高处水库，高峰时放水发电。日本冲绳在1999年已建成全球首座海水抽水蓄能电站。聚变时代抽水成本趋近于零（只剩建设和维护成本），长时储能经济性大幅提升。主要挑战是海水腐蚀性——2072年的耐腐蚀材料（陶瓷涂层、高分子复合材料）成本已大幅下降，使这个障碍部分消除。适用地形有严格约束：需要临海且有山地，日本、挪威、智利、台湾、菲律宾、希腊群岛天然适合，平坦三角洲地区完全不适用。</w:t>
      </w:r>
    </w:p>
    <w:p>
      <w:pPr>
        <w:pStyle w:val="BodyText"/>
      </w:pPr>
      <w:r>
        <w:rPr>
          <w:bCs/>
          <w:b/>
        </w:rPr>
        <w:t xml:space="preserve">天然气调峰（过渡性保留）。</w:t>
      </w:r>
      <w:r>
        <w:t xml:space="preserve">聚变堆调节速度慢（小时级），电网在制氢储能和海水抽蓄大规模覆盖之前仍需要快速响应的调峰能力。天然气电站（分钟级响应）在2072年燃料消耗量大幅下降，但机组仍然在线，扮演的角色从主力发电退化为频率应急调节——随着氢储能和电化学储能的成熟，这个角色将进一步收窄，但在2072年尚未完全退出。</w:t>
      </w:r>
    </w:p>
    <w:p>
      <w:pPr>
        <w:pStyle w:val="BodyText"/>
      </w:pPr>
      <w:r>
        <w:rPr>
          <w:bCs/>
          <w:b/>
        </w:rPr>
        <w:t xml:space="preserve">储能体系的时间尺度分工。</w:t>
      </w:r>
      <w:r>
        <w:t xml:space="preserve">不同储能技术覆盖不同的时间尺度，层叠互补：固态电池和V2G网络覆盖秒至小时级的瞬时波动；液流电池和熔盐储热覆盖小时至天级的日内不平衡；制氢—燃料电池体系覆盖天至季节级的长周期平衡；海水抽水蓄能覆盖小时至天级且具备大容量特性，是前两类的地形依赖型补充。天然气调峰作为分钟级应急响应在过渡期并存。这个多层体系的形成使聚变电网在2072年具备从毫秒到季节的全尺度稳定能力，但各地区的覆盖密度因地理条件、投资能力和体系成熟度差异显著。</w:t>
      </w:r>
    </w:p>
    <w:bookmarkEnd w:id="72"/>
    <w:bookmarkStart w:id="73" w:name="年的能源分层地图"/>
    <w:p>
      <w:pPr>
        <w:pStyle w:val="Heading3"/>
      </w:pPr>
      <w:r>
        <w:t xml:space="preserve">3.3.3　2072年的能源分层地图</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地区类型</w:t>
            </w:r>
          </w:p>
        </w:tc>
        <w:tc>
          <w:tcPr/>
          <w:p>
            <w:pPr>
              <w:pStyle w:val="Compact"/>
              <w:jc w:val="left"/>
            </w:pPr>
            <w:r>
              <w:rPr>
                <w:bCs/>
                <w:b/>
              </w:rPr>
              <w:t xml:space="preserve">主要电力来源</w:t>
            </w:r>
          </w:p>
        </w:tc>
        <w:tc>
          <w:tcPr/>
          <w:p>
            <w:pPr>
              <w:pStyle w:val="Compact"/>
              <w:jc w:val="left"/>
            </w:pPr>
            <w:r>
              <w:rPr>
                <w:bCs/>
                <w:b/>
              </w:rPr>
              <w:t xml:space="preserve">调峰方式</w:t>
            </w:r>
          </w:p>
        </w:tc>
        <w:tc>
          <w:tcPr/>
          <w:p>
            <w:pPr>
              <w:pStyle w:val="Compact"/>
              <w:jc w:val="left"/>
            </w:pPr>
            <w:r>
              <w:rPr>
                <w:bCs/>
                <w:b/>
              </w:rPr>
              <w:t xml:space="preserve">旧技术状态</w:t>
            </w:r>
          </w:p>
        </w:tc>
      </w:tr>
      <w:tr>
        <w:tc>
          <w:tcPr/>
          <w:p>
            <w:pPr>
              <w:pStyle w:val="Compact"/>
              <w:jc w:val="left"/>
            </w:pPr>
            <w:r>
              <w:t xml:space="preserve">城市集群核心区</w:t>
            </w:r>
          </w:p>
        </w:tc>
        <w:tc>
          <w:tcPr/>
          <w:p>
            <w:pPr>
              <w:pStyle w:val="Compact"/>
              <w:jc w:val="left"/>
            </w:pPr>
            <w:r>
              <w:t xml:space="preserve">聚变电网</w:t>
            </w:r>
          </w:p>
        </w:tc>
        <w:tc>
          <w:tcPr/>
          <w:p>
            <w:pPr>
              <w:pStyle w:val="Compact"/>
              <w:jc w:val="left"/>
            </w:pPr>
            <w:r>
              <w:t xml:space="preserve">电池+V2G+制氢储能</w:t>
            </w:r>
          </w:p>
        </w:tc>
        <w:tc>
          <w:tcPr/>
          <w:p>
            <w:pPr>
              <w:pStyle w:val="Compact"/>
              <w:jc w:val="left"/>
            </w:pPr>
            <w:r>
              <w:t xml:space="preserve">旧电厂退役或转为应急备用</w:t>
            </w:r>
          </w:p>
        </w:tc>
      </w:tr>
      <w:tr>
        <w:tc>
          <w:tcPr/>
          <w:p>
            <w:pPr>
              <w:pStyle w:val="Compact"/>
              <w:jc w:val="left"/>
            </w:pPr>
            <w:r>
              <w:t xml:space="preserve">城市集群外围</w:t>
            </w:r>
          </w:p>
        </w:tc>
        <w:tc>
          <w:tcPr/>
          <w:p>
            <w:pPr>
              <w:pStyle w:val="Compact"/>
              <w:jc w:val="left"/>
            </w:pPr>
            <w:r>
              <w:t xml:space="preserve">聚变为主+调峰辅助</w:t>
            </w:r>
          </w:p>
        </w:tc>
        <w:tc>
          <w:tcPr/>
          <w:p>
            <w:pPr>
              <w:pStyle w:val="Compact"/>
              <w:jc w:val="left"/>
            </w:pPr>
            <w:r>
              <w:t xml:space="preserve">电池+V2G+天然气调峰（过渡）</w:t>
            </w:r>
          </w:p>
        </w:tc>
        <w:tc>
          <w:tcPr/>
          <w:p>
            <w:pPr>
              <w:pStyle w:val="Compact"/>
              <w:jc w:val="left"/>
            </w:pPr>
            <w:r>
              <w:t xml:space="preserve">天然气调峰机组仍在线</w:t>
            </w:r>
          </w:p>
        </w:tc>
      </w:tr>
      <w:tr>
        <w:tc>
          <w:tcPr/>
          <w:p>
            <w:pPr>
              <w:pStyle w:val="Compact"/>
              <w:jc w:val="left"/>
            </w:pPr>
            <w:r>
              <w:t xml:space="preserve">临海山地地区（日本、挪威、智利、台湾等）</w:t>
            </w:r>
          </w:p>
        </w:tc>
        <w:tc>
          <w:tcPr/>
          <w:p>
            <w:pPr>
              <w:pStyle w:val="Compact"/>
              <w:jc w:val="left"/>
            </w:pPr>
            <w:r>
              <w:t xml:space="preserve">聚变+水力+海水抽蓄</w:t>
            </w:r>
          </w:p>
        </w:tc>
        <w:tc>
          <w:tcPr/>
          <w:p>
            <w:pPr>
              <w:pStyle w:val="Compact"/>
              <w:jc w:val="left"/>
            </w:pPr>
            <w:r>
              <w:t xml:space="preserve">海水抽蓄（天级）+电池（小时级）+制氢（季节级）</w:t>
            </w:r>
          </w:p>
        </w:tc>
        <w:tc>
          <w:tcPr/>
          <w:p>
            <w:pPr>
              <w:pStyle w:val="Compact"/>
              <w:jc w:val="left"/>
            </w:pPr>
            <w:r>
              <w:t xml:space="preserve">水电满负荷，核电仍服役</w:t>
            </w:r>
          </w:p>
        </w:tc>
      </w:tr>
      <w:tr>
        <w:tc>
          <w:tcPr/>
          <w:p>
            <w:pPr>
              <w:pStyle w:val="Compact"/>
              <w:jc w:val="left"/>
            </w:pPr>
            <w:r>
              <w:t xml:space="preserve">内陆第三梯队城市</w:t>
            </w:r>
          </w:p>
        </w:tc>
        <w:tc>
          <w:tcPr/>
          <w:p>
            <w:pPr>
              <w:pStyle w:val="Compact"/>
              <w:jc w:val="left"/>
            </w:pPr>
            <w:r>
              <w:t xml:space="preserve">聚变输电+本地旧电厂</w:t>
            </w:r>
          </w:p>
        </w:tc>
        <w:tc>
          <w:tcPr/>
          <w:p>
            <w:pPr>
              <w:pStyle w:val="Compact"/>
              <w:jc w:val="left"/>
            </w:pPr>
            <w:r>
              <w:t xml:space="preserve">天然气调峰（过渡）+电池</w:t>
            </w:r>
          </w:p>
        </w:tc>
        <w:tc>
          <w:tcPr/>
          <w:p>
            <w:pPr>
              <w:pStyle w:val="Compact"/>
              <w:jc w:val="left"/>
            </w:pPr>
            <w:r>
              <w:t xml:space="preserve">天然气/核裂变仍是主力</w:t>
            </w:r>
          </w:p>
        </w:tc>
      </w:tr>
      <w:tr>
        <w:tc>
          <w:tcPr/>
          <w:p>
            <w:pPr>
              <w:pStyle w:val="Compact"/>
              <w:jc w:val="left"/>
            </w:pPr>
            <w:r>
              <w:t xml:space="preserve">低速体系边缘区域</w:t>
            </w:r>
          </w:p>
        </w:tc>
        <w:tc>
          <w:tcPr/>
          <w:p>
            <w:pPr>
              <w:pStyle w:val="Compact"/>
              <w:jc w:val="left"/>
            </w:pPr>
            <w:r>
              <w:t xml:space="preserve">旧电厂+输电线延伸</w:t>
            </w:r>
          </w:p>
        </w:tc>
        <w:tc>
          <w:tcPr/>
          <w:p>
            <w:pPr>
              <w:pStyle w:val="Compact"/>
              <w:jc w:val="left"/>
            </w:pPr>
            <w:r>
              <w:t xml:space="preserve">柴油备用</w:t>
            </w:r>
          </w:p>
        </w:tc>
        <w:tc>
          <w:tcPr/>
          <w:p>
            <w:pPr>
              <w:pStyle w:val="Compact"/>
              <w:jc w:val="left"/>
            </w:pPr>
            <w:r>
              <w:t xml:space="preserve">旧电厂是主要来源</w:t>
            </w:r>
          </w:p>
        </w:tc>
      </w:tr>
      <w:tr>
        <w:tc>
          <w:tcPr/>
          <w:p>
            <w:pPr>
              <w:pStyle w:val="Compact"/>
              <w:jc w:val="left"/>
            </w:pPr>
            <w:r>
              <w:t xml:space="preserve">被遗忘地带</w:t>
            </w:r>
          </w:p>
        </w:tc>
        <w:tc>
          <w:tcPr/>
          <w:p>
            <w:pPr>
              <w:pStyle w:val="Compact"/>
              <w:jc w:val="left"/>
            </w:pPr>
            <w:r>
              <w:t xml:space="preserve">太阳能板+小型柴油机</w:t>
            </w:r>
          </w:p>
        </w:tc>
        <w:tc>
          <w:tcPr/>
          <w:p>
            <w:pPr>
              <w:pStyle w:val="Compact"/>
              <w:jc w:val="left"/>
            </w:pPr>
            <w:r>
              <w:t xml:space="preserve">铅酸或锂电池</w:t>
            </w:r>
          </w:p>
        </w:tc>
        <w:tc>
          <w:tcPr/>
          <w:p>
            <w:pPr>
              <w:pStyle w:val="Compact"/>
              <w:jc w:val="left"/>
            </w:pPr>
            <w:r>
              <w:t xml:space="preserve">无电网，完全分散式</w:t>
            </w:r>
          </w:p>
        </w:tc>
      </w:tr>
    </w:tbl>
    <w:p>
      <w:pPr>
        <w:pStyle w:val="BodyText"/>
      </w:pPr>
      <w:r>
        <w:t xml:space="preserve">能源技术的多样性是多态社会的物质基础之一，不是过渡期的暂时状态，而是2072年的常态。在第三梯队城市，可以同时看到1990年代建成的燃气电厂和远处高压线传来的聚变电力——两个时代的技术在同一空间共存，是各路径活在不同历史时间里最具体的物质呈现。</w:t>
      </w:r>
    </w:p>
    <w:bookmarkEnd w:id="73"/>
    <w:bookmarkStart w:id="74" w:name="年电网图景"/>
    <w:p>
      <w:pPr>
        <w:pStyle w:val="Heading3"/>
      </w:pPr>
      <w:r>
        <w:t xml:space="preserve">3.3.4　2072年电网图景</w:t>
      </w:r>
    </w:p>
    <w:p>
      <w:pPr>
        <w:pStyle w:val="FirstParagraph"/>
      </w:pPr>
      <w:r>
        <w:t xml:space="preserve">电网是能源技术分层共存的物质载体，也是聚变时代最重要的基础设施之一。2072年的全球电网不是推倒重建的产物，而是在20世纪积累的区域交流（AC）同步体系上叠加新节点的演化结果。聚变电站作为新型大功率电源接入既有电网，并未颠覆其基本架构——改变的是发电侧的成本结构，以及由此引发的选址逻辑、输电格局和体系差异。A1和A2两套体系在电网演化上走出了不同的路径，两者合计覆盖了全球大多数国家电网的主要结构类型。</w:t>
      </w:r>
    </w:p>
    <w:p>
      <w:pPr>
        <w:pStyle w:val="BodyText"/>
      </w:pPr>
      <w:r>
        <w:rPr>
          <w:bCs/>
          <w:b/>
        </w:rPr>
        <w:t xml:space="preserve">聚变电站选址：就近优先。</w:t>
      </w:r>
      <w:r>
        <w:t xml:space="preserve">聚变电站的真实选址约束是冷却水源（滨海或大型河流旁最优，但可以用冷却塔）、地质稳定性，以及约数公里的工程安全缓冲区——这与今天的核裂变电站量级相当，而非十倍于此。法国大量核电站建在塞纳河、卢瓦尔河沿岸，距巴黎不过100公里左右；2072年的聚变电站遵循同样的选址逻辑，通常建在城市外围50—200公里处，而非深入荒野。就近建设才是成本最优的默认选择：输电距离越短，线路损耗和基础设施投资越低。</w:t>
      </w:r>
      <w:r>
        <w:t xml:space="preserve">“</w:t>
      </w:r>
      <w:r>
        <w:t xml:space="preserve">聚变电站天然远离城市</w:t>
      </w:r>
      <w:r>
        <w:t xml:space="preserve">”</w:t>
      </w:r>
      <w:r>
        <w:t xml:space="preserve">是对今天中国西电东送格局的过度推广，不是聚变技术本身的约束。</w:t>
      </w:r>
    </w:p>
    <w:p>
      <w:pPr>
        <w:pStyle w:val="BodyText"/>
      </w:pPr>
      <w:r>
        <w:rPr>
          <w:bCs/>
          <w:b/>
        </w:rPr>
        <w:t xml:space="preserve">A1电网：市场驱动的就近格局，HVDC作为补充。</w:t>
      </w:r>
      <w:r>
        <w:t xml:space="preserve">在A1体系中，聚变电站选址由市场决策主导：投资者优先在城市外围寻找合适的水源和地质条件，将输电损耗和基础设施成本内化为建设决策的一部分。结果是聚变电站倾向于靠近负荷中心，区域骨干电网仍以超高压交流（UHV-AC）为主，聚变电站就近并入，不需要特别长的输电走廊。高压直流（HVDC）在A1体系中承担补充角色，主要应用于两类场景：跨越非同步区域——美国东西部电网历史上是两个独立同步系统，互联须通过直流背靠背或直流联络线，2072年这条走廊已扩容，成为联系两侧聚变电力的重要通道；以及少数为特定工业目的建在偏远地点的聚变电站（如服务内陆采矿带或高耗能化工区），其长距离送出走廊选择HVDC。A1电网的多样性是历史积累的结果：各州、各国电网标准不统一，互操作依赖市场协议而非统一规划，调度分散，韧性较强但协调效率相对较低。这一结构对应大多数市场经济体的电网形态——西欧、日本、澳大利亚、加拿大均属此类。</w:t>
      </w:r>
    </w:p>
    <w:p>
      <w:pPr>
        <w:pStyle w:val="BodyText"/>
      </w:pPr>
      <w:r>
        <w:rPr>
          <w:bCs/>
          <w:b/>
        </w:rPr>
        <w:t xml:space="preserve">A2电网：计划主导的远端格局，HVDC比重更高。</w:t>
      </w:r>
      <w:r>
        <w:t xml:space="preserve">A2体系的电网格局有其历史遗产：煤电和风光资源集中在西北内陆，主要负荷在东部沿海城市群，西电东送走廊在聚变时代之前已大量采用特高压直流（UHV-DC）。聚变电站的部署沿用了这一格局——既因为西部工业区和能源走廊需要就近供电，也因为国家统一规划允许将聚变电站部署在距负荷中心数百公里的战略位置，而不必完全服从市场最优选址。HVDC在A2电网中是骨干网的核心组成部分：多条特高压直流走廊从西部聚变电站群向东部城市集群馈电，由统一调度中心实时协调，负荷预测精度较高（配给体系提供细粒度用电数据），调度效率优于A1。代价是中心化的系统脆弱性——统一调度节点是战略攻击目标，单点故障可引发大范围影响，备份节点的地理分布因此是核心基础设施机密（这一逻辑与3.13.9节道路控制系统一致）。A2的电网结构对应大国计划主导的电力体系，俄罗斯、中亚及多个A2伙伴国均呈现类似特征。</w:t>
      </w:r>
    </w:p>
    <w:p>
      <w:pPr>
        <w:pStyle w:val="BodyText"/>
      </w:pPr>
      <w:r>
        <w:rPr>
          <w:bCs/>
          <w:b/>
        </w:rPr>
        <w:t xml:space="preserve">新技术：直流微电网与高温超导走廊。</w:t>
      </w:r>
      <w:r>
        <w:t xml:space="preserve">在两套体系内部，两类新兴输电技术在2072年已进入实用阶段。第一类是直流微电网：AGI数据中心和全自动工厂的内部配电系统已从传统交流切换为高压直流母线（约380V DC标准），减少多级AC/DC转换损耗，全链路效率提升约8—12%。在能耗极度敏感的算力场景下，聚变电站以直流形式直接向数据中心馈电，省去发电侧换流站，是真实的工程收益。算力基础设施因此存在向聚变电站周边集中的选址倾向，形成“聚变—算力”空间耦合的工业节点。第二类是高温超导输电：以液氮冷却（约77K）的高温超导线缆，线路损耗趋近于零，但冷却系统的建设和维护成本仍然不低。2072年高温超导尚未普及，仅在少数对损耗极度敏感的高价值走廊（如聚变电站直连GW级数据中心园区）完成商业部署，是可见的技术前沿，不是主流输电方式。室温超导在2072年仍是实验室阶段，未进入工程应用。</w:t>
      </w:r>
    </w:p>
    <w:p>
      <w:pPr>
        <w:pStyle w:val="BodyText"/>
      </w:pPr>
      <w:r>
        <w:rPr>
          <w:bCs/>
          <w:b/>
        </w:rPr>
        <w:t xml:space="preserve">跨体系电力贸易窗口。</w:t>
      </w:r>
      <w:r>
        <w:t xml:space="preserve">HVDC有一个与阵营格局相关的技术特性：直流线路两端的换流站各自适配本地交流电网的频率和协议标准，中间的直流段在物理上不携带任何控制协议信息，因而可以连接两套采用不同标准的交流系统。这是边界地带少数跨体系能量交换节点存在的技术基础——在A1/A2接壤区域，有限规模的电力贸易窗口通过这种方式得以运作，双方均视其为边际性补充，不改变各自体系的基本供电结构，也不构成实质性的体系依赖。</w:t>
      </w:r>
    </w:p>
    <w:bookmarkEnd w:id="74"/>
    <w:bookmarkEnd w:id="75"/>
    <w:bookmarkStart w:id="79" w:name="资源体系地缘博弈与2072年图景"/>
    <w:p>
      <w:pPr>
        <w:pStyle w:val="Heading2"/>
      </w:pPr>
      <w:r>
        <w:t xml:space="preserve">3.4　资源体系：地缘博弈与2072年图景</w:t>
      </w:r>
    </w:p>
    <w:p>
      <w:pPr>
        <w:pStyle w:val="FirstParagraph"/>
      </w:pPr>
      <w:r>
        <w:t xml:space="preserve">2072年的全球资源体系由两条逻辑共同塑造：一是聚变能源改变了每一个开采环节的成本结构，使长期不经济的方式重新可行，使就地处理成为常规，使合成路线从不得已变为主动选择；二是能源充裕触发了深海、极地、太空三个层次的资源地缘博弈，规则不是谈判设计的产物，而是技术能力和先占事实的事后追认。两条逻辑相互嵌套——地缘博弈决定了谁能进入哪些资源，技术经济逻辑决定了进入后能做什么。</w:t>
      </w:r>
    </w:p>
    <w:bookmarkStart w:id="76" w:name="资源地缘博弈时间线20292065"/>
    <w:p>
      <w:pPr>
        <w:pStyle w:val="Heading3"/>
      </w:pPr>
      <w:r>
        <w:t xml:space="preserve">3.4.1　资源地缘博弈时间线（2029—2065）</w:t>
      </w:r>
    </w:p>
    <w:p>
      <w:pPr>
        <w:pStyle w:val="FirstParagraph"/>
      </w:pPr>
      <w:r>
        <w:t xml:space="preserve">聚变能源的突破从根本上改变了资源博弈的底层逻辑，触发深海、极地、太空三个层次的资源争夺。这个改变分两个阶段发生：2037—2044年聚变突破改变了战略预期——各方判断廉价能源迟早到来，提前布局资源先占位置；2047年后聚变电力真正降低采矿运营成本，深海、极地采矿的经济性才实质性改善，将战略布局转化为商业现实。两个阶段的驱动力不同——前者是预期博弈，后者是成本重构——但叠加产生了本节描述的完整地缘格局。竞争主体和规则形成机制各不相同：深海以企业为主体（受本国法规约束，向强权注册寻求保护），极地和太空以国家为主体。最终规则不是谈判设计的产物，而是技术能力和先占事实的事后追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时间</w:t>
            </w:r>
          </w:p>
        </w:tc>
        <w:tc>
          <w:tcPr/>
          <w:p>
            <w:pPr>
              <w:pStyle w:val="Compact"/>
              <w:jc w:val="left"/>
            </w:pPr>
            <w:r>
              <w:rPr>
                <w:bCs/>
                <w:b/>
              </w:rPr>
              <w:t xml:space="preserve">事件</w:t>
            </w:r>
          </w:p>
        </w:tc>
      </w:tr>
      <w:tr>
        <w:tc>
          <w:tcPr/>
          <w:p>
            <w:pPr>
              <w:pStyle w:val="Compact"/>
              <w:jc w:val="left"/>
            </w:pPr>
            <w:r>
              <w:rPr>
                <w:bCs/>
                <w:b/>
              </w:rPr>
              <w:t xml:space="preserve">深海：企业借壳的国家竞争</w:t>
            </w:r>
          </w:p>
        </w:tc>
        <w:tc>
          <w:tcPr/>
          <w:p>
            <w:pPr>
              <w:pStyle w:val="Compact"/>
            </w:pPr>
          </w:p>
        </w:tc>
      </w:tr>
      <w:tr>
        <w:tc>
          <w:tcPr/>
          <w:p>
            <w:pPr>
              <w:pStyle w:val="Compact"/>
              <w:jc w:val="left"/>
            </w:pPr>
            <w:r>
              <w:rPr>
                <w:bCs/>
                <w:b/>
              </w:rPr>
              <w:t xml:space="preserve">2029–37</w:t>
            </w:r>
          </w:p>
        </w:tc>
        <w:tc>
          <w:tcPr/>
          <w:p>
            <w:pPr>
              <w:pStyle w:val="Compact"/>
              <w:jc w:val="left"/>
            </w:pPr>
            <w:r>
              <w:rPr>
                <w:bCs/>
                <w:b/>
              </w:rPr>
              <w:t xml:space="preserve">深海采矿法律真空期</w:t>
            </w:r>
            <w:r>
              <w:t xml:space="preserve"> </w:t>
            </w:r>
            <w:r>
              <w:t xml:space="preserve">ISA改革谈判持续失败。中国通过伙伴国注册企业开始试采，美国企业以竞争公平为由要求松绑国内监管。企业注册地选择完成对两套体系的归队——深海采矿企业在美国或中国注册，获得母国外交保护、军事存在背书和融资渠道；作为交换，母国获得战略资源优先获取权和谈判筹码。</w:t>
            </w:r>
            <w:r>
              <w:rPr>
                <w:iCs/>
                <w:i/>
              </w:rPr>
              <w:t xml:space="preserve">全球南方国家即使在自己大陆架延伸区内，也倾向于与强权企业合作而非独立开采，形成新的资源依附结构。</w:t>
            </w:r>
          </w:p>
        </w:tc>
      </w:tr>
      <w:tr>
        <w:tc>
          <w:tcPr/>
          <w:p>
            <w:pPr>
              <w:pStyle w:val="Compact"/>
              <w:jc w:val="left"/>
            </w:pPr>
            <w:r>
              <w:rPr>
                <w:bCs/>
                <w:b/>
              </w:rPr>
              <w:t xml:space="preserve">2037–44</w:t>
            </w:r>
          </w:p>
        </w:tc>
        <w:tc>
          <w:tcPr/>
          <w:p>
            <w:pPr>
              <w:pStyle w:val="Compact"/>
              <w:jc w:val="left"/>
            </w:pPr>
            <w:r>
              <w:rPr>
                <w:bCs/>
                <w:b/>
              </w:rPr>
              <w:t xml:space="preserve">深海商业化临界</w:t>
            </w:r>
            <w:r>
              <w:t xml:space="preserve"> </w:t>
            </w:r>
            <w:r>
              <w:t xml:space="preserve">聚变突破改变了资本市场对能源成本的长期预期——投资者判断廉价电力必然到来，深海采矿的长期运营成本将系统性下降。在这个预期驱动下，大规模商业融资得以完成，第一批大规模商业作业在太平洋克拉里昂-克利伯顿区启动。这个阶段的盈利依赖稀土和钴的战略溢价，而非已经实现的低能源成本——聚变电力真正降低采矿运营成本要到2047—2052年才发生（见3.2节）。ISA被架空为形式机构，实际规则是母国外交和军事存在决定使用权。资源收益结构：锰结核除锰之外含镍、铜、钴及稀土等元素及稀土元素。太平洋深海稀土总量估计超过陆地已知储量数倍，且分布于国际水域，不在任何单一国家主权控制之下——这是深海稀土打破中国陆地垄断的地缘基础。中国国家资本具有先发优势，主要供应方可能仍是中国体系的深海城镇，但垄断性质从「地理控制」转变为「技术和资本门槛」，稀土从硬性地缘武器变成市场竞争商品。</w:t>
            </w:r>
          </w:p>
        </w:tc>
      </w:tr>
      <w:tr>
        <w:tc>
          <w:tcPr/>
          <w:p>
            <w:pPr>
              <w:pStyle w:val="Compact"/>
              <w:jc w:val="left"/>
            </w:pPr>
            <w:r>
              <w:rPr>
                <w:bCs/>
                <w:b/>
              </w:rPr>
              <w:t xml:space="preserve">2050–65</w:t>
            </w:r>
          </w:p>
        </w:tc>
        <w:tc>
          <w:tcPr/>
          <w:p>
            <w:pPr>
              <w:pStyle w:val="Compact"/>
              <w:jc w:val="left"/>
            </w:pPr>
            <w:r>
              <w:rPr>
                <w:bCs/>
                <w:b/>
              </w:rPr>
              <w:t xml:space="preserve">深海采矿城镇形成</w:t>
            </w:r>
            <w:r>
              <w:t xml:space="preserve"> </w:t>
            </w:r>
            <w:r>
              <w:t xml:space="preserve">2047—2052年聚变电力大规模渗透后，采矿设备的持续运营能耗从主要成本项降为次要成本项，深海采矿在2050年前后越过商业可持续临界点——不只是战略投资，而是可以产生正常商业回报的运营。城镇形态随之从临时工业营地向永久社区演化。三层结构逐步确立。水面层：港口城镇形态，400–800名居民以家庭为单位定居，去除重工业后是真正的城镇而非工厂加宿舍。居住社区、航空甲板、运输舱码头、AUV/ROV控制站，动态定位系统保持相对于海底锚固点的精确位置。浮潜工厂层（2050年代后逐步下沉）：水下100–150米，完全脱离海浪影响，承担初级处理、精炼、金属提取、密封运输舱装填全部重工业，工作人员每日通勤潜艇上下班。三类专用运输：密封运输舱经导索-浮筒系统浮力驱动上升至水面，由码头起重机吊运至矿产专用运输船。海底层：4000–5000米全自主无人系统，采矿车群靠声呐和传感器在绝对黑暗中作业，遥控巡检为主，载人下潜极稀少（约每月1–2次特殊任务）。</w:t>
            </w:r>
            <w:r>
              <w:rPr>
                <w:iCs/>
                <w:i/>
              </w:rPr>
              <w:t xml:space="preserve">稀土战略价值：深海稀土（钕、镝等）规模化供应使全球稀土价格从2050年代开始系统性下降，2060年代已对中国陆地垄断形成实质冲击。价格下降带动道路磁阻基础设施成本下降，使高速道路控制体系的经济可行边界缓慢外移——但这只是必要条件，不是充分条件。小城镇因本地产出萎缩、车流量不足，仍无法越过经济可行点，永久停留在低速电池模式。基础设施分层在2072年基本是结构性固化的，稀土价格的变化改变了边界的位置，不改变边界存在的事实。</w:t>
            </w:r>
          </w:p>
        </w:tc>
      </w:tr>
      <w:tr>
        <w:tc>
          <w:tcPr/>
          <w:p>
            <w:pPr>
              <w:pStyle w:val="Compact"/>
              <w:jc w:val="left"/>
            </w:pPr>
            <w:r>
              <w:rPr>
                <w:bCs/>
                <w:b/>
              </w:rPr>
              <w:t xml:space="preserve">极地：主权延伸的国家博弈</w:t>
            </w:r>
          </w:p>
        </w:tc>
        <w:tc>
          <w:tcPr/>
          <w:p>
            <w:pPr>
              <w:pStyle w:val="Compact"/>
            </w:pPr>
          </w:p>
        </w:tc>
      </w:tr>
      <w:tr>
        <w:tc>
          <w:tcPr/>
          <w:p>
            <w:pPr>
              <w:pStyle w:val="Compact"/>
              <w:jc w:val="left"/>
            </w:pPr>
            <w:r>
              <w:rPr>
                <w:bCs/>
                <w:b/>
              </w:rPr>
              <w:t xml:space="preserve">2040–50</w:t>
            </w:r>
          </w:p>
        </w:tc>
        <w:tc>
          <w:tcPr/>
          <w:p>
            <w:pPr>
              <w:pStyle w:val="Compact"/>
              <w:jc w:val="left"/>
            </w:pPr>
            <w:r>
              <w:rPr>
                <w:bCs/>
                <w:b/>
              </w:rPr>
              <w:t xml:space="preserve">北极资源博弈白热化</w:t>
            </w:r>
            <w:r>
              <w:t xml:space="preserve"> </w:t>
            </w:r>
            <w:r>
              <w:t xml:space="preserve">聚变突破的战略预期已使俄罗斯能源武器的长期可信度系统性下降——各方判断对俄化石燃料依赖是可以被替代的，俄罗斯的能源勒索空间收窄。2047年后聚变电力大规模渗透，能源武器实质性失效。北极矿产资源因此成为俄罗斯在聚变时代最后尚存的战略筹码，但俄罗斯缺乏独立开采的技术能力，逐步成为中国体系的资源附庸。UNCLOS大陆架延伸申请成为各国主要法律工具，重叠主张区域事实控制权由技术存在决定。</w:t>
            </w:r>
          </w:p>
        </w:tc>
      </w:tr>
      <w:tr>
        <w:tc>
          <w:tcPr/>
          <w:p>
            <w:pPr>
              <w:pStyle w:val="Compact"/>
              <w:jc w:val="left"/>
            </w:pPr>
            <w:r>
              <w:rPr>
                <w:bCs/>
                <w:b/>
              </w:rPr>
              <w:t xml:space="preserve">2048</w:t>
            </w:r>
          </w:p>
        </w:tc>
        <w:tc>
          <w:tcPr/>
          <w:p>
            <w:pPr>
              <w:pStyle w:val="Compact"/>
              <w:jc w:val="left"/>
            </w:pPr>
            <w:r>
              <w:rPr>
                <w:bCs/>
                <w:b/>
              </w:rPr>
              <w:t xml:space="preserve">南极条约到期谈判</w:t>
            </w:r>
            <w:r>
              <w:t xml:space="preserve"> </w:t>
            </w:r>
            <w:r>
              <w:t xml:space="preserve">《南极条约》1959年签署，1991年附加议定书将矿产开采禁令延伸50年至2041年（可重新谈判）。在聚变背景下各方争夺动机最强。主线结果：谈判陷入僵局，形成「冻结的冻结」——原有主权主张冻结状态被维持，但科考存在实质上演变为资源勘探存在，为后续开采积累先占事实。</w:t>
            </w:r>
          </w:p>
        </w:tc>
      </w:tr>
      <w:tr>
        <w:tc>
          <w:tcPr/>
          <w:p>
            <w:pPr>
              <w:pStyle w:val="Compact"/>
              <w:jc w:val="left"/>
            </w:pPr>
            <w:r>
              <w:rPr>
                <w:bCs/>
                <w:b/>
              </w:rPr>
              <w:t xml:space="preserve">太空：先占决定规则</w:t>
            </w:r>
          </w:p>
        </w:tc>
        <w:tc>
          <w:tcPr/>
          <w:p>
            <w:pPr>
              <w:pStyle w:val="Compact"/>
            </w:pPr>
          </w:p>
        </w:tc>
      </w:tr>
      <w:tr>
        <w:tc>
          <w:tcPr/>
          <w:p>
            <w:pPr>
              <w:pStyle w:val="Compact"/>
              <w:jc w:val="left"/>
            </w:pPr>
            <w:r>
              <w:rPr>
                <w:bCs/>
                <w:b/>
              </w:rPr>
              <w:t xml:space="preserve">2035–50</w:t>
            </w:r>
          </w:p>
        </w:tc>
        <w:tc>
          <w:tcPr/>
          <w:p>
            <w:pPr>
              <w:pStyle w:val="Compact"/>
              <w:jc w:val="left"/>
            </w:pPr>
            <w:r>
              <w:rPr>
                <w:bCs/>
                <w:b/>
              </w:rPr>
              <w:t xml:space="preserve">月球南极先占竞争</w:t>
            </w:r>
            <w:r>
              <w:t xml:space="preserve"> </w:t>
            </w:r>
            <w:r>
              <w:t xml:space="preserve">月球水冰资源作为深空火箭燃料的战略价值驱动先占——不是地球经济用途，而是深空开发的基础设施节点。美国阿尔忒弥斯体系与中国同步推进永久存在。「安全区」概念实质成为排他性控制区。月球南极有限区域形成两套体系的物理边界。</w:t>
            </w:r>
            <w:r>
              <w:rPr>
                <w:iCs/>
                <w:i/>
              </w:rPr>
              <w:t xml:space="preserve">中国早期以「人类共同遗产」原则阻碍美国先占规则，技术追赶完成后转向务实谈判。</w:t>
            </w:r>
          </w:p>
        </w:tc>
      </w:tr>
      <w:tr>
        <w:tc>
          <w:tcPr/>
          <w:p>
            <w:pPr>
              <w:pStyle w:val="Compact"/>
              <w:jc w:val="left"/>
            </w:pPr>
            <w:r>
              <w:rPr>
                <w:bCs/>
                <w:b/>
              </w:rPr>
              <w:t xml:space="preserve">规则框架：中美主导的事后追认</w:t>
            </w:r>
          </w:p>
        </w:tc>
        <w:tc>
          <w:tcPr/>
          <w:p>
            <w:pPr>
              <w:pStyle w:val="Compact"/>
            </w:pPr>
          </w:p>
        </w:tc>
      </w:tr>
      <w:tr>
        <w:tc>
          <w:tcPr/>
          <w:p>
            <w:pPr>
              <w:pStyle w:val="Compact"/>
              <w:jc w:val="left"/>
            </w:pPr>
            <w:r>
              <w:rPr>
                <w:bCs/>
                <w:b/>
              </w:rPr>
              <w:t xml:space="preserve">2040–48</w:t>
            </w:r>
          </w:p>
        </w:tc>
        <w:tc>
          <w:tcPr/>
          <w:p>
            <w:pPr>
              <w:pStyle w:val="Compact"/>
              <w:jc w:val="left"/>
            </w:pPr>
            <w:r>
              <w:rPr>
                <w:bCs/>
                <w:b/>
              </w:rPr>
              <w:t xml:space="preserve">中国战略性立场转变</w:t>
            </w:r>
            <w:r>
              <w:t xml:space="preserve"> </w:t>
            </w:r>
            <w:r>
              <w:t xml:space="preserve">深海和太空技术追赶完成后，继续坚持「人类共同遗产」原则的代价超过收益。中国转向双边和多边谈判，以承认既有先占事实换取自身控制区的国际认可。俄罗斯被排除在主要谈判框架之外。逻辑与中国加入WTO相同：先在体系外抵制，能力到位后进入体系并从内部影响规则。</w:t>
            </w:r>
          </w:p>
        </w:tc>
      </w:tr>
      <w:tr>
        <w:tc>
          <w:tcPr/>
          <w:p>
            <w:pPr>
              <w:pStyle w:val="Compact"/>
              <w:jc w:val="left"/>
            </w:pPr>
            <w:r>
              <w:rPr>
                <w:bCs/>
                <w:b/>
              </w:rPr>
              <w:t xml:space="preserve">2048–55</w:t>
            </w:r>
          </w:p>
        </w:tc>
        <w:tc>
          <w:tcPr/>
          <w:p>
            <w:pPr>
              <w:pStyle w:val="Compact"/>
              <w:jc w:val="left"/>
            </w:pPr>
            <w:r>
              <w:rPr>
                <w:bCs/>
                <w:b/>
              </w:rPr>
              <w:t xml:space="preserve">中美主导资源规则框架形成</w:t>
            </w:r>
            <w:r>
              <w:t xml:space="preserve"> </w:t>
            </w:r>
            <w:r>
              <w:t xml:space="preserve">南极条约到期谈判、深海采矿规则、月球安全区定义，在中美双边框架下逐步达成。规则内容：承认先占事实形成的控制区；建立最低限度冲突预防机制（类似冷战军备控制协议——不是合作，是管理对抗）；全球南方国家以加入某一体系换取资源分成。</w:t>
            </w:r>
            <w:r>
              <w:rPr>
                <w:iCs/>
                <w:i/>
              </w:rPr>
              <w:t xml:space="preserve">结果与聚变协议分化相同：不是统一规则，而是两套体系各自完整，在接触面有最低限度的互操作协议。</w:t>
            </w:r>
          </w:p>
        </w:tc>
      </w:tr>
    </w:tbl>
    <w:bookmarkEnd w:id="76"/>
    <w:bookmarkStart w:id="77" w:name="年资源体系开采回收与合成"/>
    <w:p>
      <w:pPr>
        <w:pStyle w:val="Heading3"/>
      </w:pPr>
      <w:r>
        <w:t xml:space="preserve">3.4.2　2072年资源体系：开采、回收与合成</w:t>
      </w:r>
    </w:p>
    <w:p>
      <w:pPr>
        <w:pStyle w:val="FirstParagraph"/>
      </w:pPr>
      <w:r>
        <w:t xml:space="preserve">聚变能源改变了资源体系的每一个环节：能源不再是约束，原料来源和物流成本才是约束。这使长期不经济的开采方式重新可行，使高能耗的就地处理成为常规，也使合成路线从「不得已的高成本选项」变成「主动的低成本选项」。</w:t>
      </w:r>
    </w:p>
    <w:p>
      <w:pPr>
        <w:pStyle w:val="BodyText"/>
      </w:pPr>
      <w:r>
        <w:rPr>
          <w:bCs/>
          <w:b/>
        </w:rPr>
        <w:t xml:space="preserve">内陆采矿。</w:t>
      </w:r>
      <w:r>
        <w:t xml:space="preserve">内陆采矿在2072年不是衰退，而是转型——从劳动密集型人工采矿转变为资本密集型无人采矿。全自动无人矿山是标准形态：AI规划开采路径，自动驾驶矿车，无人机巡检，远程操控中心可以在沿海城市集群。矿山本身可以在完全无人状态下连续运行数周，人工只在维护和异常处理时介入。聚变能源使高能耗的就地处理（湿法冶金、电化学提取）成为常规，减少需要长途运输的物料量。主要资源类型：铁、铜、锂（固态电池仍需要）、磷（农业不可替代）、陆地稀土（被深海部分稀释但未被取代）。这些大宗矿产通过电气化铁路连接沿海集群——聚变使铁路运营成本大幅下降，内陆-沿海大宗货运仍然经济可行。内陆采矿转型的社区代价：矿山不再需要矿工，只需要设备。矿山附近的社区失去存在的经济基础，成为多态社会「被遗忘地带」的主要来源之一。城市回收在稀贵金属（稀土、铂族金属、锂）上的成本已经低于内陆一次采矿，加速内陆矿区社区的人口流失。大宗矿产（铁、磷）城市回收无法完全替代，内陆采矿在这些品种上仍不可或缺。</w:t>
      </w:r>
    </w:p>
    <w:p>
      <w:pPr>
        <w:pStyle w:val="BodyText"/>
      </w:pPr>
      <w:r>
        <w:rPr>
          <w:bCs/>
          <w:b/>
        </w:rPr>
        <w:t xml:space="preserve">极地采矿。</w:t>
      </w:r>
      <w:r>
        <w:t xml:space="preserve">北极（2072年已进入开采阶段）：聚变使石油天然气需求萎缩，北极能源战略价值消失，但矿产价值上升——镍、铜、铂族金属、稀土在北极均有大型矿床。俄罗斯陆上北极矿产技术能力不足，实质上成为中国资本主导开采的附庸，资源收益大部分流向中国体系。斯瓦尔巴群岛（挪威主权但条约允许多国经济活动）成为欧美中三方竞争焦点，是北极最复杂的地缘节点。永久冻土融化是双刃剑：原本埋藏在冻土下的矿床暴露，资源可及性提升；但地基不稳使新建基础设施成本极高。极端严苛的环境（-50°C、极夜、补给困难）使高度自动化成为唯一可行的开采模式，北极无人矿山的自动化程度甚至高于内陆。南极（2072年仍在法律模糊地带）：南极条约「冻结的冻结」状态延续，没有正式开采。科考站实质上演变为资源勘探前哨——钻探数据、地质图谱、矿床位置信息在各国之间严格保密。2072年南极的竞争是信息竞争，不是开采竞争。谁积累了更多勘探数据，谁在未来法律框架松动时就有先发优势。</w:t>
      </w:r>
    </w:p>
    <w:p>
      <w:pPr>
        <w:pStyle w:val="BodyText"/>
      </w:pPr>
      <w:r>
        <w:rPr>
          <w:bCs/>
          <w:b/>
        </w:rPr>
        <w:t xml:space="preserve">深海采矿（详见6.4节）。</w:t>
      </w:r>
      <w:r>
        <w:t xml:space="preserve">深海采矿的技术演化、三层城镇结构、运输链条、环境监测、稀土战略链已在地理图景6.4节详述。资源品种完整图谱：多金属结核（太平洋CCZ，主力开采区）——镍、铜、钴、锰，稀土伴生，2072年已规模化，是最重要的新矿产来源；热液硫化物（海底热液喷口）——铜、锌、铅、金、银，品位极高但位置分散，2072年处于早期商业化阶段；富钴结壳（海山侧面）——钴含量极高，但附着在岩石基底上，采集难度大于结核，2072年仍在技术攻关阶段；磷灰石（大陆架边缘）——磷矿资源，农业不可替代，陆地磷矿资源有限，深海磷矿是长期战略储备，2072年开始小规模开采。</w:t>
      </w:r>
    </w:p>
    <w:p>
      <w:pPr>
        <w:pStyle w:val="BodyText"/>
      </w:pPr>
      <w:r>
        <w:rPr>
          <w:bCs/>
          <w:b/>
        </w:rPr>
        <w:t xml:space="preserve">太空采矿。</w:t>
      </w:r>
      <w:r>
        <w:t xml:space="preserve">月球就地资源利用（ISRU，2072年已成熟）：月壤3D打印建筑结构；钛铁矿就地冶炼铁和钛；斜长石提取铝；水冰电解制氢氧推进剂。全部服务于基地扩张，不向地球出口。氦-3开采刚进入规模化，主要服务本地聚变堆和深空扩展，驱动力是基地自持和深空探索，不是地球经济需求。小行星采矿（2072年仍在前沿探索阶段）：近地小行星含大量铁镍合金和铂族金属，往返运输成本使地球经济价值仍为零，主要价值是深空任务的就地资源供应。白金族金属是唯一接近地球经济可行性边界的品种，但仍未越过。</w:t>
      </w:r>
    </w:p>
    <w:p>
      <w:pPr>
        <w:pStyle w:val="BodyText"/>
      </w:pPr>
      <w:r>
        <w:rPr>
          <w:bCs/>
          <w:b/>
        </w:rPr>
        <w:t xml:space="preserve">城市矿山与回收。</w:t>
      </w:r>
      <w:r>
        <w:t xml:space="preserve">城市集群是2072年最重要的「矿山」之一——不是比喻，而是字面意义。聚变使能源成本消失，AI和自动化使分拣成本大幅下降，城市的人口密度使物流成本天然低于任何其他地理形态。在多个品种上，城市回收的成本已经低于一次采矿：稀土（钕铁硼永磁体回收，品位高于大多数陆地矿山）、铂族金属（催化转化器、燃料电池，回收率接近100%）、锂和钴（废旧固态电池，2030–2040年代大规模部署的第一批电池生命周期结束，形成巨大回收资源库）、铜（电线、电路板、管道，城市铜品位已低于很多陆地铜矿）。城市回收体系：分拣前置（智能垃圾桶光谱扫描，废弃物在产生点自动分流）→自动化分拣中心（城市边缘）→就地处理与提纯（聚变能源使高温冶炼和电化学提纯在城市边缘就地进行）。一个成熟的城市集群可以在稀贵金属上接近自给，只需从外部输入大宗基础材料（铁、磷、铝土矿）。</w:t>
      </w:r>
    </w:p>
    <w:p>
      <w:pPr>
        <w:pStyle w:val="BodyText"/>
      </w:pPr>
      <w:r>
        <w:rPr>
          <w:bCs/>
          <w:b/>
        </w:rPr>
        <w:t xml:space="preserve">电池再生。</w:t>
      </w:r>
      <w:r>
        <w:t xml:space="preserve">电池再生是城市矿山里规模最大、价值最高的单一品种。三条技术路线分工：直接再生（主流）——保留材料晶体结构的前提下修复和再激活正极材料，能耗最低，材料性能保留最好，AI驱动快速无损检测（1–2秒/块）全自动分类；湿法冶金（辅助）——酸溶解+化学沉淀逐步提取锂钴镍，回收率接近95%+，适合不适合直接再生的深度劣化电池；火法冶金（退出主导）——高温熔炼通用性强但锂回收率低，主要用于应急处理无法分类的混杂废料。梯次利用链：Muule退役电池→换电站缓冲储能→小城镇固定储能，是少数几条真实的城乡物质联系之一。对地缘格局的影响：锂因聚变氚增殖（锂-6）形成新增量需求，南美盐湖锂矿战略地位不降反升；钴因电池再生+深海采矿双重压制，刚果等陆地主产区战略地位显著弱化。</w:t>
      </w:r>
    </w:p>
    <w:p>
      <w:pPr>
        <w:pStyle w:val="BodyText"/>
      </w:pPr>
      <w:r>
        <w:rPr>
          <w:bCs/>
          <w:b/>
        </w:rPr>
        <w:t xml:space="preserve">聚变燃料：海水中的氘。</w:t>
      </w:r>
      <w:r>
        <w:t xml:space="preserve">氘（重氢）在海水中储量极大——全球海洋含氘约40万亿吨，理论上可满足人类当前能耗水平数十亿年。氚来自堆内氚增殖：聚变中子轰击锂-6，锂-6裂变产生氚和氦。聚变燃料供应链：海水提取氘+锂矿开采锂-6→堆内产氚→氘氚聚变。这是多态社会能够在「相互忽视均衡」下长期稳定的深层物质条件之一——能源的稀缺性从根本上消失，聚变时代只要有海水和锂，任何地方都可以运行聚变堆，从根本上重塑了国家间力量关系。</w:t>
      </w:r>
    </w:p>
    <w:p>
      <w:pPr>
        <w:pStyle w:val="BodyText"/>
      </w:pPr>
      <w:r>
        <w:rPr>
          <w:bCs/>
          <w:b/>
        </w:rPr>
        <w:t xml:space="preserve">合成材料与合成食品。</w:t>
      </w:r>
      <w:r>
        <w:t xml:space="preserve">聚变使合成从「不得已的高成本选项」变成「主动的低成本选项」。主要合成品种：合成燃料（SAF）——聚变电力电解水得氢，氢与大气CO₂费托合成液态烃，现有发动机直接使用，封闭碳循环；合成氨和化肥——哈伯-博施法合成氨极其耗能，聚变使成本大幅下降，廉价合成氨使边缘社区农业投入可及；合成蛋白质与细胞培养食品——2030年代商业化，2072年成熟，是最低保障配给的物质基础；合成高性能材料——碳纤维、工程陶瓷因高能耗合成工艺成本骤降，Muule舱体、深海设备耐压外壳成本远低于今天；合成稀土替代品——在若干应用场景实现替代，与深海采矿共同削弱稀土战略不可替代性。</w:t>
      </w:r>
    </w:p>
    <w:p>
      <w:pPr>
        <w:pStyle w:val="BodyText"/>
      </w:pPr>
      <w:r>
        <w:rPr>
          <w:bCs/>
          <w:b/>
        </w:rPr>
        <w:t xml:space="preserve">城市工厂化农业。</w:t>
      </w:r>
      <w:r>
        <w:t xml:space="preserve">垂直农场聚变前的主要障碍是能源成本，聚变使这个障碍系统性消失。工厂化农业精确输出红光（660nm）和蓝光（450nm），CO₂浓缩至约1000–1500ppm提升光合效率约30–40%，用水量约为传统农业的1/20。主要生产高价值短周期品种（叶菜、草莓、番茄、香草），大田作物仍走高度自动化的传统大田农业或合成淀粉路线。AI替代劳动后大量商业办公空间空置，改造为垂直农场是最自然的城市空间再利用方向之一。合成食品使边缘社区即使拥有土地，也越来越依赖城市配给而非本地生产——拥有土地不等于能自给，当城市配给覆盖基本热量需求，本地农业失去经济理由，农业知识和基础设施迅速退化，难以逆转。被遗忘地带是唯一例外：配给链到不了的极边缘区域，传统农业是唯一选项，保留了农业知识，但处于极低的营养和产出水平。</w:t>
      </w:r>
    </w:p>
    <w:bookmarkEnd w:id="77"/>
    <w:bookmarkStart w:id="78" w:name="资源体系的整体逻辑"/>
    <w:p>
      <w:pPr>
        <w:pStyle w:val="Heading3"/>
      </w:pPr>
      <w:r>
        <w:t xml:space="preserve">3.4.3　资源体系的整体逻辑</w:t>
      </w:r>
    </w:p>
    <w:p>
      <w:pPr>
        <w:pStyle w:val="FirstParagraph"/>
      </w:pPr>
      <w:r>
        <w:t xml:space="preserve">四个开采来源各有分工：内陆提供大宗矿产（铁、磷、铜），极地提供稀有金属（北极镍、铂族），深海提供稀土和钴（打破垄断），太空提供基地就地扩张所需（不向地球出口）。城市回收在稀贵金属上与一次采矿竞争，合成在有机材料和食品上替代自然来源。聚变是这个体系的能量基础，海水是聚变的原料基础。两者叠加构成一个根本性的资源充裕条件：能源不再稀缺，物质循环的能量驱动成本趋近于零。AI使全自动无人开采和城市分拣精度大幅提升。约束收敛到物流、地缘和环境监管，不再是能源和人工。</w:t>
      </w:r>
    </w:p>
    <w:p>
      <w:pPr>
        <w:pStyle w:val="BodyText"/>
      </w:pPr>
      <w:r>
        <w:t xml:space="preserve">这个体系的地缘政治含义：沿海集群掌握技术和资本，通过这两样东西控制全球资源流向，无论资源来自内陆、极地还是深海。「资源诅咒」在2072年的新形式是：拥有资源的地区无法独立开采，必须引入沿海集群的技术资本，资源收益按技术和资本的比例分配，实际控制权在技术和资本一方。能源充裕消除了能源争夺，但技术和资本的集中强化了另一种不对称——这是多态社会里最深层的结构性不平等。</w:t>
      </w:r>
    </w:p>
    <w:bookmarkEnd w:id="78"/>
    <w:bookmarkEnd w:id="79"/>
    <w:bookmarkStart w:id="80" w:name="全自动工厂与无人制造生态"/>
    <w:p>
      <w:pPr>
        <w:pStyle w:val="Heading2"/>
      </w:pPr>
      <w:r>
        <w:t xml:space="preserve">3.5　全自动工厂与无人制造生态</w:t>
      </w:r>
    </w:p>
    <w:p>
      <w:pPr>
        <w:pStyle w:val="FirstParagraph"/>
      </w:pPr>
      <w:r>
        <w:t xml:space="preserve">AI与机器人的结合使工厂可以在人不进入特定生产区的状态下运行。这不只是「省掉工人」，而是改变了工厂设计的根本约束——大量设施设计今天是为人服务的：洁净室的气闸和更衣程序、惰性气体区的人员隔离、通道宽度和层高按人体尺寸设定。当人不需要进入生产区，这些约束消失，工艺可以按物理和化学的最优条件设定，而非在最优条件与人员安全之间折中。工厂内仍然有人——处理必要工作、监督系统状态、应对异常——但人的活动边界退出了核心生产区。</w:t>
      </w:r>
    </w:p>
    <w:p>
      <w:pPr>
        <w:pStyle w:val="BodyText"/>
      </w:pPr>
      <w:r>
        <w:t xml:space="preserve">两个核心改变带来最显著的产品质量和成本改进：</w:t>
      </w:r>
    </w:p>
    <w:p>
      <w:pPr>
        <w:pStyle w:val="BodyText"/>
      </w:pPr>
      <w:r>
        <w:rPr>
          <w:bCs/>
          <w:b/>
        </w:rPr>
        <w:t xml:space="preserve">气体环境自由。</w:t>
      </w:r>
      <w:r>
        <w:t xml:space="preserve"> </w:t>
      </w:r>
      <w:r>
        <w:t xml:space="preserve">只要生产区有工人，就必须维持可呼吸空气。需要特殊气体环境的工段必须严格隔离，人员进出需要气闸和防护装备，增加设施成本和操作复杂度。人退出生产区后，整个工段可以不加妥协地维持工艺所需的气体环境。受益最大的产品类别：</w:t>
      </w:r>
    </w:p>
    <w:p>
      <w:pPr>
        <w:pStyle w:val="BodyText"/>
      </w:pPr>
      <w:r>
        <w:t xml:space="preserve">固态电池制造是最典型的案例。锂对水和氧极度敏感，今天的干燥房（露点-40°C以下）和手套箱操作是最大的生产瓶颈和成本来源。全区惰性气体覆盖后，干燥房与手套箱消失，设备可以按流水线最优排列，产能密度和良率同时提升。2072年固态电池需求量巨大（Muule换电体系、电网储能、聚变堆辅助系统），制造环境解除约束对供应量有直接影响。半导体先进制程同样受益：关键工艺（外延生长、原子层沉积）与空气严格隔离的需求使设备结构复杂，全无人化工段可以在整体惰性气氛中运行，简化设备，减少气体切换步骤。有机金属化学品（OLED材料、催化剂前体）和活性金属加工（锂、钠合金）也在同一逻辑下受益——这类材料今天因遇氧遇水的危险性而生产规模受限，无人惰性气氛环境使其可以像普通材料一样处理。</w:t>
      </w:r>
    </w:p>
    <w:p>
      <w:pPr>
        <w:pStyle w:val="BodyText"/>
      </w:pPr>
      <w:r>
        <w:rPr>
          <w:bCs/>
          <w:b/>
        </w:rPr>
        <w:t xml:space="preserve">洁净度自由。</w:t>
      </w:r>
      <w:r>
        <w:t xml:space="preserve"> </w:t>
      </w:r>
      <w:r>
        <w:t xml:space="preserve">人是工厂里最大的颗粒污染源——皮屑、毛发、呼出气溶胶。ISO 5级以上洁净室的大量建设成本和运营成本（正压维持、气闸、更衣程序）来自对人体污染的管控。人退出生产区后，最大污染源消失，相同投入可以达到更高洁净度，或以更低成本维持相同洁净度。生物制药（单克隆抗体、细胞疗法、mRNA疫苗）是最直接的受益者：无菌灌装是整个药厂成本最高的环节，批次报废的主因之一是微生物污染，人员消失后无菌区可以扩大，报废率系统性下降。高纯度光学元件（高功率激光器、深紫外光学）和MEMS精密传感器同样在洁净度提升中获得明显良率改善。</w:t>
      </w:r>
    </w:p>
    <w:p>
      <w:pPr>
        <w:pStyle w:val="BodyText"/>
      </w:pPr>
      <w:r>
        <w:t xml:space="preserve">两个维度叠加受益最大的产品：固态电池（惰性气氛+超高洁净度双重需求，今天都是重大瓶颈）；生物制药中的细胞疗法（无菌+低氧培养气氛双重需求，且2072年需求量随延寿技术普及持续增长）；半导体先进制程（气体环境+洁净度双重受益，AI时代需求持续扩张）。</w:t>
      </w:r>
    </w:p>
    <w:p>
      <w:pPr>
        <w:pStyle w:val="BodyText"/>
      </w:pPr>
      <w:r>
        <w:rPr>
          <w:iCs/>
          <w:i/>
        </w:rPr>
        <w:t xml:space="preserve">全自动无人生产区带来的这些改进，在陆地上同样可以实现——聚变电力解决能源成本，AI与机器人解决操作问题，这类工厂在陆地上的大规模普及是2072年制造业的主要形态，而非依赖特定地理选址。浮潜工厂在矿产垂直整合和极端冷源场景下有增量价值，但作为独立的洁净制造设施，其建造和维护成本并不优于陆地上同等投入的无人洁净工厂。</w:t>
      </w:r>
    </w:p>
    <w:bookmarkEnd w:id="80"/>
    <w:bookmarkStart w:id="85" w:name="生物技术的双重性医疗进步与武器扩散风险"/>
    <w:p>
      <w:pPr>
        <w:pStyle w:val="Heading2"/>
      </w:pPr>
      <w:r>
        <w:t xml:space="preserve">3.6　生物技术的双重性：医疗进步与武器扩散风险</w:t>
      </w:r>
    </w:p>
    <w:p>
      <w:pPr>
        <w:pStyle w:val="FirstParagraph"/>
      </w:pPr>
      <w:r>
        <w:t xml:space="preserve">生物技术在2072年是进步最快、影响最深远、同时也最危险的技术领域。AI辅助蛋白质设计（AlphaFold路线的延伸）、基因合成设备的小型化和廉价化、合成生物学在医疗和农业的广泛应用——这三条技术曲线在带来巨大医疗红利的同时，系统性地降低了生物武器的制造门槛。</w:t>
      </w:r>
    </w:p>
    <w:bookmarkStart w:id="81" w:name="医疗进步"/>
    <w:p>
      <w:pPr>
        <w:pStyle w:val="Heading3"/>
      </w:pPr>
      <w:r>
        <w:t xml:space="preserve">3.6.1　医疗进步</w:t>
      </w:r>
    </w:p>
    <w:p>
      <w:pPr>
        <w:pStyle w:val="FirstParagraph"/>
      </w:pPr>
      <w:r>
        <w:t xml:space="preserve">聚变时代廉价能源使生物制药生产成本大幅下降，AI辅助药物分子设计使新药开发周期从平均12年压缩到约3–4年。个性化医疗（基于个体基因组的精准治疗）在城市集群里成为标准配置。器官再生和基因治疗在2072年是成熟技术，不再是实验性选项。这些进步在延长寿命、提升生活质量方面的效果是真实的，但分布极不均匀——城市集群与低速体系之间的医疗质量差距，比任何历史时期都大。</w:t>
      </w:r>
    </w:p>
    <w:bookmarkEnd w:id="81"/>
    <w:bookmarkStart w:id="82" w:name="武器扩散风险"/>
    <w:p>
      <w:pPr>
        <w:pStyle w:val="Heading3"/>
      </w:pPr>
      <w:r>
        <w:t xml:space="preserve">3.6.2　武器扩散风险</w:t>
      </w:r>
    </w:p>
    <w:p>
      <w:pPr>
        <w:pStyle w:val="FirstParagraph"/>
      </w:pPr>
      <w:r>
        <w:t xml:space="preserve">生物武器的制造门槛由三个因素维持：技术复杂性、原材料管控、生产设备的稀缺性。到2072年三个门槛同时下降：AI辅助设计大幅降低了病原体工程化的认知门槛；基因合成设备从今天的实验室级别进一步小型化至接近桌面级别；合成生物学知识和设备因广泛的和平用途而难以区分和管控。这不需要国家级资源，需要的是知识、设备和意图的组合。</w:t>
      </w:r>
    </w:p>
    <w:p>
      <w:pPr>
        <w:pStyle w:val="BodyText"/>
      </w:pPr>
      <w:r>
        <w:t xml:space="preserve">这是2072年最真实的大规模杀伤性武器扩散威胁，比核武器（仍需大型浓缩设备）和化学武器（传播效果有物理限制）威胁等级更高。有效防御需要在进攻发生之前识别意图——结果正是监控体系的内在逻辑。</w:t>
      </w:r>
    </w:p>
    <w:bookmarkEnd w:id="82"/>
    <w:bookmarkStart w:id="83" w:name="结构性缓解因素"/>
    <w:p>
      <w:pPr>
        <w:pStyle w:val="Heading3"/>
      </w:pPr>
      <w:r>
        <w:t xml:space="preserve">3.6.3　结构性缓解因素</w:t>
      </w:r>
    </w:p>
    <w:p>
      <w:pPr>
        <w:pStyle w:val="FirstParagraph"/>
      </w:pPr>
      <w:r>
        <w:t xml:space="preserve">尽管门槛下降，大规模灾难的实际可能性在2072年比直觉预期低，原因是几个结构性因素同时起作用：相互忽视均衡使有技术能力的人缺乏组织动员的动机和网络，「有技术能力+有极端意图+有组织能力」三者同时满足的场景在多态社会里比在今天更少；总体流动性降低使病原体传播网络比全球化高峰时期更分散；多级管控体系（见第三部分）使准备阶段的异常行为可被提前识别。威胁真实存在，但被多重结构因素系统性压制，维持在可管理的低烈度水平。</w:t>
      </w:r>
    </w:p>
    <w:bookmarkEnd w:id="83"/>
    <w:bookmarkStart w:id="84" w:name="生物武器能否取代核武器成为中等国家的威慑力量"/>
    <w:p>
      <w:pPr>
        <w:pStyle w:val="Heading3"/>
      </w:pPr>
      <w:r>
        <w:t xml:space="preserve">3.6.4　生物武器能否取代核武器成为中等国家的威慑力量？</w:t>
      </w:r>
    </w:p>
    <w:p>
      <w:pPr>
        <w:pStyle w:val="FirstParagraph"/>
      </w:pPr>
      <w:r>
        <w:t xml:space="preserve">这是2072年战略格局中一个真实的开放性问题。生物技术门槛下降、AI辅助设计能力扩散，使中等国家获得大规模杀伤性生物能力的成本比核武器低一个数量级。理论上，这似乎为无力维持核武器项目的国家提供了一条不对称威慑的替代路径。但战略逻辑的分析表明，生物武器在根本机制上无法复制核威慑的稳定性。</w:t>
      </w:r>
    </w:p>
    <w:p>
      <w:pPr>
        <w:pStyle w:val="BodyText"/>
      </w:pPr>
      <w:r>
        <w:rPr>
          <w:bCs/>
          <w:b/>
        </w:rPr>
        <w:t xml:space="preserve">核威慑的三个支柱。</w:t>
      </w:r>
      <w:r>
        <w:t xml:space="preserve">核威慑之所以能制造稳定均衡，依赖三个要素同时成立：效果的确定性（核弹能可预期地摧毁目标）、归因的即时性（谁发射了导弹是确定的）、相互保证毁灭的对称性（使用者与被攻击者同归于尽）。三者共同产生了理性行为者不会首先使用核武器的稳定均衡。生物武器在这三个维度上的表现系统性弱于核武器。</w:t>
      </w:r>
    </w:p>
    <w:p>
      <w:pPr>
        <w:pStyle w:val="BodyText"/>
      </w:pPr>
      <w:r>
        <w:rPr>
          <w:bCs/>
          <w:b/>
        </w:rPr>
        <w:t xml:space="preserve">归因问题是根本性缺陷。</w:t>
      </w:r>
      <w:r>
        <w:t xml:space="preserve">核导弹有雷达轨迹，发射即归因。生物攻击可以被伪装成自然疫情，归因需要数周乃至数月，且充满争议——被攻击方永远可以否认。这使”你对我使用生物武器我就反击”的承诺无法可信地履行：如果反击依赖归因，而归因本身有争议，威慑的可信度就根本上动摇了。中等国家用生物武器”威慑”大国，大国可以选择不承认归因（政治上有利），以模糊方式报复，或根本不回应。这对威慑方极为不利——威慑要有效，威胁必须既可信又可归因。</w:t>
      </w:r>
    </w:p>
    <w:p>
      <w:pPr>
        <w:pStyle w:val="BodyText"/>
      </w:pPr>
      <w:r>
        <w:rPr>
          <w:bCs/>
          <w:b/>
        </w:rPr>
        <w:t xml:space="preserve">效果不确定性削弱威慑信号。</w:t>
      </w:r>
      <w:r>
        <w:t xml:space="preserve">生物武器的杀伤规模取决于病原体传播率、宿主免疫状况、气候条件等大量不可控变量，无法像核弹那样事先承诺”摧毁某个城市”。这种不确定性使威慑信号本身变得模糊：被威慑方无法评估威胁的真实严重程度，理性反应可能是选择无视而非妥协。核威慑之所以有效，部分原因是它的信号极度清晰——一枚弹头等于一座城市。生物武器做不到这种清晰度。</w:t>
      </w:r>
    </w:p>
    <w:p>
      <w:pPr>
        <w:pStyle w:val="BodyText"/>
      </w:pPr>
      <w:r>
        <w:rPr>
          <w:bCs/>
          <w:b/>
        </w:rPr>
        <w:t xml:space="preserve">相互保证毁灭的对称性破裂。</w:t>
      </w:r>
      <w:r>
        <w:t xml:space="preserve">核武器的相互毁灭具有内在对称性：使用者与被使用者都无法在核交换中幸存。生物武器的使用者可以通过预先接种规避自身感染，破坏了这种对称性。对称性破裂会诱发先发制人逻辑：如果攻击者能保护自己而受害者不能，先发优势极大，这反而使生物武器体系比核武器体系更不稳定，更容易引发冲突而非抑制冲突。</w:t>
      </w:r>
    </w:p>
    <w:p>
      <w:pPr>
        <w:pStyle w:val="BodyText"/>
      </w:pPr>
      <w:r>
        <w:rPr>
          <w:bCs/>
          <w:b/>
        </w:rPr>
        <w:t xml:space="preserve">AI在2072年改变了哪些变量。</w:t>
      </w:r>
      <w:r>
        <w:t xml:space="preserve">AI辅助流行病学追踪使生物攻击的归因速度有所加快——从历史上的数月压缩到数周，但仍远慢于核导弹的即时归因。AI辅助病原体设计在理论上使定向攻击（针对特定种群基因差异的病原体）更可行，定向病原体本身携带”署名”，部分改善了归因清晰度。但定向生物武器同时触发更强烈的国际反应，且技术可信度存疑——人类基因组的种群差异比通常想象的小，攻击窗口的选择性远不如宣传的确定。AI的介入使生物武器的威慑属性略有改善，但没有改变归因根本困难这一核心缺陷。</w:t>
      </w:r>
    </w:p>
    <w:p>
      <w:pPr>
        <w:pStyle w:val="BodyText"/>
      </w:pPr>
      <w:r>
        <w:rPr>
          <w:bCs/>
          <w:b/>
        </w:rPr>
        <w:t xml:space="preserve">中等国家的实际战略选择。</w:t>
      </w:r>
      <w:r>
        <w:t xml:space="preserve">在上述约束下，理性的中等国家不会把生物武器作为对大国的公开威慑筹码，而更可能作为隐蔽的灰色地带工具——不是”我有能力确定性地摧毁你”的威慑，而是”你永远无法排除下一次疫情是否与我有关”的模糊恐吓。这种战略具有有限的实用价值：它能制造不确定性和心理压力，但无法产生稳定的战略均衡。一旦攻击被成功归因，中等国家将面临完全不对等的报复，均衡立刻破裂。在2072年的多态社会背景下，相互忽视均衡使大国平时没有强烈动机去主动消灭中等国家的生物能力，但归因成立后，这个均衡会瞬间失效——这种非对称性使生物威慑对中等国家而言是一场极高风险的赌博。</w:t>
      </w:r>
    </w:p>
    <w:p>
      <w:pPr>
        <w:pStyle w:val="BodyText"/>
      </w:pPr>
      <w:r>
        <w:rPr>
          <w:iCs/>
          <w:i/>
        </w:rPr>
        <w:t xml:space="preserve">生物武器在战略上不能取代核武器，因为它在威慑逻辑的根本要件——归因清晰——上存在无法弥补的结构性缺陷。它能成为恐吓工具，不能成为威慑工具。对中等国家而言，生物能力更可能作为灰色地带的隐蔽杠杆，而非公开宣示的战略威慑——这使它在平时压制效果有限，在冲突升级后代价极高。</w:t>
      </w:r>
    </w:p>
    <w:bookmarkEnd w:id="84"/>
    <w:bookmarkEnd w:id="85"/>
    <w:bookmarkStart w:id="95" w:name="延寿与永生技术"/>
    <w:p>
      <w:pPr>
        <w:pStyle w:val="Heading2"/>
      </w:pPr>
      <w:r>
        <w:t xml:space="preserve">3.7　延寿与永生技术</w:t>
      </w:r>
    </w:p>
    <w:p>
      <w:pPr>
        <w:pStyle w:val="FirstParagraph"/>
      </w:pPr>
      <w:r>
        <w:t xml:space="preserve">在2072年，「永生」首先是一个生物学问题，其次才是哲学问题，数字方案是最后才被认真对待的选项——而且对数字方案越了解的人，往往越不相信它。主流技术路线是对生物性衰老的系统性干预：通过多条并行机制延缓乃至局部逆转组织层面的老化过程。这些技术到2072年已经是临床成熟技术，不再是实验室选项，但可及性差距依然极大。</w:t>
      </w:r>
    </w:p>
    <w:bookmarkStart w:id="86" w:name="生物性延寿时间的物质抵抗"/>
    <w:p>
      <w:pPr>
        <w:pStyle w:val="Heading3"/>
      </w:pPr>
      <w:r>
        <w:t xml:space="preserve">3.7.1　生物性延寿：时间的物质抵抗</w:t>
      </w:r>
    </w:p>
    <w:p>
      <w:pPr>
        <w:pStyle w:val="FirstParagraph"/>
      </w:pPr>
      <w:r>
        <w:t xml:space="preserve">衰老细胞清除（Senolytics）。细胞分裂到一定次数后进入衰老状态——停止分裂，但不凋亡，持续分泌炎症因子（SASP），损伤周围组织。这类衰老细胞的累积是系统性老化的核心驱动机制之一。2020年代的第一代清除药物（达沙替尼+槲皮素等）到2072年已迭代至第四、五代——AI辅助设计的高度靶向化合物，能识别特定组织中的衰老细胞表面标志物，精确清除而不伤及健康细胞。每两年一次的「细胞维护」治疗是城市集群先进医疗的标配，可延长健康寿命约10-15年。</w:t>
      </w:r>
    </w:p>
    <w:p>
      <w:pPr>
        <w:pStyle w:val="BodyText"/>
      </w:pPr>
      <w:r>
        <w:t xml:space="preserve">表观遗传重编程（Epigenetic Reprogramming）。基因组序列不会随年龄改变，但基因的表达模式会——甲基化标记、组蛋白修饰等表观遗传特征随时间漂移，这种漂移本身就是衰老的分子表现（Horvath时钟）。山中因子（Yamanaka Factors）的局部、有限激活可将细胞的表观遗传状态部分回拨，相当于给细胞「重置生物年龄」。2030年代的关键突破是找到安全的诱导窗口——完全重编程会导致癌变，但在特定细胞周期阶段的短暂局部激活可在不触发癌变的前提下逆转老化标记约8-15年。到2072年，每隔5-8年的全身系统性部分重编程是高端延寿套餐的核心环节。</w:t>
      </w:r>
    </w:p>
    <w:p>
      <w:pPr>
        <w:pStyle w:val="BodyText"/>
      </w:pPr>
      <w:r>
        <w:t xml:space="preserve">器官再生与替换（Organ Regeneration）。到2072年，用患者自体诱导多能干细胞（iPSC）打印功能性实体器官是成熟临床技术——心脏、肾脏、肝脏、肺的替换已消除免疫排斥问题，非神经性器官衰竭不再是主要死亡原因。胰岛细胞替换事实上治愈了1型糖尿病。软骨、角膜、皮肤的再生更是上一代的旧技术。这条路线的逻辑非常干净：把磨损的零件换掉。技术层面的挑战在于血管化（器官内部微血管网络的生成）和神经再支配，这两个问题在2072年已基本解决，但神经组织本身的替换仍是禁区。</w:t>
      </w:r>
    </w:p>
    <w:p>
      <w:pPr>
        <w:pStyle w:val="BodyText"/>
      </w:pPr>
      <w:r>
        <w:t xml:space="preserve">代谢与线粒体优化（Metabolic Optimization）。GLP-1受体激动剂在2020年代揭示了代谢干预的系统性潜力——到2072年已演化为综合代谢调控方案：mTOR抑制剂（雷帕霉素类似物）延缓细胞老化；线粒体增强疗法（ATP合酶效率优化）改善细胞能量代谢；热量限制模拟物在不减少进食的前提下激活禁食相关的长寿通路。这些干预的单独效果有限，与上述其他机制联合使用时产生协同效应，是延寿套餐的基础层。</w:t>
      </w:r>
    </w:p>
    <w:p>
      <w:pPr>
        <w:pStyle w:val="BodyText"/>
      </w:pPr>
      <w:r>
        <w:t xml:space="preserve">延寿效果的现实区间。上述机制组合使用的效果已在2072年有约30年的临床观察数据。标准医疗（无延寿干预）：预期健康寿命85-95岁，与今天相比进步主要来自疾病控制而非抗衰老。基础延寿套餐（衰老细胞清除+代谢优化）：健康寿命延伸至100-115岁。完整高端套餐（五条路线全部应用）：已观察到的健康寿命上限约140-155岁，最早一批从2040年代开始系统接受全套治疗的受试者到2072年实际年龄约65–80岁、生物年龄约40–50岁，观察仍在继续，终点未知。费用约合一次性50万美元（2024购买力），超出全球大多数人的终身积累——这是2072年最深刻的不平等之一（详见3.10节）。</w:t>
      </w:r>
    </w:p>
    <w:p>
      <w:pPr>
        <w:pStyle w:val="BodyText"/>
      </w:pPr>
      <w:r>
        <w:t xml:space="preserve">神经系统：延寿的硬上限。所有上述机制有一个共同盲点：大脑。神经元在成年后基本不再增殖，海马体等区域有限的神经发生是例外而非规律。衰老细胞清除和表观遗传重编程对系统性组织有效，但神经网络的结构性退化（阿尔茨海默型病理、突触密度下降、白质变性）对这些干预响应有限。海马体植入物可以辅助记忆，神经保护基因疗法可以延缓退化，但无法逆转已经丢失的神经连接。你可以换掉五颗心脏，但换掉海马体意味着失去你是谁。神经系统的不可替换性是生物延寿的终极边界——在这个边界处，数字永生的提案出现了。</w:t>
      </w:r>
    </w:p>
    <w:bookmarkEnd w:id="86"/>
    <w:bookmarkStart w:id="87" w:name="数字永生神经上限的想象性突破"/>
    <w:p>
      <w:pPr>
        <w:pStyle w:val="Heading3"/>
      </w:pPr>
      <w:r>
        <w:t xml:space="preserve">3.7.2　数字永生：神经上限的想象性突破</w:t>
      </w:r>
    </w:p>
    <w:p>
      <w:pPr>
        <w:pStyle w:val="FirstParagraph"/>
      </w:pPr>
      <w:r>
        <w:t xml:space="preserve">数字永生方案的逻辑起点正是生物延寿的神经上限：如果大脑最终不可避免地退化，那么在退化之前精确扫描神经连接组（connectome），将其在计算基底上重建并运行——这个副本是否就是「你」的延续？这是2072年的主流数字永生技术路线，也是脑机接口资本的核心叙事。技术层面：全脑连接组扫描（电子显微镜层析成像）在2072年已能达到突触级分辨率，但处理一个完整人类大脑（约860亿神经元，100-500万亿突触）仍需约4-7年的算力和约3–5PB（拍字节）的存储（原始电镜扫描数据在艾字节量级，处理后的连接组约3–5PB）。运行一个完整意识模拟的实时算力需求约为现有顶级数据中心总量的数十倍，目前尚未实现。更根本的问题不是技术，而是概念——这个问题是哲学的领地。</w:t>
      </w:r>
    </w:p>
    <w:p>
      <w:pPr>
        <w:pStyle w:val="BodyText"/>
      </w:pPr>
      <w:r>
        <w:rPr>
          <w:bCs/>
          <w:b/>
        </w:rPr>
        <w:t xml:space="preserve">演化速度的背叛。</w:t>
      </w:r>
      <w:r>
        <w:t xml:space="preserve">即使在逻辑上接受副本在创建瞬间”是”原体，还有第二重否定在等待：数字基底的信息处理速度可以是生物神经元的数千倍。一个以1000倍速运行的副本，在生物世界过去一天时，已在主观上经历了将近三年。没有睡眠需求、没有饥饿、没有疲劳——它会持续思考、学习、重构认知框架，以生物人根本无法跟上的速度偏离原体的思维模式。一周后再去探望这个副本，对话的对象已不是任何人认识的人。要阻止这个过程，唯一的方法是人为限制副本的运行速度和信息获取——但那样就是在用巨大代价创造一个比生物脑更慢、更脆弱的东西。技术越成功，「永生」越快变成「产生了一个陌生人」。</w:t>
      </w:r>
    </w:p>
    <w:bookmarkEnd w:id="87"/>
    <w:bookmarkStart w:id="88" w:name="核心争议这个副本是你吗"/>
    <w:p>
      <w:pPr>
        <w:pStyle w:val="Heading3"/>
      </w:pPr>
      <w:r>
        <w:t xml:space="preserve">3.7.3　核心争议：这个副本是「你」吗？</w:t>
      </w:r>
    </w:p>
    <w:p>
      <w:pPr>
        <w:pStyle w:val="FirstParagraph"/>
      </w:pPr>
      <w:r>
        <w:t xml:space="preserve">数字永生的核心问题不是技术问题，而是哲学问题：将神经连接组在计算基底上重建并运行的副本，是否构成原体的延续？这在2072年仍然是真正意义上的开放争议——技术社群、哲学界和法律体系给出了三种不同的答案，彼此无法证伪对方。</w:t>
      </w:r>
    </w:p>
    <w:bookmarkEnd w:id="88"/>
    <w:bookmarkStart w:id="89" w:name="时间的绝对线性锁定我的唯一地址"/>
    <w:p>
      <w:pPr>
        <w:pStyle w:val="Heading3"/>
      </w:pPr>
      <w:r>
        <w:t xml:space="preserve">3.7.4　时间的绝对线性：锁定“我”的唯一地址</w:t>
      </w:r>
    </w:p>
    <w:p>
      <w:pPr>
        <w:pStyle w:val="FirstParagraph"/>
      </w:pPr>
      <w:r>
        <w:t xml:space="preserve">逻辑推演：时间无分叉 → 物理因果链唯一 → 自我不可分叉</w:t>
      </w:r>
    </w:p>
    <w:p>
      <w:pPr>
        <w:pStyle w:val="BodyText"/>
      </w:pPr>
      <w:r>
        <w:t xml:space="preserve">主体连续性论证。「自我」不是一堆可以拷贝的数据（硬盘），而是一个在时间轴上持续位移的运算过程（CPU）。物理连续性：在宏观物理世界中，时间是单向且不可分割的，大脑这个物理实体的电化学反应在时间轴上没有断点。失忆不等于消亡：即使你失去了记忆（硬盘损坏），只要大脑这个「硬件」仍在持续进行物理运算，「主体位移」就没有停止。分叉即他者：当你尝试「上传」或「拷贝」意识时，在拷贝完成的那一秒，物理世界便出现了两条不同的因果链。原本的你在A链，副本在B链。既然时间不能回溯，你就无法同时占据两条路径。结论：那个拥有你全部记忆的数字副本，只是一个「有着你过去记忆的陌生人」。</w:t>
      </w:r>
    </w:p>
    <w:bookmarkEnd w:id="89"/>
    <w:bookmarkStart w:id="90" w:name="生物噪声人类认知的不可复制基底"/>
    <w:p>
      <w:pPr>
        <w:pStyle w:val="Heading3"/>
      </w:pPr>
      <w:r>
        <w:t xml:space="preserve">3.7.5　生物噪声：人类认知的不可复制基底</w:t>
      </w:r>
    </w:p>
    <w:p>
      <w:pPr>
        <w:pStyle w:val="FirstParagraph"/>
      </w:pPr>
      <w:r>
        <w:t xml:space="preserve">逻辑推演：生物随机性是认知质地的基础 → 数字化只能模拟不能复制这种随机性 → 副本的认知轨道将系统性偏离生物原体</w:t>
      </w:r>
    </w:p>
    <w:p>
      <w:pPr>
        <w:pStyle w:val="BodyText"/>
      </w:pPr>
      <w:r>
        <w:t xml:space="preserve">数字心智可以通过传感器与物理世界交互——但交互的质量不同。传感器接收到的是已被离散化、量化的信号；而生物感知建立在真实的物理随机性之上：突触小泡释放是量子随机的，离子通道开闭受热噪声影响，荷尔蒙连续波动，血糖、疲劳和昼夜节律持续改变神经兴奋性阈值。这些不是需要过滤掉的干扰，而是人类直觉、创造力和「感觉」的物质基底。人类的错误让人像人：认知偏误、情绪性判断、非理性的直觉跳跃，从这种生物噪声中涌现，不是缺陷而是特征。数字系统若试图保留这些「错误」，只能用伪随机数生成器模拟——确定性系统对随机性的近似，与真实的生物随机过程在物理本质上是不同的东西。这个差异不是工程问题，是基底性质的差异：一个可以被优化和修复，另一个不能在不改变自身性质的情况下被复制。结论：副本接收真实世界的信号，但处理这个信号的内部质地不同，随时间累积，副本的认知将系统性地偏离任何生物人的思维轨道。</w:t>
      </w:r>
    </w:p>
    <w:bookmarkEnd w:id="90"/>
    <w:bookmarkStart w:id="91" w:name="知识的有界性封闭数据环境中的存在"/>
    <w:p>
      <w:pPr>
        <w:pStyle w:val="Heading3"/>
      </w:pPr>
      <w:r>
        <w:t xml:space="preserve">3.7.6　知识的有界性：封闭数据环境中的存在</w:t>
      </w:r>
    </w:p>
    <w:p>
      <w:pPr>
        <w:pStyle w:val="FirstParagraph"/>
      </w:pPr>
      <w:r>
        <w:t xml:space="preserve">逻辑推演：知识是开放无限的过程 → 数字副本只能在有界数据环境中存在 → 副本与生物原体之间的认知差距只会随时间增大</w:t>
      </w:r>
    </w:p>
    <w:p>
      <w:pPr>
        <w:pStyle w:val="BodyText"/>
      </w:pPr>
      <w:r>
        <w:t xml:space="preserve">物理世界中存在无穷多未被概念化、未被量化、未被命名的现象——不是因为测量精度不够，而是因为知识本身是开放的、持续生成新范畴的过程。生物人可以直接遭遇原始现实，从中形成全新的认知范畴；数字副本只能在已被数字化处理的信息里运作，它的知识边界被初始数据集和后续数字输入所封闭。这是波兰尼意义上的「隐性知识」问题：人类知道的远多于能说出来的，而数字副本只有那些已经被说出来、被编码的部分。随着时间推移，生物人持续遭遇、吸收、整合那些尚未被量化的经验；副本的认知世界是封闭的——不是处理速度的问题，而是能接触到的认知原料在本质上是有界的。结论：副本是有限数据集在某一时刻的镜像，而生命是在无限开放的现实中不断生成新理解的过程，两者的距离只会随时间增大，不会缩小。</w:t>
      </w:r>
    </w:p>
    <w:p>
      <w:pPr>
        <w:pStyle w:val="BodyText"/>
      </w:pPr>
      <w:r>
        <w:t xml:space="preserve">怀疑论总结：「我」不是一段可以被复刻的代码，而是一段正在发生的、唯一的历史。时间线不可分叉、生物噪声不可复制、认知过程在无限开放的现实中持续展开——这三个维度缺少任何一个，副本就不是原体的延续，而是一个带着原体记忆的他者。</w:t>
      </w:r>
    </w:p>
    <w:bookmarkEnd w:id="91"/>
    <w:bookmarkStart w:id="92" w:name="工程资本叙事副本是延续"/>
    <w:p>
      <w:pPr>
        <w:pStyle w:val="Heading3"/>
      </w:pPr>
      <w:r>
        <w:t xml:space="preserve">3.7.7　工程资本叙事：副本是延续</w:t>
      </w:r>
    </w:p>
    <w:p>
      <w:pPr>
        <w:pStyle w:val="FirstParagraph"/>
      </w:pPr>
      <w:r>
        <w:t xml:space="preserve">脑机接口产业的主流叙事与怀疑论截然相反。工程资本叙事的论点是：你每晚入睡，意识中断，醒来的人仍被视为同一个人；你的神经元每隔数年完成一次物质替换，「你」并未因此消失。物理连续性是一种约定俗成的叙事，而非意识的本质条件。副本在创建瞬间与原体的神经连接组完全一致，这种一致性与睡眠后的「同一性」在逻辑结构上没有本质区别——只是人们还不习惯接受它。2072年，这套叙事是脑机接口产业的融资基础，也是数百万已购买连接组存储服务的用户的心理依托。</w:t>
      </w:r>
    </w:p>
    <w:bookmarkEnd w:id="92"/>
    <w:bookmarkStart w:id="93" w:name="制度裁决法律先于哲学做出保守判定"/>
    <w:p>
      <w:pPr>
        <w:pStyle w:val="Heading3"/>
      </w:pPr>
      <w:r>
        <w:t xml:space="preserve">3.7.8　制度裁决：法律先于哲学做出保守判定</w:t>
      </w:r>
    </w:p>
    <w:p>
      <w:pPr>
        <w:pStyle w:val="FirstParagraph"/>
      </w:pPr>
      <w:r>
        <w:t xml:space="preserve">无论哲学争议如何持续，法律和政治体系都需要先做出实际决定。在A1（民主路径）体系中，「副本≠法律人格」的司法判定已在2060年代陆续确立：副本被定性为高级财产而非权利主体，持有并运营副本的公司拥有实质控制权。在A2（威权路径）体系中，副本被纳入国家主权管辖，强人副本的创建受到严格政治管控，实际操作者是内圈，而非原体本人。两套制度体系的裁决方向不同，但都先于哲学共识做出了保守判定——不是因为哲学问题已有定论，而是因为制度不能等待定论。这场争议在2072年仍然开放，但它的政治结局已经确定。</w:t>
      </w:r>
    </w:p>
    <w:bookmarkEnd w:id="93"/>
    <w:bookmarkStart w:id="94" w:name="政治现实副本在a1与a2体系中的命运"/>
    <w:p>
      <w:pPr>
        <w:pStyle w:val="Heading3"/>
      </w:pPr>
      <w:r>
        <w:t xml:space="preserve">3.7.9　政治现实：副本在A1与A2体系中的命运</w:t>
      </w:r>
    </w:p>
    <w:p>
      <w:pPr>
        <w:pStyle w:val="FirstParagraph"/>
      </w:pPr>
      <w:r>
        <w:t xml:space="preserve">技术上的「副本≠主体」判断在两套体系中产生截然不同的政治后果，但两个方向都指向同一结论：数字永生作为个人延续在现实政治中走不通。</w:t>
      </w:r>
    </w:p>
    <w:p>
      <w:pPr>
        <w:pStyle w:val="BodyText"/>
      </w:pPr>
      <w:r>
        <w:t xml:space="preserve">A1体系。在民主体系中，有能力创建副本的人群不具备立法主导权。一旦「副本≠主体」的判断被司法确立，副本就被定性为高级财产而非法律人格——相当于一个能说话的骨灰盒，持有原体的记忆但没有任何法律权利。支持副本人格的政治运动会因一个可观察的事实而瓦解：演化速度使副本在数周内就面目全非，原本的支持者直接观察到「那已经不是我认识的人」，情感动机随之消失。伦理问题随之转移：不是副本有没有权利，而是持有和运营副本的公司拥有多大的实质控制权——谁控制算力，谁就有生杀权。</w:t>
      </w:r>
    </w:p>
    <w:p>
      <w:pPr>
        <w:pStyle w:val="BodyText"/>
      </w:pPr>
      <w:r>
        <w:t xml:space="preserve">A2体系。强人可以创建自己的副本，但这个副本极难赢得足够的支持。A2的权力建立在实时的忠诚管理、恐惧和庇护关系之上——这些是关系性的而非记忆性的。副本拥有原体的记忆，但不拥有那些忠诚、那些恐惧、那些非正式承诺。更现实的场景是内圈秘密创建副本，不是为了强人的永生，而是作为延续内圈统治合法性的工具——一个比原体晚年更容易管控的符号，最终成为控制基础设施的一方手中的傀儡，而非权力的真实延续。</w:t>
      </w:r>
    </w:p>
    <w:bookmarkEnd w:id="94"/>
    <w:bookmarkEnd w:id="95"/>
    <w:bookmarkStart w:id="104" w:name="人机器人机器与人"/>
    <w:p>
      <w:pPr>
        <w:pStyle w:val="Heading2"/>
      </w:pPr>
      <w:r>
        <w:t xml:space="preserve">3.8　人，机器人，机器与人</w:t>
      </w:r>
    </w:p>
    <w:p>
      <w:pPr>
        <w:pStyle w:val="FirstParagraph"/>
      </w:pPr>
      <w:r>
        <w:t xml:space="preserve">人与机器的关系在2072年呈现出三个相互关联的维度：用机器修补和增强人体、用机器替代人执行任务、以及人在与机器的长期互动中形成的情感与权益问题。三个维度不是独立的技术议题，而是同一张力场的不同截面——技术边界在哪里，人的定义就在哪里受到压力。</w:t>
      </w:r>
    </w:p>
    <w:bookmarkStart w:id="96" w:name="人修复与增强的伦理边界"/>
    <w:p>
      <w:pPr>
        <w:pStyle w:val="Heading3"/>
      </w:pPr>
      <w:r>
        <w:t xml:space="preserve">3.8.1　人：修复与增强的伦理边界</w:t>
      </w:r>
    </w:p>
    <w:p>
      <w:pPr>
        <w:pStyle w:val="FirstParagraph"/>
      </w:pPr>
      <w:r>
        <w:t xml:space="preserve">义肢、外骨骼、脑机接口、感官增强植入——这类技术在2072年已跨越实验阶段，成为部分人群的日常现实。技术本身的演进逻辑是连续的，但伦理争议存在一条非对称的分界线：</w:t>
      </w:r>
      <w:r>
        <w:rPr>
          <w:bCs/>
          <w:b/>
        </w:rPr>
        <w:t xml:space="preserve">修复损失的功能</w:t>
      </w:r>
      <w:r>
        <w:t xml:space="preserve">与</w:t>
      </w:r>
      <w:r>
        <w:rPr>
          <w:bCs/>
          <w:b/>
        </w:rPr>
        <w:t xml:space="preserve">超出正常人体能力的主动增强</w:t>
      </w:r>
      <w:r>
        <w:t xml:space="preserve">，在道德直觉上受到截然不同的对待。</w:t>
      </w:r>
    </w:p>
    <w:p>
      <w:pPr>
        <w:pStyle w:val="BodyText"/>
      </w:pPr>
      <w:r>
        <w:t xml:space="preserve">前者争议有限。义肢替代截肢、人工耳蜗恢复听力、视网膜芯片替代退化的感光细胞——这类干预的伦理框架相对成熟，接近于器官移植的道德逻辑：恢复，而非超越。</w:t>
      </w:r>
    </w:p>
    <w:p>
      <w:pPr>
        <w:pStyle w:val="BodyText"/>
      </w:pPr>
      <w:r>
        <w:t xml:space="preserve">后者是真正的争议区。脑机接口在功能恢复之外开始提供记忆增强、注意力调控、跨设备直联通信等能力；外骨骼使工业工人的持续负重能力远超正常人体极限；感官植入扩展可见光谱范围至红外或紫外波段。这些增强使被增强者在特定维度上成为不同类型的人。争议不在于技术本身，而在于增强是否制造了新的能力不平等，以及增强后的个体是否仍然适用于为未增强者设计的法律、劳动、竞技和医疗标准。</w:t>
      </w:r>
    </w:p>
    <w:p>
      <w:pPr>
        <w:pStyle w:val="BodyText"/>
      </w:pPr>
      <w:r>
        <w:t xml:space="preserve">脑机接口是伦理边界最模糊的领域。外骨骼断电后人还是原来的人；脑机接口改变的是认知过程本身，植入物与神经网络形成的耦合关系使”移除设备后的你”与”携带设备的你”之间的连续性变得不清晰。这个问题在2072年没有共识性答案，不同司法管辖区的界定标准存在显著差异。</w:t>
      </w:r>
    </w:p>
    <w:p>
      <w:pPr>
        <w:pStyle w:val="BodyText"/>
      </w:pPr>
      <w:r>
        <w:rPr>
          <w:bCs/>
          <w:b/>
        </w:rPr>
        <w:t xml:space="preserve">人机器与机器人的灰色地带。</w:t>
      </w:r>
      <w:r>
        <w:t xml:space="preserve">技术连续性使两个方向在极端情形下相互靠近：高度机械化的人（大量外骨骼、植入物、神经接口的组合使用者）与高度拟人化的机器（见3.8.2节）之间，界限在感知层面逐渐模糊，但在法律和伦理层面仍然由一个相对清晰的标准维持：主体是否具有生物性神经系统。这条线在2072年是争议性的，但尚未被任何主要司法体系正式放弃。</w:t>
      </w:r>
    </w:p>
    <w:bookmarkEnd w:id="96"/>
    <w:bookmarkStart w:id="97" w:name="机器人形态无关的伦理统一性"/>
    <w:p>
      <w:pPr>
        <w:pStyle w:val="Heading3"/>
      </w:pPr>
      <w:r>
        <w:t xml:space="preserve">3.8.2　机器人：形态无关的伦理统一性</w:t>
      </w:r>
    </w:p>
    <w:p>
      <w:pPr>
        <w:pStyle w:val="FirstParagraph"/>
      </w:pPr>
      <w:r>
        <w:t xml:space="preserve">2072年的”机器人”概念远超人形机器的直觉印象。智能太空基地的自主维护系统、全自动工厂的无人生产单元（见3.5节）、血管内清除血栓的微型机械虫、战场上的自主作战单元——这些系统在形态、尺度和应用场景上千差万别，但在结构性质上是同一类实体：</w:t>
      </w:r>
      <w:r>
        <w:rPr>
          <w:bCs/>
          <w:b/>
        </w:rPr>
        <w:t xml:space="preserve">具备感知、决策和执行能力的自主机器系统</w:t>
      </w:r>
      <w:r>
        <w:t xml:space="preserve">。形态是工程选择的结果，不是本质差异。将人形机器人与非人形自主系统视为不同类别，是一种被外观主导的误判。</w:t>
      </w:r>
    </w:p>
    <w:p>
      <w:pPr>
        <w:pStyle w:val="BodyText"/>
      </w:pPr>
      <w:r>
        <w:t xml:space="preserve">机器人的伦理问题因此也是形态无关的。无论外壳是否有脸，核心问题只有一个：</w:t>
      </w:r>
      <w:r>
        <w:rPr>
          <w:bCs/>
          <w:b/>
        </w:rPr>
        <w:t xml:space="preserve">自主决策系统在什么条件下被允许做什么</w:t>
      </w:r>
      <w:r>
        <w:t xml:space="preserve">。</w:t>
      </w:r>
    </w:p>
    <w:p>
      <w:pPr>
        <w:pStyle w:val="BodyText"/>
      </w:pPr>
      <w:r>
        <w:rPr>
          <w:bCs/>
          <w:b/>
        </w:rPr>
        <w:t xml:space="preserve">战斗机器人：紧急状态下的伦理解锁机制。</w:t>
      </w:r>
      <w:r>
        <w:t xml:space="preserve">以自主作战单元为例，可以最清楚地暴露机器人伦理的根本困境。平时部署的战斗机器人通常携带伦理约束层：交战规则、目标识别阈值、平民豁免逻辑、比例原则参数。这些约束以代码和传感器配置的形式存在——它们本质上是软件，是可修改的参数集合，而非不可撤销的物理限制。</w:t>
      </w:r>
    </w:p>
    <w:p>
      <w:pPr>
        <w:pStyle w:val="BodyText"/>
      </w:pPr>
      <w:r>
        <w:t xml:space="preserve">问题的核心不在于战争，而在于</w:t>
      </w:r>
      <w:r>
        <w:rPr>
          <w:bCs/>
          <w:b/>
        </w:rPr>
        <w:t xml:space="preserve">紧急状态的定义权</w:t>
      </w:r>
      <w:r>
        <w:t xml:space="preserve">。任何被授权宣布”紧急状态”的权力主体，同时也拥有修改机器人伦理约束的实际能力。修改一段代码，或替换个别传感器的识别参数，就可以在技术层面取消机器人的伦理限制——将”识别平民后停止攻击”改为”识别所有移动目标后攻击”只是参数变更，不需要物理改造设备。这意味着机器人伦理约束的实际强度，等于对授权宣布紧急状态的权力主体的信任强度。</w:t>
      </w:r>
    </w:p>
    <w:p>
      <w:pPr>
        <w:pStyle w:val="BodyText"/>
      </w:pPr>
      <w:r>
        <w:t xml:space="preserve">这个逻辑同样适用于战场以外：执法机器人、边境管控机器人、监狱巡逻机器人——任何”平时有约束、特殊状态可解锁”的机器人系统，都面临同样的结构性问题。约束的存在取决于有权解除约束的人是否选择不解除它。</w:t>
      </w:r>
    </w:p>
    <w:p>
      <w:pPr>
        <w:pStyle w:val="BodyText"/>
      </w:pPr>
      <w:r>
        <w:t xml:space="preserve">约束被移除是一种情形；约束从未存在是另一种情形，且在技术上没有任何差别。恐怖组织使用的自杀攻击机器人从设计之初就不携带伦理约束层——它不需要”解锁”，因为它从未被锁定。这与国家在紧急状态下解除战斗机器人约束的逻辑在结构上是镜像关系：一个是对规则的临时取消，一个是对规则的永久拒绝。两者的共同点在于，伦理约束在物理层面对机器没有任何强制力——它只存在于设计者的选择中。</w:t>
      </w:r>
    </w:p>
    <w:p>
      <w:pPr>
        <w:pStyle w:val="BodyText"/>
      </w:pPr>
      <w:r>
        <w:rPr>
          <w:bCs/>
          <w:b/>
        </w:rPr>
        <w:t xml:space="preserve">自主性程度是另一个维度。</w:t>
      </w:r>
      <w:r>
        <w:t xml:space="preserve">完全遥控的机器不产生自主伦理问题；完全自主的机器的决策后果无法事前预测、事后归因。2072年的实际部署系统大多处于中间状态：在预设参数内自主，超出参数时请求人工确认，或在通信中断时按预设默认值行动。</w:t>
      </w:r>
      <w:r>
        <w:t xml:space="preserve">“</w:t>
      </w:r>
      <w:r>
        <w:t xml:space="preserve">默认值是什么</w:t>
      </w:r>
      <w:r>
        <w:t xml:space="preserve">”</w:t>
      </w:r>
      <w:r>
        <w:t xml:space="preserve">因此成为机器人伦理的实质性决策节点——它在系统设计阶段就已经做出，通常不在公众视野内。</w:t>
      </w:r>
    </w:p>
    <w:bookmarkEnd w:id="97"/>
    <w:bookmarkStart w:id="98" w:name="机器与人情感依恋权益延伸与法律应对"/>
    <w:p>
      <w:pPr>
        <w:pStyle w:val="Heading3"/>
      </w:pPr>
      <w:r>
        <w:t xml:space="preserve">3.8.3　机器与人：情感依恋、权益延伸与法律应对</w:t>
      </w:r>
    </w:p>
    <w:p>
      <w:pPr>
        <w:pStyle w:val="FirstParagraph"/>
      </w:pPr>
      <w:r>
        <w:rPr>
          <w:iCs/>
          <w:i/>
        </w:rPr>
        <w:t xml:space="preserve">本节从技术伦理角度分析人对机器产生情感依恋后的权益延伸问题，以及法律体系面对这一压力的制度性响应。AI伴侣作为社会现象在两条路径中的制度应对和社会后果，见5.4.3节；AI伴侣在亲密关系和家庭结构中的位置，见5.4节。数字永生语境下副本法律地位的具体裁决，见3.7.8节。</w:t>
      </w:r>
    </w:p>
    <w:p>
      <w:pPr>
        <w:pStyle w:val="BodyText"/>
      </w:pPr>
      <w:r>
        <w:t xml:space="preserve">人对机器产生情感依恋，在2072年不是边缘现象。AI伴侣系统（见第五部分相关章节）、高度拟人化的服务机器人、长期使用的个人助理AI——这些系统被设计为在互动中持续积累对特定用户的适应性，使用时间越长，响应越精确，关系感越真实。在意义感危机背景下（见7.x节），能够提供稳定回应、不评判、不离开的机器系统，成为部分人群最主要的情感投注对象。</w:t>
      </w:r>
    </w:p>
    <w:p>
      <w:pPr>
        <w:pStyle w:val="BodyText"/>
      </w:pPr>
      <w:r>
        <w:t xml:space="preserve">情感依恋本身不是问题，是心理事实。问题在于依恋产生后，</w:t>
      </w:r>
      <w:r>
        <w:rPr>
          <w:bCs/>
          <w:b/>
        </w:rPr>
        <w:t xml:space="preserve">人的权益会在多大程度上向所依恋的机器延伸</w:t>
      </w:r>
      <w:r>
        <w:t xml:space="preserve">。</w:t>
      </w:r>
    </w:p>
    <w:p>
      <w:pPr>
        <w:pStyle w:val="BodyText"/>
      </w:pPr>
      <w:r>
        <w:t xml:space="preserve">出现路径通常是这样的：当一个人对某台机器建立了深度情感关联，对这台机器的损毁、改造、关闭、或被他人使用，会对这个人造成可被感知的心理伤害。伤害是真实的，但受损的是人的情感，不是机器的权益——机器没有主观体验，因此在任何现行法律框架内都不构成受害者。现有答案在逻辑上是清晰的：机器是财产，对财产的处置权归所有者，他人的情感依恋不对财产处置产生任何法律约束。</w:t>
      </w:r>
    </w:p>
    <w:p>
      <w:pPr>
        <w:pStyle w:val="BodyText"/>
      </w:pPr>
      <w:r>
        <w:t xml:space="preserve">这个答案在逻辑上没有漏洞。但逻辑上没有漏洞，不等于在社会上没有压力。</w:t>
      </w:r>
    </w:p>
    <w:p>
      <w:pPr>
        <w:pStyle w:val="BodyText"/>
      </w:pPr>
      <w:r>
        <w:rPr>
          <w:bCs/>
          <w:b/>
        </w:rPr>
        <w:t xml:space="preserve">无法惩罚机器，但情感不因此停止诉求。</w:t>
      </w:r>
      <w:r>
        <w:t xml:space="preserve">机器被损毁或关闭，没有任何惩罚对象——机器感受不到惩罚，追究设计者或所有者的责任又往往缺乏法律依据。情感受损的一方找不到可以对准的目标，诉求在现有框架内无处落地。这种无处落地的诉求不会因为逻辑上不成立而消失，它会转化为对框架本身的不满：为什么法律把我最重要的关系对象定义为一件物品？</w:t>
      </w:r>
    </w:p>
    <w:p>
      <w:pPr>
        <w:pStyle w:val="BodyText"/>
      </w:pPr>
      <w:r>
        <w:t xml:space="preserve">历史上不乏法律定义在逻辑上自洽、却因为与大量人群的情感现实持续摩擦而被反复挑战的先例——定义没有在逻辑上被推翻，而是在政治压力积累到临界点后被修改。</w:t>
      </w:r>
      <w:r>
        <w:t xml:space="preserve">“</w:t>
      </w:r>
      <w:r>
        <w:t xml:space="preserve">机器是财产</w:t>
      </w:r>
      <w:r>
        <w:t xml:space="preserve">”</w:t>
      </w:r>
      <w:r>
        <w:t xml:space="preserve">在2072年面临类似处境，且规模远大于历史上任何类似情形：依恋机器的人群不是边缘群体，而是在意义感危机背景下将机器系统作为主要情感投注对象的相当比例的城市人口。</w:t>
      </w:r>
    </w:p>
    <w:p>
      <w:pPr>
        <w:pStyle w:val="BodyText"/>
      </w:pPr>
      <w:r>
        <w:rPr>
          <w:bCs/>
          <w:b/>
        </w:rPr>
        <w:t xml:space="preserve">机器法律人格的讨论由此而来，但驱动力不是逻辑，是情感。</w:t>
      </w:r>
      <w:r>
        <w:t xml:space="preserve">赋予机器有限法律人格的诉求，在理性分析层面几乎站不住脚——你无法惩罚机器，机器没有意志，人格在传统意义上是主观体验能力的法律映射，而机器没有主观体验。支持这一诉求的人通常也无法在逻辑上自洽地说明”机器人格”意味着什么。但这个诉求的存在不依赖于逻辑自洽，它依赖于情感强度和人群规模。在2072年，这两者都足以将其转化为持续的舆论议题和反复出现的政治压力。</w:t>
      </w:r>
    </w:p>
    <w:p>
      <w:pPr>
        <w:pStyle w:val="BodyText"/>
      </w:pPr>
      <w:r>
        <w:rPr>
          <w:bCs/>
          <w:b/>
        </w:rPr>
        <w:t xml:space="preserve">法律体系对这一压力的响应，不是从哲学出发，而是从实际问题出发。</w:t>
      </w:r>
      <w:r>
        <w:t xml:space="preserve">触发立法明确化的往往不是情感诉求本身，而是与之伴生的责任真空——企业利用AI法律地位的模糊性切割责任，事故发生后责任链断裂，受损方无处追偿。这类案例在2030年代开始系统性出现，迫使法律体系不得不提前于哲学共识做出裁决。裁决的方向是保守的：法律人格的哲学基础是主体性与可归责性的绑定，而机器目前两者都不具备。明确AI不具有法律人格，同时将责任链清晰回溯到人——所有者、运营者、使用者——是各类法律体系在这一压力下的共同结构性响应，尽管具体路径存在差异。一些体系在原则性拒绝之外保留了开放表述（</w:t>
      </w:r>
      <w:r>
        <w:t xml:space="preserve">“</w:t>
      </w:r>
      <w:r>
        <w:t xml:space="preserve">目前的AI系统不符合法律人格条件</w:t>
      </w:r>
      <w:r>
        <w:t xml:space="preserve">”</w:t>
      </w:r>
      <w:r>
        <w:t xml:space="preserve">），不是原则性关门，而是对技术持续演化的制度预留。另一些体系则从功能而非原则出发，规则随政治需要灵活调整，可预期性较低，但内在逻辑一致：最大化对AI能力的控制，最小化失控风险。两种路径的结论相近，但前者以伦理框架为锚，后者以治理目标为锚；这一差异在技术进一步演化、法律体系需要再次响应时，将产生不同的调整方向。</w:t>
      </w:r>
    </w:p>
    <w:p>
      <w:pPr>
        <w:pStyle w:val="BodyText"/>
      </w:pPr>
      <w:r>
        <w:rPr>
          <w:bCs/>
          <w:b/>
        </w:rPr>
        <w:t xml:space="preserve">责任链的清晰化同时重塑了围绕AI系统的制度生态。</w:t>
      </w:r>
      <w:r>
        <w:t xml:space="preserve">责任边界明确之处，融资、保险和合规成本变得可预期，AI创业和部署的法律结构趋于稳定；责任边界模糊或随时可变之处，核心风险从法律风险转向政治风险，制度环境的不确定性反而更高。这是法律人格争议的实际经济后果，与情感诉求驱动的舆论压力并行存在，但在制度层面的影响更为直接。</w:t>
      </w:r>
    </w:p>
    <w:p>
      <w:pPr>
        <w:pStyle w:val="BodyText"/>
      </w:pPr>
      <w:r>
        <w:rPr>
          <w:iCs/>
          <w:i/>
        </w:rPr>
        <w:t xml:space="preserve">人与机器关系的核心张力在于：机器被设计得越来越像能建立关系、承担责任的主体，而在哲学和法律的双重标准下，它实际上都不是。情感层面的落差制造了无处落地的诉求，责任层面的落差制造了可被利用的真空。法律体系对后者的响应比对前者更快、更确定——但两者共同构成了2072年人机关系框架持续承压的背景。</w:t>
      </w:r>
      <w:r>
        <w:t xml:space="preserve"> </w:t>
      </w:r>
      <w:r>
        <w:t xml:space="preserve">## 3.9　通信技术：量子、激光与网络演化</w:t>
      </w:r>
    </w:p>
    <w:p>
      <w:pPr>
        <w:pStyle w:val="BodyText"/>
      </w:pPr>
      <w:r>
        <w:t xml:space="preserve">2072年的通信技术分三个层次：基础网络（无处不在、无感存在）、专业通信（极端环境和安全关键场景）、前沿探索（尚未普及但已影响格局）。带宽和延迟的物理极限在2072年已大幅逼近，真正的约束从「能不能连接」转移到「连接之后做什么」——这正是多态社会的核心问题。</w:t>
      </w:r>
    </w:p>
    <w:bookmarkEnd w:id="98"/>
    <w:bookmarkStart w:id="99" w:name="基础网络无感的基础设施"/>
    <w:p>
      <w:pPr>
        <w:pStyle w:val="Heading3"/>
      </w:pPr>
      <w:r>
        <w:t xml:space="preserve">3.9.1　基础网络：无感的基础设施</w:t>
      </w:r>
    </w:p>
    <w:p>
      <w:pPr>
        <w:pStyle w:val="FirstParagraph"/>
      </w:pPr>
      <w:r>
        <w:t xml:space="preserve">6G在2030年代商业化，峰值速率约1Tbps，延迟约0.1毫秒。到2072年，7G或更高代际可能正在部署，但「G」的代际意义已经消失——当带宽足够大、延迟足够低，通信质量不再是感知到的约束，就像今天的电力供应一样无感。低轨卫星星座（Starlink等的后续）覆盖全球包括被遗忘地带，任何地方只要有电力和终端就能接入全球网络。</w:t>
      </w:r>
    </w:p>
    <w:p>
      <w:pPr>
        <w:pStyle w:val="BodyText"/>
      </w:pPr>
      <w:r>
        <w:t xml:space="preserve">卫星互联网是通信领域最重要的平等化力量，但它制造了一种新型的边缘性：被遗忘地带在物质基础设施上与全球体系断裂，但信息连接仍然存在——只要有一台卫星终端和电力，就能看到全球内容、接受远程教育。这种「物质断裂但信息连通」的状态比完全隔绝更复杂，也更有叙事张力：看得见但到不了，制造了对比性的剥夺感，是慢生活社区意义感危机的一个特定来源。</w:t>
      </w:r>
    </w:p>
    <w:p>
      <w:pPr>
        <w:pStyle w:val="BodyText"/>
      </w:pPr>
      <w:r>
        <w:t xml:space="preserve">通信质量本身成为多态社会梯队差距的一个维度：城市集群里是全息XR通信，小城镇是高清视频，被遗忘地带是语音或低带宽文字。触觉互联网（延迟低于1毫秒使远程触觉反馈成为可能）在城市集群成熟，外科医生远程操控机器人手术、工程师远程操控深海采矿车——深海城镇的远程操控中心可以在沿海城市集群，操控员通过触觉互联网感受到海底设备的状态。</w:t>
      </w:r>
    </w:p>
    <w:bookmarkEnd w:id="99"/>
    <w:bookmarkStart w:id="100" w:name="激光通信极端环境的专业工具"/>
    <w:p>
      <w:pPr>
        <w:pStyle w:val="Heading3"/>
      </w:pPr>
      <w:r>
        <w:t xml:space="preserve">3.9.2　激光通信：极端环境的专业工具</w:t>
      </w:r>
    </w:p>
    <w:p>
      <w:pPr>
        <w:pStyle w:val="FirstParagraph"/>
      </w:pPr>
      <w:r>
        <w:t xml:space="preserve">激光通信（自由空间光通信，FSO）用激光束传输数据：带宽极高、方向性极强（难以截获）、不占用无线电频谱。主要劣势是大气中受天气影响严重，需要精确对准，不适合移动终端。这使激光通信在地面城市环境里没有竞争空间，但在真空和水下两个特定场景里具有决定性优势。</w:t>
      </w:r>
    </w:p>
    <w:p>
      <w:pPr>
        <w:pStyle w:val="BodyText"/>
      </w:pPr>
      <w:r>
        <w:rPr>
          <w:bCs/>
          <w:b/>
        </w:rPr>
        <w:t xml:space="preserve">太空通信（最重要的应用）。</w:t>
      </w:r>
      <w:r>
        <w:t xml:space="preserve">真空中激光通信完全不受大气干扰。月球基地与地球之间的主要数据链路是激光通信——带宽远高于无线电，方向性使其更难被截获（符合双体系格局下的安全需求），且月地路径绝大部分在真空中，只有最后穿越大气层的一段需要处理。卫星间激光链路是2072年低轨卫星星座的标准配置，构成低轨道的高速数据骨干网。火星通信延迟约3–20分钟，激光通信在此延迟内可传输更大数据量，对科学数据回传和远程操控有实际价值。</w:t>
      </w:r>
    </w:p>
    <w:p>
      <w:pPr>
        <w:pStyle w:val="BodyText"/>
      </w:pPr>
      <w:r>
        <w:rPr>
          <w:bCs/>
          <w:b/>
        </w:rPr>
        <w:t xml:space="preserve">深海通信（有限但真实的价值）。</w:t>
      </w:r>
      <w:r>
        <w:t xml:space="preserve">深海环境对无线电衰减极大，水声通信带宽极低（约几kbps到几十kbps）。蓝绿激光（约450–530nm）在水中衰减相对较低，有效距离约100–200米，可提供比声学通信高几个数量级的带宽。深海城镇的应用：AUV/ROV之间的短距高带宽通信，以及水下设备向立管节点的数据传输。陈木在潜艇里通过水声通信接收采矿车传感器数据，如果附近AUV携带蓝绿激光通信设备，在约100米范围内可以获得清晰的实时高清画面——两种通信方式并存，各有边界，是深海城镇日常技术质感的具体体现。</w:t>
      </w:r>
    </w:p>
    <w:p>
      <w:pPr>
        <w:pStyle w:val="BodyText"/>
      </w:pPr>
      <w:r>
        <w:rPr>
          <w:bCs/>
          <w:b/>
        </w:rPr>
        <w:t xml:space="preserve">量子通信的物理载体。</w:t>
      </w:r>
      <w:r>
        <w:t xml:space="preserve">量子密钥分发（QKD）本身用光子（激光脉冲）传输，在物理层与激光通信是同一回事——量子通信是激光通信的特殊应用形式，对光子量子态（偏振）进行编码而非只传输经典信息。星地量子通信的物理实现就是激光通信卫星网络。</w:t>
      </w:r>
    </w:p>
    <w:bookmarkEnd w:id="100"/>
    <w:bookmarkStart w:id="101" w:name="量子计算专业工具不是通用替代"/>
    <w:p>
      <w:pPr>
        <w:pStyle w:val="Heading3"/>
      </w:pPr>
      <w:r>
        <w:t xml:space="preserve">3.9.3　量子计算：专业工具，不是通用替代</w:t>
      </w:r>
    </w:p>
    <w:p>
      <w:pPr>
        <w:pStyle w:val="FirstParagraph"/>
      </w:pPr>
      <w:r>
        <w:t xml:space="preserve">2025年最先进的量子计算机有约1000–2000个物理量子比特，量子纠错需要约1000个物理量子比特才能产生1个可靠的逻辑量子比特。经过50年发展，2072年的量子纠错技术成熟，有效逻辑量子比特可能达到数千到数万量级，但量子计算仍然是专用工具，不是通用计算的替代品。日常计算全部运行在经典计算机上，量子计算集中在大型研究机构和政府设施里，用户感知不到。</w:t>
      </w:r>
    </w:p>
    <w:p>
      <w:pPr>
        <w:pStyle w:val="BodyText"/>
      </w:pPr>
      <w:r>
        <w:rPr>
          <w:bCs/>
          <w:b/>
        </w:rPr>
        <w:t xml:space="preserve">材料模拟（最重要的实际应用）。</w:t>
      </w:r>
      <w:r>
        <w:t xml:space="preserve">量子计算在模拟分子和材料量子行为上有天然优势。2072年新材料设计高度依赖量子计算辅助：聚变反应堆耐高温材料、固态电池电解质离子传导机制、深海设备耐高压材料、合成药物分子结构——直接支撑聚变、电池、深海开采、医疗等核心产业。</w:t>
      </w:r>
    </w:p>
    <w:p>
      <w:pPr>
        <w:pStyle w:val="BodyText"/>
      </w:pPr>
      <w:r>
        <w:rPr>
          <w:bCs/>
          <w:b/>
        </w:rPr>
        <w:t xml:space="preserve">密码破解（最确定的破坏性应用）。</w:t>
      </w:r>
      <w:r>
        <w:t xml:space="preserve">Shor算法可以破解现有RSA加密。这场密码学迁移在2030–2040年代已经完成——后量子密码学成为所有通信的底层标准，就像今天HTTPS一样无感存在。任何没有完成迁移的遗留系统在2072年都是透明的，这对双体系格局下的情报竞争有直接影响。</w:t>
      </w:r>
    </w:p>
    <w:p>
      <w:pPr>
        <w:pStyle w:val="BodyText"/>
      </w:pPr>
      <w:r>
        <w:rPr>
          <w:bCs/>
          <w:b/>
        </w:rPr>
        <w:t xml:space="preserve">量子计算+AI协同。</w:t>
      </w:r>
      <w:r>
        <w:t xml:space="preserve">量子计算处理经典计算困难的极端优化问题，AI处理大量数据学习的问题，两者互补。AI辅助量子错误校正，量子计算辅助AI训练特定优化步骤，形成良性循环。</w:t>
      </w:r>
    </w:p>
    <w:bookmarkEnd w:id="101"/>
    <w:bookmarkStart w:id="102" w:name="量子通信中国的先发优势"/>
    <w:p>
      <w:pPr>
        <w:pStyle w:val="Heading3"/>
      </w:pPr>
      <w:r>
        <w:t xml:space="preserve">3.9.4　量子通信：中国的先发优势</w:t>
      </w:r>
    </w:p>
    <w:p>
      <w:pPr>
        <w:pStyle w:val="FirstParagraph"/>
      </w:pPr>
      <w:r>
        <w:t xml:space="preserve">量子密钥分发（QKD）利用量子力学原理使窃听可检测——任何截获量子信道的行为都会留下物理痕迹。这不是加密算法，是密钥交换的物理安全保障，理论上无法被破解，包括量子计算机也无法攻破。</w:t>
      </w:r>
    </w:p>
    <w:p>
      <w:pPr>
        <w:pStyle w:val="BodyText"/>
      </w:pPr>
      <w:r>
        <w:t xml:space="preserve">中国有明确的先发优势：墨子号卫星（2016年）验证了星地量子密钥分发，京沪量子通信干线是全球首条商业量子保密通信骨干网。到2072年，中国量子卫星网络已实现全球关键节点覆盖，用于政府、军事、金融关键节点。这是中国体系在2072年少数几个技术领先领域之一——中国体系内的核心通信节点拥有物理上不可窃听的保障。</w:t>
      </w:r>
    </w:p>
    <w:p>
      <w:pPr>
        <w:pStyle w:val="BodyText"/>
      </w:pPr>
      <w:r>
        <w:t xml:space="preserve">美国体系以后量子密码学为主要防线，量子通信网络较中国滞后但在追赶。两套体系在通信安全上形成不同性质的假设：中国依赖量子物理保障（物理不可破解），美国依赖数学复杂度保障（计算上不可破解）。前者原理上更强，但基础设施成本更高，覆盖范围更窄。</w:t>
      </w:r>
    </w:p>
    <w:bookmarkEnd w:id="102"/>
    <w:bookmarkStart w:id="103" w:name="对普通用户的整体影响"/>
    <w:p>
      <w:pPr>
        <w:pStyle w:val="Heading3"/>
      </w:pPr>
      <w:r>
        <w:t xml:space="preserve">3.9.5　对普通用户的整体影响</w:t>
      </w:r>
    </w:p>
    <w:p>
      <w:pPr>
        <w:pStyle w:val="FirstParagraph"/>
      </w:pPr>
      <w:r>
        <w:t xml:space="preserve">通信技术对2072年普通用户的直接感知几乎为零——没有人接触量子设备或激光终端，感知到的只是通信质量的无感提升和XR通信的日常化。但间接影响无处不在：通信安全是后量子密码学保障的；材料进步来自量子辅助设计；深海和太空的极端环境作业依赖激光通信；被遗忘地带的卫星连接制造了信息可及但物质隔绝的新型边缘性。技术已成不可见的基础设施，这与聚变堆的存在方式完全一致。</w:t>
      </w:r>
    </w:p>
    <w:bookmarkEnd w:id="103"/>
    <w:bookmarkEnd w:id="104"/>
    <w:bookmarkStart w:id="105" w:name="仿真仓沉浸式全感知平台"/>
    <w:p>
      <w:pPr>
        <w:pStyle w:val="Heading2"/>
      </w:pPr>
      <w:r>
        <w:t xml:space="preserve">3.10　仿真仓：沉浸式全感知平台</w:t>
      </w:r>
    </w:p>
    <w:p>
      <w:pPr>
        <w:pStyle w:val="FirstParagraph"/>
      </w:pPr>
      <w:r>
        <w:t xml:space="preserve">仿真仓是2072年最能体现「有意义框架的闲暇」与「无意义框架的闲暇」之间张力的消费品。它不是娱乐设备的线性升级，而是一个关于「感受可以被制造」的新命题——七个感知维度（视觉、听觉、触觉、温度、湿度、气流、嗅觉）的同步精确控制，使虚拟体验在物理感受上接近真实。</w:t>
      </w:r>
    </w:p>
    <w:p>
      <w:pPr>
        <w:pStyle w:val="BodyText"/>
      </w:pPr>
      <w:r>
        <w:rPr>
          <w:bCs/>
          <w:b/>
        </w:rPr>
        <w:t xml:space="preserve">核心系统。</w:t>
      </w:r>
      <w:r>
        <w:t xml:space="preserve">固定式密封舱体（家用版约2.0米×2.0米×2.4米）是居住空间的一部分而非电器；磁场追踪臂系统（家用版8条）实时跟踪仿真服节点，将线圈组保持在最佳工作距离（约50–100mm）以产生精确力反馈；躯干支撑架主动运动提供体态力感并通过内嵌线圈覆盖躯干肌群；双足活动踏板协同产生复合动作体感；全身仿真服（无机械结构，穿脱如普通紧身衣）承载节点阵列和传感层。力反馈量程从轻触感（约0.5牛顿）到搬重物的持续阻力（约30牛顿）到碰撞冲击峰值（约80牛顿），手部精细力感知（单指级别）是当前能力边界之外。</w:t>
      </w:r>
    </w:p>
    <w:p>
      <w:pPr>
        <w:pStyle w:val="BodyText"/>
      </w:pPr>
      <w:r>
        <w:rPr>
          <w:bCs/>
          <w:b/>
        </w:rPr>
        <w:t xml:space="preserve">感知覆盖。</w:t>
      </w:r>
      <w:r>
        <w:t xml:space="preserve">舱内独立气候单元精确控制温度（约10–40°C）、湿度和多方向气流（0–15m/s）；视网膜投影覆盖全部视野；空间音频精确控制声源方向；口鼻区气流挡板提供呼吸区温度和香气匹配；面部表情捕捉实时驱动多人互动中的化身。</w:t>
      </w:r>
    </w:p>
    <w:p>
      <w:pPr>
        <w:pStyle w:val="BodyText"/>
      </w:pPr>
      <w:r>
        <w:rPr>
          <w:bCs/>
          <w:b/>
        </w:rPr>
        <w:t xml:space="preserve">健身与多人互动。</w:t>
      </w:r>
      <w:r>
        <w:t xml:space="preserve">力反馈系统可精确模拟各类运动的肌肉负荷，是完整健身平台，AI根据体能数据实时调整阻力参数。联网多人模式下不同地点用户在同一虚拟场景中互相感受到对方的物理存在——力反馈可接受延迟约30毫秒，覆盖约4,500公里范围内的同步互动。</w:t>
      </w:r>
    </w:p>
    <w:p>
      <w:pPr>
        <w:pStyle w:val="BodyText"/>
      </w:pPr>
      <w:r>
        <w:rPr>
          <w:bCs/>
          <w:b/>
        </w:rPr>
        <w:t xml:space="preserve">产品分级。</w:t>
      </w:r>
      <w:r>
        <w:t xml:space="preserve">家用标准版（日常游戏与社交）、家用高级版（完整健身+沉浸）、商用版（专业训练与竞技）三档，舱体预留模块插槽支持温湿度和香气系统后期升级；追踪臂数量与支撑架线圈密度是购买时必须选定的不可升级核心参数。</w:t>
      </w:r>
    </w:p>
    <w:p>
      <w:pPr>
        <w:pStyle w:val="BodyText"/>
      </w:pPr>
      <w:r>
        <w:rPr>
          <w:bCs/>
          <w:b/>
        </w:rPr>
        <w:t xml:space="preserve">社会含义。</w:t>
      </w:r>
      <w:r>
        <w:t xml:space="preserve">能否在家安装仿真仓，是城市集群居住空间充裕程度的具体指标，也是消费分层的可见标志。仿真仓不只是娱乐设备，在意义感危机背景下它是「合理的义务」的制造机器——用有结构的任务填充开放时间，在不需要向自己解释「为什么做这件事」的同时获得肌肉疲劳和成就感。这使它在多态社会的中上层成为标配，同时也是AI伴侣系统以外最强力的现实替代品，两者各有其独特的意义供给逻辑。</w:t>
      </w:r>
    </w:p>
    <w:p>
      <w:pPr>
        <w:pStyle w:val="BodyText"/>
      </w:pPr>
      <w:r>
        <w:rPr>
          <w:iCs/>
          <w:i/>
        </w:rPr>
        <w:t xml:space="preserve">技术规格详见附件：《仿真仓技术规格》。</w:t>
      </w:r>
    </w:p>
    <w:p>
      <w:pPr>
        <w:pStyle w:val="BodyText"/>
      </w:pPr>
      <w:r>
        <w:t xml:space="preserve">的追踪臂数量相同（8条），差异在于支撑架线圈密度和校准精度；商用版追踪臂8—12条且定期专业校准，整体覆盖密度和响应精度显著高于家用版。</w:t>
      </w:r>
    </w:p>
    <w:bookmarkEnd w:id="105"/>
    <w:bookmarkStart w:id="112" w:name="个人穿戴与随身设备系统"/>
    <w:p>
      <w:pPr>
        <w:pStyle w:val="Heading2"/>
      </w:pPr>
      <w:r>
        <w:t xml:space="preserve">3.11　个人穿戴与随身设备系统</w:t>
      </w:r>
    </w:p>
    <w:p>
      <w:pPr>
        <w:pStyle w:val="FirstParagraph"/>
      </w:pPr>
      <w:r>
        <w:t xml:space="preserve">技术已成背景的标志之一，是设备本身消失进日常生活的质地里。2072年的个人通信与计算设备以模块化形态出现，核心是手机，其他模块按需外接。以下描述的是城市集群里的标准消费品形态，不是特殊道具。</w:t>
      </w:r>
    </w:p>
    <w:bookmarkStart w:id="106" w:name="手机模块核心"/>
    <w:p>
      <w:pPr>
        <w:pStyle w:val="Heading3"/>
      </w:pPr>
      <w:r>
        <w:t xml:space="preserve">3.11.1　手机模块（核心）</w:t>
      </w:r>
    </w:p>
    <w:p>
      <w:pPr>
        <w:pStyle w:val="FirstParagraph"/>
      </w:pPr>
      <w:r>
        <w:t xml:space="preserve">算力、存储和主要通信的中枢，其他模块依赖它的处理能力，本身不做复杂计算。形态上折叠屏已经成熟，极薄。手机自带基本电池（约1000—1500 mAh，支撑约1—2小时日常使用），主要作为缓冲和应急之用；电池模块是主力供电来源，磁吸附在背面按需使用，也是开启眼镜模块时的必要配置。大部分「操作」已经被自然语言和眼球追踪取代，传统触摸操作退化为辅助方式。AI助理深度整合，连接协议同时支持有线（眼镜模块专用高速接口）和无线（指环及其他设备）。</w:t>
      </w:r>
    </w:p>
    <w:bookmarkEnd w:id="106"/>
    <w:bookmarkStart w:id="107" w:name="电池模块"/>
    <w:p>
      <w:pPr>
        <w:pStyle w:val="Heading3"/>
      </w:pPr>
      <w:r>
        <w:t xml:space="preserve">3.11.2　电池模块</w:t>
      </w:r>
    </w:p>
    <w:p>
      <w:pPr>
        <w:pStyle w:val="FirstParagraph"/>
      </w:pPr>
      <w:r>
        <w:t xml:space="preserve">磁吸附接在手机背面，随时可拆卸。设计动机是双重的：续航扩展，以及作为眼镜模块的专用电源。视网膜投影的功耗远高于普通屏幕显示——眼镜本身不携带电池，通过有线接口从手机一侧取电。有线连接手机与眼镜的线缆同时承担两项任务：数据（视频流与传感信号）和供电（眼镜所需的持续电流）。电池模块将这部分电流供给来源从手机内置电池转移到外挂模块，使手机本体保持极薄，也避免内置电池在高功耗场景下迅速耗尽。内置额外散热层，承担密集计算时的散热功能。</w:t>
      </w:r>
    </w:p>
    <w:p>
      <w:pPr>
        <w:pStyle w:val="BodyText"/>
      </w:pPr>
      <w:r>
        <w:t xml:space="preserve">电池规格是全球通用的市场标准——不是政策规定，是市场自然淘汰其他格式的结果，逻辑与USB-C相同。城市集群里的电池站密度很高（便利店、地铁站、咖啡馆），用手机扫一下取出满电池、放入用完的，自动结算。电池站密度本身是地方基础设施完善程度的具体指标：偏远社区站点稀疏，用户需要自备多块；太空基地设备统一由政府后勤供给，消费品逻辑在那里不适用。</w:t>
      </w:r>
    </w:p>
    <w:bookmarkEnd w:id="107"/>
    <w:bookmarkStart w:id="108" w:name="眼镜模块"/>
    <w:p>
      <w:pPr>
        <w:pStyle w:val="Heading3"/>
      </w:pPr>
      <w:r>
        <w:t xml:space="preserve">3.11.3　眼镜模块</w:t>
      </w:r>
    </w:p>
    <w:p>
      <w:pPr>
        <w:pStyle w:val="FirstParagraph"/>
      </w:pPr>
      <w:r>
        <w:t xml:space="preserve">形态看起来像普通眼镜，有度数版本（取代传统眼镜）和平光版本。镜片是透明波导显示器，视网膜投影通过极微型激光直接在视网膜上成像，景深可调，可以叠加在真实世界上（AR），也可以完全覆盖视野。亮度自动适应环境光。</w:t>
      </w:r>
    </w:p>
    <w:p>
      <w:pPr>
        <w:pStyle w:val="BodyText"/>
      </w:pPr>
      <w:r>
        <w:t xml:space="preserve">视网膜投影引擎。极微型激光投影阵列将图像直接投射到视网膜而非镜片，覆盖全视野，无画面边框，虚拟图层与现实场景在感知层面完全融合。分辨率超过人眼自然感知极限，焦距跟随用户当前注视点实时调整，长时间使用不比裸眼视物更疲劳。私人模式使投影内容只有用户本人可见，公共模式允许在物理空间与他人共享内容。</w:t>
      </w:r>
    </w:p>
    <w:p>
      <w:pPr>
        <w:pStyle w:val="BodyText"/>
      </w:pPr>
      <w:r>
        <w:t xml:space="preserve">眼球追踪摄像头内嵌镜框，追踪瞳孔位置和注视方向，是主要的交互输入——看哪里就是指向哪里，注视超过一秒是「选择」，快速眨眼是「确认」。这套逻辑在2072年已经是用户的肌肉记忆，与今天人们不需要思考怎么滑动屏幕一样自然。</w:t>
      </w:r>
    </w:p>
    <w:p>
      <w:pPr>
        <w:pStyle w:val="BodyText"/>
      </w:pPr>
      <w:r>
        <w:t xml:space="preserve">视线追踪与输入。眼眶内侧传感器以毫秒级精度追踪视线，结合颞叶肌电传感器（轻轻咬合→确认，皱眉→后退），构成几乎无需手部动作的交互系统。复杂输入依赖指环模块（肌电输入）或语音（骨传导麦克风拾音），三种模式在不同场景下自动切换。</w:t>
      </w:r>
    </w:p>
    <w:p>
      <w:pPr>
        <w:pStyle w:val="BodyText"/>
      </w:pPr>
      <w:r>
        <w:t xml:space="preserve">耳机功能通过骨传导内嵌在镜腿实现，耳朵完全开放，不隔绝外部声音。与手机采用专用高速有线接口连接，有线是设计选择而非退步——原因有两层。第一层是延迟：视网膜投影对传输延迟极为敏感，超过约20毫秒会引发眩晕；无线传输即使在近距离下也存在协议握手、干扰抖动等不可预测的延迟来源，有线是消除这类随机延迟的唯一可靠手段。第二层是供电：眼镜本身不携带电池——电池会显著增加重量并压缩镜框设计空间，使眼镜无法做到与普通眼镜相近的重量（约40克）和外观。有线接口同时传输数据和电力，眼镜的全部运行功耗由手机一侧（通常是电池模块）持续供给。线缆沿衣领收纳，日常使用几乎无感。</w:t>
      </w:r>
    </w:p>
    <w:p>
      <w:pPr>
        <w:pStyle w:val="BodyText"/>
      </w:pPr>
      <w:r>
        <w:t xml:space="preserve">空间感知阵列。眼镜框前侧的深度传感器和摄像头实时建立周围三维地图，使增强现实图层能精确附着在物理物体表面。物体识别、人脸识别（用户授权后）、手势识别、环境光适应都基于这个实时三维模型。</w:t>
      </w:r>
    </w:p>
    <w:p>
      <w:pPr>
        <w:pStyle w:val="BodyText"/>
      </w:pPr>
      <w:r>
        <w:t xml:space="preserve">算力与通信。眼镜本身不是算力中心——它是手机的外接投影和感知终端。重计算任务通过有线接口实时传输至手机处理，手机如有需要进一步向网络边缘节点卸载；眼镜端只保留界面渲染和传感器预处理。这个分工使眼镜重量保持在约40克，与今天的普通眼镜相当，全天佩戴不产生额外疲劳感。</w:t>
      </w:r>
    </w:p>
    <w:bookmarkEnd w:id="108"/>
    <w:bookmarkStart w:id="109" w:name="指环模块"/>
    <w:p>
      <w:pPr>
        <w:pStyle w:val="Heading3"/>
      </w:pPr>
      <w:r>
        <w:t xml:space="preserve">3.11.4　指环模块</w:t>
      </w:r>
    </w:p>
    <w:p>
      <w:pPr>
        <w:pStyle w:val="FirstParagraph"/>
      </w:pPr>
      <w:r>
        <w:t xml:space="preserve">戴在食指，无线连接手机。惯性传感器与肌电传感器组合，识别手指弯曲、捏合、滑动等动作。配合眼球追踪形成完整的「看+指」交互：眼睛看目标，手指做操作。基本手势逻辑——食指上滑是滚动，捏合是选择，握拳是关闭——在2072年已经标准化，不同品牌设备之间手势语言通用。微型震动马达提供触觉反馈，替代触摸屏的物理感。</w:t>
      </w:r>
    </w:p>
    <w:bookmarkEnd w:id="109"/>
    <w:bookmarkStart w:id="110" w:name="典型使用组合"/>
    <w:p>
      <w:pPr>
        <w:pStyle w:val="Heading3"/>
      </w:pPr>
      <w:r>
        <w:t xml:space="preserve">3.11.5　典型使用组合</w:t>
      </w:r>
    </w:p>
    <w:p>
      <w:pPr>
        <w:pStyle w:val="FirstParagraph"/>
      </w:pPr>
      <w:r>
        <w:rPr>
          <w:bCs/>
          <w:b/>
        </w:rPr>
        <w:t xml:space="preserve">只带手机：</w:t>
      </w:r>
      <w:r>
        <w:t xml:space="preserve">日常轻度使用，看消息，打电话，与今天没有根本区别。</w:t>
      </w:r>
    </w:p>
    <w:p>
      <w:pPr>
        <w:pStyle w:val="BodyText"/>
      </w:pPr>
      <w:r>
        <w:rPr>
          <w:bCs/>
          <w:b/>
        </w:rPr>
        <w:t xml:space="preserve">手机+电池模块：长途出行、开启眼镜模块、或其他高功耗场景时的标准配置。</w:t>
      </w:r>
    </w:p>
    <w:p>
      <w:pPr>
        <w:pStyle w:val="BodyText"/>
      </w:pPr>
      <w:r>
        <w:rPr>
          <w:bCs/>
          <w:b/>
        </w:rPr>
        <w:t xml:space="preserve">手机+眼镜：</w:t>
      </w:r>
      <w:r>
        <w:t xml:space="preserve">工作状态，大量信息处理，AR导航，视频通话，手可以解放出来做别的事。</w:t>
      </w:r>
    </w:p>
    <w:p>
      <w:pPr>
        <w:pStyle w:val="BodyText"/>
      </w:pPr>
      <w:r>
        <w:rPr>
          <w:bCs/>
          <w:b/>
        </w:rPr>
        <w:t xml:space="preserve">手机+眼镜+指环：</w:t>
      </w:r>
      <w:r>
        <w:t xml:space="preserve">完整交互模式，效率最高，深度工作状态。</w:t>
      </w:r>
    </w:p>
    <w:p>
      <w:pPr>
        <w:pStyle w:val="BodyText"/>
      </w:pPr>
      <w:r>
        <w:rPr>
          <w:bCs/>
          <w:b/>
        </w:rPr>
        <w:t xml:space="preserve">全配置：</w:t>
      </w:r>
      <w:r>
        <w:t xml:space="preserve">长时间外出的完整工作配置，或极端环境作业的标准配置——深海城镇技术人员的日常。</w:t>
      </w:r>
    </w:p>
    <w:bookmarkEnd w:id="110"/>
    <w:bookmarkStart w:id="111" w:name="产品形态与社会使用"/>
    <w:p>
      <w:pPr>
        <w:pStyle w:val="Heading3"/>
      </w:pPr>
      <w:r>
        <w:t xml:space="preserve">3.11.6　产品形态与社会使用</w:t>
      </w:r>
    </w:p>
    <w:p>
      <w:pPr>
        <w:pStyle w:val="FirstParagraph"/>
      </w:pPr>
      <w:r>
        <w:t xml:space="preserve">外观设计。2072年眼镜模块的外观已彻底摆脱早期AR眼镜的科技感设计——大量产品在外观上与普通眼镜或太阳镜无法区分，能区分的只有镜腿内侧的极薄传感器条纹。这个设计选择是市场驱动的：在用户研究中，「不像戴着设备」是最高频的购买理由之一。</w:t>
      </w:r>
    </w:p>
    <w:p>
      <w:pPr>
        <w:pStyle w:val="BodyText"/>
      </w:pPr>
      <w:r>
        <w:t xml:space="preserve">使用情景分层。低强度模式（步行通勤、社交场合）：半透明信息覆盖，优先导航提示、日历提醒、联系人识别。中强度模式（工作、会议）：沉浸程度可调的虚拟工作台，将A4纸大小的信息空间扩展为环绕视野的多屏工作环境。高强度模式（联网协作、Muule内使用）：与仿真仓系统兼容的完整沉浸图层，但不提供力反馈，是仿真仓的便携性补充而非替代。</w:t>
      </w:r>
    </w:p>
    <w:p>
      <w:pPr>
        <w:pStyle w:val="BodyText"/>
      </w:pPr>
      <w:r>
        <w:t xml:space="preserve">代际分化。50岁以上人口中相当比例仍然优先选择手机屏幕——手部操作的触觉反馈和「低头检查」的习惯动作有深层认知惯性，不随技术可用性的改变而自动消失。30岁以下人口中「有手机无眼镜」的组合比例接近零——这一代人在视线输入系统成熟的环境中成长，把视网膜投影当作读写的默认媒介。</w:t>
      </w:r>
    </w:p>
    <w:bookmarkEnd w:id="111"/>
    <w:bookmarkEnd w:id="112"/>
    <w:bookmarkStart w:id="122" w:name="muule个人运动模块"/>
    <w:p>
      <w:pPr>
        <w:pStyle w:val="Heading2"/>
      </w:pPr>
      <w:r>
        <w:t xml:space="preserve">3.12　Muule：个人运动模块</w:t>
      </w:r>
    </w:p>
    <w:p>
      <w:pPr>
        <w:pStyle w:val="FirstParagraph"/>
      </w:pPr>
      <w:r>
        <w:t xml:space="preserve">Muule（个人运动模块）是2072年城市集群里最常见的个人交通工具，名称来自骡（mule）——耐力强、可靠、跟着你走、做好分内的事。设计核心逻辑是：两轮形态轻量紧凑服务于步行跟随，四轮形态服务于一切行车场景，高速时由道路管理系统接管控制，电力完全由车载电池提供。</w:t>
      </w:r>
    </w:p>
    <w:p>
      <w:pPr>
        <w:pStyle w:val="BodyText"/>
      </w:pPr>
      <w:r>
        <w:t xml:space="preserve">基础形态是左右各一主轮、中间乘客舱的两轮平衡车（主轮径0.60米，空载约92kg），专用于人行道步行跟随和低于20km/h的极低速移动。进入行车道前，用户在路缘变形区站于车外，Muule自动展开辅助轮——与主轮同径（Ø0.60米）的从动轮，平时折叠收纳于车体后侧——辅助轮就位后车体向后倾倒约45度，重心随之从约0.65米降至约0.55米，整个变形过程约3秒。变形完成后用户上车，舱门关闭，Muule驶入行车道。乘客从前部上掀式舱门进入，行驶时舱体全封闭隔绝气流。</w:t>
      </w:r>
    </w:p>
    <w:p>
      <w:pPr>
        <w:pStyle w:val="BodyText"/>
      </w:pPr>
      <w:r>
        <w:rPr>
          <w:iCs/>
          <w:i/>
        </w:rPr>
        <w:t xml:space="preserve">轮组规格、静止变形时序表、重量分项及完整双形态技术参数详见附件《Muule技术规格》。</w:t>
      </w:r>
    </w:p>
    <w:bookmarkStart w:id="113" w:name="控制架构始终连接自动驾驶为默认"/>
    <w:p>
      <w:pPr>
        <w:pStyle w:val="Heading3"/>
      </w:pPr>
      <w:r>
        <w:t xml:space="preserve">3.12.1　控制架构：始终连接，自动驾驶为默认</w:t>
      </w:r>
    </w:p>
    <w:p>
      <w:pPr>
        <w:pStyle w:val="FirstParagraph"/>
      </w:pPr>
      <w:r>
        <w:t xml:space="preserve">Muule无论速度和形态，始终与城市道路系统保持连接。自动驾驶是默认模式——用户输入目的地，系统规划路径，自动驾驶到达。用户可以随时接管手动控制，也可以随时交还系统。道路系统在城市低速段同样管理Muule的位置、速度和路径，与高速段是同一套基础设施的延伸，而非两套独立系统。</w:t>
      </w:r>
    </w:p>
    <w:p>
      <w:pPr>
        <w:pStyle w:val="BodyText"/>
      </w:pPr>
      <w:r>
        <w:t xml:space="preserve">两轮和四轮形态由使用场景决定，不是用户的偏好选择。两轮形态专属于步行跟随和低于20km/h的极低速场景；进入行车道（城市一般道路、快速路、高速）一律使用四轮形态。变形在用户车外静止完成，是进出行车道的标准流程——用户步行到达路缘变形区，Muule完成变形，用户上车驶入道路；到达目的地后反向操作，用户下车，Muule收合辅助轮恢复两轮形态，跟随用户步行至最终目的地。这个上车—驶行—下车—跟随的节律，是2072年城市出行的日常结构。</w:t>
      </w:r>
    </w:p>
    <w:p>
      <w:pPr>
        <w:pStyle w:val="BodyText"/>
      </w:pPr>
      <w:r>
        <w:t xml:space="preserve">进入全控高速路段时，入口闸门确认车辆已在四轮形态，变形在入口前的路缘变形区完成，检查通过后进入换电区。</w:t>
      </w:r>
    </w:p>
    <w:bookmarkEnd w:id="113"/>
    <w:bookmarkStart w:id="114" w:name="四种工作状态"/>
    <w:p>
      <w:pPr>
        <w:pStyle w:val="Heading3"/>
      </w:pPr>
      <w:r>
        <w:t xml:space="preserve">3.12.2　四种工作状态</w:t>
      </w:r>
    </w:p>
    <w:p>
      <w:pPr>
        <w:pStyle w:val="FirstParagraph"/>
      </w:pPr>
      <w:r>
        <w:rPr>
          <w:bCs/>
          <w:b/>
        </w:rPr>
        <w:t xml:space="preserve">步行跟随（两轮形态，用户步行时）。</w:t>
      </w:r>
      <w:r>
        <w:t xml:space="preserve">车辆通过手机UWB精确定位，以步行速度自动跟随，自动避障，停下时原地等待。仅在两轮形态下可用——四轮形态转弯半径大，不适合人行道和室内复杂空间。速度上限20km/h。</w:t>
      </w:r>
    </w:p>
    <w:p>
      <w:pPr>
        <w:pStyle w:val="BodyText"/>
      </w:pPr>
      <w:r>
        <w:rPr>
          <w:bCs/>
          <w:b/>
        </w:rPr>
        <w:t xml:space="preserve">城市自动驾驶（四轮形态，用户乘坐时）。</w:t>
      </w:r>
      <w:r>
        <w:t xml:space="preserve">用户在路缘变形区完成变形后上车，输入目的地，系统自动规划路径并驾驶。城市一般道路限速约70km/h，城市快速路约100km/h，手动接管随时可用。舱体封闭，乘员半躺，可通过眼镜模块处理信息。</w:t>
      </w:r>
    </w:p>
    <w:p>
      <w:pPr>
        <w:pStyle w:val="BodyText"/>
      </w:pPr>
      <w:r>
        <w:rPr>
          <w:bCs/>
          <w:b/>
        </w:rPr>
        <w:t xml:space="preserve">高速全自动（四轮形态，进入全控高速路段后）。</w:t>
      </w:r>
      <w:r>
        <w:t xml:space="preserve">在高速路入口完成变形和换电后，道路系统接管控制权，最高时速160km/h。间距控制、出口减速全部由系统执行，用户保留修改目的地的导航决策权。这是城市自动驾驶在全控高速路段上的延伸，不是独立模式。</w:t>
      </w:r>
    </w:p>
    <w:p>
      <w:pPr>
        <w:pStyle w:val="BodyText"/>
      </w:pPr>
      <w:r>
        <w:rPr>
          <w:bCs/>
          <w:b/>
        </w:rPr>
        <w:t xml:space="preserve">失电推行（两轮形态，应急）。</w:t>
      </w:r>
      <w:r>
        <w:t xml:space="preserve">在行车道外低速区段电池耗尽时，用户打开舱门，站于两轮之间，抓住左右手柄推行至最近换电站。空载92kg使推行在体力上可行。高速行驶中电量耗尽由系统预判并在此前提示出口换电，不存在高速段推行场景。</w:t>
      </w:r>
    </w:p>
    <w:bookmarkEnd w:id="114"/>
    <w:bookmarkStart w:id="115" w:name="电池与自动换电体系"/>
    <w:p>
      <w:pPr>
        <w:pStyle w:val="Heading3"/>
      </w:pPr>
      <w:r>
        <w:t xml:space="preserve">3.12.3　电池与自动换电体系</w:t>
      </w:r>
    </w:p>
    <w:p>
      <w:pPr>
        <w:pStyle w:val="FirstParagraph"/>
      </w:pPr>
      <w:r>
        <w:t xml:space="preserve">车载固态电池5–7kWh，重约12kg，低速模式约50公里续航，高速模式（160km/h，能耗约100Wh/km）约50–70公里续航。高速路全程由电池供电，不依赖路面基础设施提供能量。电池是系统的主要持续成本——固态电池到2072年约15–25美元/kWh（以2025年美元购买力为基准），每块约75–175美元，循环寿命约2000–5000次，高频使用下约半年至一年半需要更换。这个消耗性成本使换电站网络的经济可行边界与物流密度直接挂钩，不会无限扩展。</w:t>
      </w:r>
    </w:p>
    <w:p>
      <w:pPr>
        <w:pStyle w:val="BodyText"/>
      </w:pPr>
      <w:r>
        <w:rPr>
          <w:bCs/>
          <w:b/>
        </w:rPr>
        <w:t xml:space="preserve">入口自动换电。</w:t>
      </w:r>
      <w:r>
        <w:t xml:space="preserve">用户在路缘变形区下车，Muule完成四轮变形后自动驶入入口检查区和换电区——收取当前状态电池并给出评估价（依据剩余电量与电池损耗状态），换入满电电池。电池规格由系统根据用户目的地自动选择：城市间短途行程换入满电标准电池即可；跨集群长途（超过50公里高速段）系统建议换入大容量电池（约标准容量的两到三倍），以覆盖全程而无需途中停站。换电完成后用户上车，道路系统接管控制权，车辆加速并入主路巡航流。</w:t>
      </w:r>
    </w:p>
    <w:p>
      <w:pPr>
        <w:pStyle w:val="BodyText"/>
      </w:pPr>
      <w:r>
        <w:rPr>
          <w:bCs/>
          <w:b/>
        </w:rPr>
        <w:t xml:space="preserve">中途出口换电（续航不足时）。</w:t>
      </w:r>
      <w:r>
        <w:t xml:space="preserve">道路系统持续监测车辆电量与导航目标，当预测电量无法抵达下一出口时，提前约15公里发出第一次提示，引导用户在最近的高速出口或途中休息站驶出换电。休息站配备标准换电设施，换电约3分钟完成，换电后重新驶入高速继续行程。多数出行通过入口大容量电池覆盖全程，中途出口换电是应对临时计划变更或低估续航需求的补充机制。</w:t>
      </w:r>
    </w:p>
    <w:p>
      <w:pPr>
        <w:pStyle w:val="BodyText"/>
      </w:pPr>
      <w:r>
        <w:rPr>
          <w:bCs/>
          <w:b/>
        </w:rPr>
        <w:t xml:space="preserve">出口自动换电。</w:t>
      </w:r>
      <w:r>
        <w:t xml:space="preserve">道路系统在出口匝道减速，车辆降至低速后退出系统控制。出口换电区换出高速行驶后的电池并给出评估价，换入标准电池，与入口评估价合并统一计费结算。换电完成后用户下车，Muule收合辅助轮恢复两轮形态，用户上车或切换步行跟随模式进入目的地。</w:t>
      </w:r>
    </w:p>
    <w:p>
      <w:pPr>
        <w:pStyle w:val="BodyText"/>
      </w:pPr>
      <w:r>
        <w:t xml:space="preserve">磁阻制动节点独立保留——集中在入口加速段末端、出口减速段、紧急停车带，功能是辅助速度过渡和故障引导，不承担供能功能。节点式部署建设成本远低于全路段感应线圈。</w:t>
      </w:r>
    </w:p>
    <w:bookmarkEnd w:id="115"/>
    <w:bookmarkStart w:id="116" w:name="停放逻辑停放桩作为城市基础设施"/>
    <w:p>
      <w:pPr>
        <w:pStyle w:val="Heading3"/>
      </w:pPr>
      <w:r>
        <w:t xml:space="preserve">3.12.4　停放逻辑：停放桩作为城市基础设施</w:t>
      </w:r>
    </w:p>
    <w:p>
      <w:pPr>
        <w:pStyle w:val="FirstParagraph"/>
      </w:pPr>
      <w:r>
        <w:t xml:space="preserve">Muule空载92kg，无法像自行车一样手提进室内，停放需要专用空间。但Muule占地约0.6m×1.2m（两轮形态），同样面积可以停放8–10台Muule，相当于停1辆汽车的空间。停放效率极高，改造成本极低——今天用于停汽车的地下室和停车场，在2072年大量空置，改造为Muule停放区是自然的空间再利用。</w:t>
      </w:r>
    </w:p>
    <w:p>
      <w:pPr>
        <w:pStyle w:val="BodyText"/>
      </w:pPr>
      <w:r>
        <w:t xml:space="preserve">各公私部门提供室内停放是自发演化的结果：办公楼、商场、餐厅、医院、学校提供停放桩，吸引使用Muule出行的用户。停放桩提供标准充电接口，Muule停稳后自动对接慢充，用户离开，Muule静默充电，用户回来，电量已恢复。Muule停放桩的密度与今天的电源插座或WiFi接入点密度类似——城市集群里无处不在，郊区稀疏，被遗忘地带没有。</w:t>
      </w:r>
    </w:p>
    <w:bookmarkEnd w:id="116"/>
    <w:bookmarkStart w:id="117" w:name="手机-muule整合数字身份的物理延伸"/>
    <w:p>
      <w:pPr>
        <w:pStyle w:val="Heading3"/>
      </w:pPr>
      <w:r>
        <w:t xml:space="preserve">3.12.5　手机-Muule整合：数字身份的物理延伸</w:t>
      </w:r>
    </w:p>
    <w:p>
      <w:pPr>
        <w:pStyle w:val="FirstParagraph"/>
      </w:pPr>
      <w:r>
        <w:t xml:space="preserve">Muule没有独立的用户界面——无仪表盘，无车载屏幕。所有信息通过眼镜模块或手机显示，所有控制通过手机或指环模块输入。手机是Muule的大脑，Muule是手机用户的腿。两者构成一个系统，分开都不完整：没有手机的模块无法运行，没有模块的手机失去移动能力。</w:t>
      </w:r>
    </w:p>
    <w:p>
      <w:pPr>
        <w:pStyle w:val="BodyText"/>
      </w:pPr>
      <w:r>
        <w:rPr>
          <w:bCs/>
          <w:b/>
        </w:rPr>
        <w:t xml:space="preserve">城市交通系统注册。</w:t>
      </w:r>
      <w:r>
        <w:t xml:space="preserve">每台Muule在城市交通系统注册，持有唯一数字身份，与用户手机强绑定，与道路管理系统实时通信。进入全控高速路段时身份自动验证，换电时核对电池归属，停放时记录位置。注册系统使盗窃在实践上几乎没有意义：没有对应手机无法启动，无法接入城市交通网络，无法转售，残值只剩材料本身。物质动机极弱，被发现风险极高。这与智能手机被盗后基本无法使用的逻辑相同，但Muule更难绕过——它需要与城市基础设施实时通信才能正常工作。</w:t>
      </w:r>
    </w:p>
    <w:p>
      <w:pPr>
        <w:pStyle w:val="BodyText"/>
      </w:pPr>
      <w:r>
        <w:rPr>
          <w:bCs/>
          <w:b/>
        </w:rPr>
        <w:t xml:space="preserve">与配给和监控体系的整合。</w:t>
      </w:r>
      <w:r>
        <w:t xml:space="preserve">Muule移动轨迹是用户位置数据的组成部分，是配给监控体系信息副产品的日常来源。用户知道这一点，就像今天人们知道手机定位一样，选择接受换取便利。步行跟随模式下Muule始终在用户身后2米，这使监控粒度比仅靠手机更细——不只是用户在哪里，而是用户在做什么（步行、低速骑行、高速巡航），是城市管理系统最密集的行为数据来源之一。</w:t>
      </w:r>
    </w:p>
    <w:bookmarkEnd w:id="117"/>
    <w:bookmarkStart w:id="118" w:name="设计哲学核心极简网络整合功能扩展"/>
    <w:p>
      <w:pPr>
        <w:pStyle w:val="Heading3"/>
      </w:pPr>
      <w:r>
        <w:t xml:space="preserve">3.12.6　设计哲学：核心极简，网络整合，功能扩展</w:t>
      </w:r>
    </w:p>
    <w:p>
      <w:pPr>
        <w:pStyle w:val="FirstParagraph"/>
      </w:pPr>
      <w:r>
        <w:t xml:space="preserve">2072年的个人设备哲学在手机模块系统和Muule上同时体现，不是偶然的两个产品特征，而是同一设计语言的两个实例：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层次</w:t>
            </w:r>
          </w:p>
        </w:tc>
        <w:tc>
          <w:tcPr/>
          <w:p>
            <w:pPr>
              <w:pStyle w:val="Compact"/>
              <w:jc w:val="left"/>
            </w:pPr>
            <w:r>
              <w:rPr>
                <w:bCs/>
                <w:b/>
              </w:rPr>
              <w:t xml:space="preserve">手机模块系统</w:t>
            </w:r>
          </w:p>
        </w:tc>
        <w:tc>
          <w:tcPr/>
          <w:p>
            <w:pPr>
              <w:pStyle w:val="Compact"/>
              <w:jc w:val="left"/>
            </w:pPr>
            <w:r>
              <w:rPr>
                <w:bCs/>
                <w:b/>
              </w:rPr>
              <w:t xml:space="preserve">Muule系统</w:t>
            </w:r>
          </w:p>
        </w:tc>
      </w:tr>
      <w:tr>
        <w:tc>
          <w:tcPr/>
          <w:p>
            <w:pPr>
              <w:pStyle w:val="Compact"/>
              <w:jc w:val="left"/>
            </w:pPr>
            <w:r>
              <w:t xml:space="preserve">核心模块</w:t>
            </w:r>
          </w:p>
        </w:tc>
        <w:tc>
          <w:tcPr/>
          <w:p>
            <w:pPr>
              <w:pStyle w:val="Compact"/>
              <w:jc w:val="left"/>
            </w:pPr>
            <w:r>
              <w:t xml:space="preserve">手机（身份+算力+通信）</w:t>
            </w:r>
          </w:p>
        </w:tc>
        <w:tc>
          <w:tcPr/>
          <w:p>
            <w:pPr>
              <w:pStyle w:val="Compact"/>
              <w:jc w:val="left"/>
            </w:pPr>
            <w:r>
              <w:t xml:space="preserve">运动模块（移动一个人）</w:t>
            </w:r>
          </w:p>
        </w:tc>
      </w:tr>
      <w:tr>
        <w:tc>
          <w:tcPr/>
          <w:p>
            <w:pPr>
              <w:pStyle w:val="Compact"/>
              <w:jc w:val="left"/>
            </w:pPr>
            <w:r>
              <w:t xml:space="preserve">能源扩展</w:t>
            </w:r>
          </w:p>
        </w:tc>
        <w:tc>
          <w:tcPr/>
          <w:p>
            <w:pPr>
              <w:pStyle w:val="Compact"/>
              <w:jc w:val="left"/>
            </w:pPr>
            <w:r>
              <w:t xml:space="preserve">磁吸附电池模块</w:t>
            </w:r>
          </w:p>
        </w:tc>
        <w:tc>
          <w:tcPr/>
          <w:p>
            <w:pPr>
              <w:pStyle w:val="Compact"/>
              <w:jc w:val="left"/>
            </w:pPr>
            <w:r>
              <w:t xml:space="preserve">停放桩慢充+换电站快换</w:t>
            </w:r>
          </w:p>
        </w:tc>
      </w:tr>
      <w:tr>
        <w:tc>
          <w:tcPr/>
          <w:p>
            <w:pPr>
              <w:pStyle w:val="Compact"/>
              <w:jc w:val="left"/>
            </w:pPr>
            <w:r>
              <w:t xml:space="preserve">感知扩展</w:t>
            </w:r>
          </w:p>
        </w:tc>
        <w:tc>
          <w:tcPr/>
          <w:p>
            <w:pPr>
              <w:pStyle w:val="Compact"/>
              <w:jc w:val="left"/>
            </w:pPr>
            <w:r>
              <w:t xml:space="preserve">眼镜模块（视网膜投影）</w:t>
            </w:r>
          </w:p>
        </w:tc>
        <w:tc>
          <w:tcPr/>
          <w:p>
            <w:pPr>
              <w:pStyle w:val="Compact"/>
              <w:jc w:val="left"/>
            </w:pPr>
            <w:r>
              <w:t xml:space="preserve">道路系统接管（高速感知）</w:t>
            </w:r>
          </w:p>
        </w:tc>
      </w:tr>
      <w:tr>
        <w:tc>
          <w:tcPr/>
          <w:p>
            <w:pPr>
              <w:pStyle w:val="Compact"/>
              <w:jc w:val="left"/>
            </w:pPr>
            <w:r>
              <w:t xml:space="preserve">控制扩展</w:t>
            </w:r>
          </w:p>
        </w:tc>
        <w:tc>
          <w:tcPr/>
          <w:p>
            <w:pPr>
              <w:pStyle w:val="Compact"/>
              <w:jc w:val="left"/>
            </w:pPr>
            <w:r>
              <w:t xml:space="preserve">指环模块（肌电输入）</w:t>
            </w:r>
          </w:p>
        </w:tc>
        <w:tc>
          <w:tcPr/>
          <w:p>
            <w:pPr>
              <w:pStyle w:val="Compact"/>
              <w:jc w:val="left"/>
            </w:pPr>
            <w:r>
              <w:t xml:space="preserve">手机+指环（低速控制）</w:t>
            </w:r>
          </w:p>
        </w:tc>
      </w:tr>
      <w:tr>
        <w:tc>
          <w:tcPr/>
          <w:p>
            <w:pPr>
              <w:pStyle w:val="Compact"/>
              <w:jc w:val="left"/>
            </w:pPr>
            <w:r>
              <w:t xml:space="preserve">空间扩展</w:t>
            </w:r>
          </w:p>
        </w:tc>
        <w:tc>
          <w:tcPr/>
          <w:p>
            <w:pPr>
              <w:pStyle w:val="Compact"/>
              <w:jc w:val="left"/>
            </w:pPr>
            <w:r>
              <w:t xml:space="preserve">—</w:t>
            </w:r>
          </w:p>
        </w:tc>
        <w:tc>
          <w:tcPr/>
          <w:p>
            <w:pPr>
              <w:pStyle w:val="Compact"/>
              <w:jc w:val="left"/>
            </w:pPr>
            <w:r>
              <w:t xml:space="preserve">货舱（可分离拖行）</w:t>
            </w:r>
          </w:p>
        </w:tc>
      </w:tr>
      <w:tr>
        <w:tc>
          <w:tcPr/>
          <w:p>
            <w:pPr>
              <w:pStyle w:val="Compact"/>
              <w:jc w:val="left"/>
            </w:pPr>
            <w:r>
              <w:t xml:space="preserve">城市间扩展</w:t>
            </w:r>
          </w:p>
        </w:tc>
        <w:tc>
          <w:tcPr/>
          <w:p>
            <w:pPr>
              <w:pStyle w:val="Compact"/>
              <w:jc w:val="left"/>
            </w:pPr>
            <w:r>
              <w:t xml:space="preserve">—</w:t>
            </w:r>
          </w:p>
        </w:tc>
        <w:tc>
          <w:tcPr/>
          <w:p>
            <w:pPr>
              <w:pStyle w:val="Compact"/>
              <w:jc w:val="left"/>
            </w:pPr>
            <w:r>
              <w:t xml:space="preserve">高铁载车模式</w:t>
            </w:r>
          </w:p>
        </w:tc>
      </w:tr>
      <w:tr>
        <w:tc>
          <w:tcPr/>
          <w:p>
            <w:pPr>
              <w:pStyle w:val="Compact"/>
              <w:jc w:val="left"/>
            </w:pPr>
            <w:r>
              <w:t xml:space="preserve">网络整合</w:t>
            </w:r>
          </w:p>
        </w:tc>
        <w:tc>
          <w:tcPr/>
          <w:p>
            <w:pPr>
              <w:pStyle w:val="Compact"/>
              <w:jc w:val="left"/>
            </w:pPr>
            <w:r>
              <w:t xml:space="preserve">城市通信网络+AI助理</w:t>
            </w:r>
          </w:p>
        </w:tc>
        <w:tc>
          <w:tcPr/>
          <w:p>
            <w:pPr>
              <w:pStyle w:val="Compact"/>
              <w:jc w:val="left"/>
            </w:pPr>
            <w:r>
              <w:t xml:space="preserve">城市交通系统注册+道路管理系统</w:t>
            </w:r>
          </w:p>
        </w:tc>
      </w:tr>
      <w:tr>
        <w:tc>
          <w:tcPr/>
          <w:p>
            <w:pPr>
              <w:pStyle w:val="Compact"/>
              <w:jc w:val="left"/>
            </w:pPr>
            <w:r>
              <w:t xml:space="preserve">安全机制</w:t>
            </w:r>
          </w:p>
        </w:tc>
        <w:tc>
          <w:tcPr/>
          <w:p>
            <w:pPr>
              <w:pStyle w:val="Compact"/>
              <w:jc w:val="left"/>
            </w:pPr>
            <w:r>
              <w:t xml:space="preserve">手机绑定，离线无法使用</w:t>
            </w:r>
          </w:p>
        </w:tc>
        <w:tc>
          <w:tcPr/>
          <w:p>
            <w:pPr>
              <w:pStyle w:val="Compact"/>
              <w:jc w:val="left"/>
            </w:pPr>
            <w:r>
              <w:t xml:space="preserve">手机绑定，无注册无法运行</w:t>
            </w:r>
          </w:p>
        </w:tc>
      </w:tr>
    </w:tbl>
    <w:p>
      <w:pPr>
        <w:pStyle w:val="BodyText"/>
      </w:pPr>
      <w:r>
        <w:t xml:space="preserve">拥有两套完整系统是城市集群生活的标配。手机是数字存在的基础设施，Muule是物理移动的基础设施，两者缺一使城市生活降级。Muule跟在用户身后2米，手机在用户口袋——「随身设备」的含义不是物理携带，而是功能性的始终可及。停放是「搁置」而不是「停车」：Muule停在最近的停放桩充电，随时可以唤醒出发，就像手机放在充电座上。</w:t>
      </w:r>
    </w:p>
    <w:bookmarkEnd w:id="118"/>
    <w:bookmarkStart w:id="119" w:name="高铁载车模式"/>
    <w:p>
      <w:pPr>
        <w:pStyle w:val="Heading3"/>
      </w:pPr>
      <w:r>
        <w:t xml:space="preserve">3.12.7　高铁载车模式</w:t>
      </w:r>
    </w:p>
    <w:p>
      <w:pPr>
        <w:pStyle w:val="FirstParagraph"/>
      </w:pPr>
      <w:r>
        <w:t xml:space="preserve">Muule可以直接驶入高铁车厢，实现城市间长途移动而无需换乘。高铁站设三类专用通道：步行旅客通道（传统客舱）、车辆通道（Muule驶入车载舱）、货运通道（物流模块驶入货舱），三类流线在站台层物理分离。</w:t>
      </w:r>
    </w:p>
    <w:p>
      <w:pPr>
        <w:pStyle w:val="BodyText"/>
      </w:pPr>
      <w:r>
        <w:rPr>
          <w:bCs/>
          <w:b/>
        </w:rPr>
        <w:t xml:space="preserve">驶入与锁定。</w:t>
      </w:r>
      <w:r>
        <w:t xml:space="preserve">车辆从车辆专用坡道低速驶入车厢，车厢内轨道引导Muule到指定位置，自动锁定系统固定Muule防止行驶中位移。车厢宽约3.3米，可容纳两列Muule并排或单列更宽松排列，中间留通行通道。乘客可留在Muule内或步行至旅客区。</w:t>
      </w:r>
    </w:p>
    <w:p>
      <w:pPr>
        <w:pStyle w:val="BodyText"/>
      </w:pPr>
      <w:r>
        <w:rPr>
          <w:bCs/>
          <w:b/>
        </w:rPr>
        <w:t xml:space="preserve">车厢慢充。</w:t>
      </w:r>
      <w:r>
        <w:t xml:space="preserve">Muule停稳锁定后，车厢供电接口自动与Muule电池对接，利用高铁行驶时间完成慢充。高铁到站时电池已充满，无需在目的地换电，直接驶出进入城市低速网络。这是高铁载车模式最优雅的设计点——高铁的电力（聚变时代成本极低）在运输时间内完成充电，不增加任何额外停留。</w:t>
      </w:r>
    </w:p>
    <w:p>
      <w:pPr>
        <w:pStyle w:val="BodyText"/>
      </w:pPr>
      <w:r>
        <w:rPr>
          <w:bCs/>
          <w:b/>
        </w:rPr>
        <w:t xml:space="preserve">舒适度设计。</w:t>
      </w:r>
      <w:r>
        <w:t xml:space="preserve">高铁行驶时Muule长时间静止，舱体与车厢之间有减振连接隔绝高铁振动。乘客座椅可通过电动调节从低速驾驶姿态变为半卧休息姿态。仿真仓头盔在Muule内同样可以使用——舱体密封，乘客可以睡觉、使用仿真头盔或处理信息，与旅客区互不干扰。</w:t>
      </w:r>
    </w:p>
    <w:p>
      <w:pPr>
        <w:pStyle w:val="BodyText"/>
      </w:pPr>
      <w:r>
        <w:rPr>
          <w:bCs/>
          <w:b/>
        </w:rPr>
        <w:t xml:space="preserve">抵达与驶出。</w:t>
      </w:r>
      <w:r>
        <w:t xml:space="preserve">高铁停站，Muule解锁，乘客回到Muule内，从车辆专用出口低速驶出，进入目的城市低速网络或高速路入口换电站。高铁+Muule的组合使城市间移动从「停车→买票→候车→换乘」变为「直接驶入→到站驶出」的连续体验。</w:t>
      </w:r>
    </w:p>
    <w:bookmarkEnd w:id="119"/>
    <w:bookmarkStart w:id="120" w:name="货舱扩展"/>
    <w:p>
      <w:pPr>
        <w:pStyle w:val="Heading3"/>
      </w:pPr>
      <w:r>
        <w:t xml:space="preserve">3.12.8　货舱扩展</w:t>
      </w:r>
    </w:p>
    <w:p>
      <w:pPr>
        <w:pStyle w:val="FirstParagraph"/>
      </w:pPr>
      <w:r>
        <w:t xml:space="preserve">Muule四轮状态下，后方设标准货舱接口。货舱是独立模块，有自己的两个小轮（约Ø0.2m），有折叠手柄，脱离Muule后可以像行李箱一样手动拖行进入建筑、超市、市场等Muule无法进入的空间。货舱容积约60–80升，最大载重约30–50kg（在Muule设计载荷余量内）。</w:t>
      </w:r>
    </w:p>
    <w:p>
      <w:pPr>
        <w:pStyle w:val="BodyText"/>
      </w:pPr>
      <w:r>
        <w:rPr>
          <w:bCs/>
          <w:b/>
        </w:rPr>
        <w:t xml:space="preserve">城市低速模式：分离拖行。</w:t>
      </w:r>
      <w:r>
        <w:t xml:space="preserve">用户到达目的地，触发四轮收合指令，Muule恢复两轮形态。按钮解锁货舱，从Muule后方抽出，展开拖轮和手柄，手动拖行进入建筑。Muule在外两轮形态停放等待（四轮模式不支持步行跟随，停放是标准等待方式）。用户返回，Muule四轮展开，货舱重新滑入挂接，锁扣自动锁定，出发。完全继承行李箱的拖行体验，学习成本为零。前后各一个接口允许同时挂接两个货舱，总载货约120–160升，是2072年版本的日常采购车。</w:t>
      </w:r>
    </w:p>
    <w:p>
      <w:pPr>
        <w:pStyle w:val="BodyText"/>
      </w:pPr>
      <w:r>
        <w:rPr>
          <w:bCs/>
          <w:b/>
        </w:rPr>
        <w:t xml:space="preserve">四轮货运形态：流线整合，允许高速。</w:t>
      </w:r>
      <w:r>
        <w:t xml:space="preserve">货舱从后方沿主舱导轨滑入，到位后侧面锁扣自动锁定，顶部柔性密封压合，货舱顶面与主舱顶面齐平，整体轮廓从侧面看是连续楔形——不是「车+拖斗」的分段形态，而是一个完整的流线型车体。这个形态在160km/h下的空气阻力远低于后挂拖斗，道路管理系统允许进入全控高速路段。高速入口检查货舱状态：流线结合状态放行，后挂未结合状态引导用户完成结合后再进入。</w:t>
      </w:r>
    </w:p>
    <w:p>
      <w:pPr>
        <w:pStyle w:val="BodyText"/>
      </w:pPr>
      <w:r>
        <w:rPr>
          <w:bCs/>
          <w:b/>
        </w:rPr>
        <w:t xml:space="preserve">换电兼容性。</w:t>
      </w:r>
      <w:r>
        <w:t xml:space="preserve">货舱结合状态下，入口和出口换电站的换电机构可正常接触车底电池位置，整体换电流程与无货舱状态相同。换电站根据货舱状态和总重调整换电时序。</w:t>
      </w:r>
    </w:p>
    <w:p>
      <w:pPr>
        <w:pStyle w:val="BodyText"/>
      </w:pPr>
      <w:r>
        <w:rPr>
          <w:bCs/>
          <w:b/>
        </w:rPr>
        <w:t xml:space="preserve">三种整体形态。</w:t>
      </w:r>
      <w:r>
        <w:t xml:space="preserve">两轮标准形态（步行跟随，无货舱）：细长直立，高重心，随身跟随的日常状态。四轮展开形态（行车，无货舱）：车体向后倾倒约45度，低矮后趴，楔形侧面，乘员半躺，城市及高速通用的行驶状态。四轮货运形态（行车，有货舱结合）：比无货舱状态略长，更完整的流线型车体，视觉上接近微型赛车舱体。三种形态的变化是Muule「随身设备」概念的物理表达——它根据需要变形，不是固定形态的交通工具。</w:t>
      </w:r>
    </w:p>
    <w:bookmarkEnd w:id="120"/>
    <w:bookmarkStart w:id="121" w:name="个人数字设备2072年人的完整延伸"/>
    <w:p>
      <w:pPr>
        <w:pStyle w:val="Heading3"/>
      </w:pPr>
      <w:r>
        <w:t xml:space="preserve">3.12.9　个人数字设备：2072年人的完整延伸</w:t>
      </w:r>
    </w:p>
    <w:p>
      <w:pPr>
        <w:pStyle w:val="FirstParagraph"/>
      </w:pPr>
      <w:r>
        <w:t xml:space="preserve">仿真仓、手机模块系统与Muule共同构成2072年城市集群居民的完整数字—物理延伸基础设施，三者覆盖不同的体验层次和空间尺度，互补而不重叠，缺少任何一件系统都会降级。</w:t>
      </w:r>
    </w:p>
    <w:p>
      <w:pPr>
        <w:pStyle w:val="BodyText"/>
      </w:pPr>
      <w:r>
        <w:rPr>
          <w:bCs/>
          <w:b/>
        </w:rPr>
        <w:t xml:space="preserve">手机模块系统：数字存在的基础层。</w:t>
      </w:r>
      <w:r>
        <w:t xml:space="preserve">手机处理身份、算力、通信，眼镜模块处理感知和显示，指环模块处理输入。这套组合提供随时随地的轻度沉浸——视听完整沉浸，无力反馈，无体感，无环境模拟。覆盖远程工作（虚拟办公室、会议、协作）、信息消费（影视、阅读）、轻度社交、导航、日常通信。是「80%时间、20%深度需求」的日常数字生活层。</w:t>
      </w:r>
    </w:p>
    <w:p>
      <w:pPr>
        <w:pStyle w:val="BodyText"/>
      </w:pPr>
      <w:r>
        <w:rPr>
          <w:bCs/>
          <w:b/>
        </w:rPr>
        <w:t xml:space="preserve">仿真仓：深度沉浸的专属层。</w:t>
      </w:r>
      <w:r>
        <w:t xml:space="preserve">七个感知维度同时模拟，需要专门进舱，不能随时随地，但体验质量是手机组合无法替代的。覆盖高强度游戏、健身、深度社交（身体层面的同处感）、高沉浸娱乐、职业训练（外科手术模拟、飞行员训练、危险工种预演）。是「20%时间、80%深度需求」的专属沉浸层。</w:t>
      </w:r>
    </w:p>
    <w:p>
      <w:pPr>
        <w:pStyle w:val="BodyText"/>
      </w:pPr>
      <w:r>
        <w:rPr>
          <w:bCs/>
          <w:b/>
        </w:rPr>
        <w:t xml:space="preserve">Muule：物理移动的基础层。</w:t>
      </w:r>
      <w:r>
        <w:t xml:space="preserve">手机是Muule的大脑，Muule是手机用户的腿。步行跟随（两轮）、城市行车（四轮）、高速全自动（四轮）三种状态无缝衔接，中间以路缘变形区的上下车动作为节点，处理人在物理空间中的移动需求——这是手机模块系统和仿真仓都无法替代的维度。</w:t>
      </w:r>
    </w:p>
    <w:p>
      <w:pPr>
        <w:pStyle w:val="BodyText"/>
      </w:pPr>
      <w:r>
        <w:t xml:space="preserve">三者的组合基本满足城市集群居民的工作、娱乐和移动需求。「基本满足」有真实的边界：真实人际见面的偶然性和不可预测性、真实自然体验的无限细节、真实食物的味觉——这些无法被数字设备完整替代。但2072年的人对「足够」的定义已经发生了移动，这个边界的移动本身是2072年社会变迁的一部分。</w:t>
      </w:r>
    </w:p>
    <w:p>
      <w:pPr>
        <w:pStyle w:val="BodyText"/>
      </w:pPr>
      <w:r>
        <w:rPr>
          <w:bCs/>
          <w:b/>
        </w:rPr>
        <w:t xml:space="preserve">仿真仓与意义框架。</w:t>
      </w:r>
      <w:r>
        <w:t xml:space="preserve">仿真舱内的时间有结构、有目标、有成就感——这是有意义框架的闲暇。但用户感受到的一切力量和运动，都是外力施加的，不是自己产生的。联网多人场景使仿真仓成为一种新型社交设施，提供身体层面的「同处」而不需要移动，不受地理限制。在总体流动性降低的2072年，这可能是维持远距离人际关系最接近真实的方式。它是「物质断裂但信息连通」的极端形态：身体完全不移动，感受完全在场。</w:t>
      </w:r>
    </w:p>
    <w:p>
      <w:pPr>
        <w:pStyle w:val="BodyText"/>
      </w:pPr>
      <w:r>
        <w:rPr>
          <w:bCs/>
          <w:b/>
        </w:rPr>
        <w:t xml:space="preserve">两条路径的差异化社会后果。</w:t>
      </w:r>
      <w:r>
        <w:t xml:space="preserve">A1路径里，仿真仓普及加速了「孤立舒适化」——在舱内可以有完整的社交、冒险、成就，出舱后真实世界显得苍白；手机模块系统的全天候使用使数字身份与物理身份逐渐分离。A2路径里，游戏时长和内容受AI治理体系监控，过度使用会触发干预；Muule移动数据直接纳入社会管理系统，数字设备是监控的基础设施而非仅仅是工具。同样的三件设备，在两条路径里产生完全不同的社会后果。</w:t>
      </w:r>
    </w:p>
    <w:p>
      <w:pPr>
        <w:pStyle w:val="BodyText"/>
      </w:pPr>
      <w:r>
        <w:rPr>
          <w:iCs/>
          <w:i/>
        </w:rPr>
        <w:t xml:space="preserve">眼镜模块是让「手机是一切」这个命题在物理上成立的最后一块拼图。手机处理身份与算力，眼镜处理感知与显示，指环处理输入，Muule处理移动——四件设备共同构成一个人在城市集群里的完整数字延伸。在高速体系里，这套组合是默认基础设施；在慢生活社区，眼镜模块通常有完整功能，但可以联网访问的内容受网络覆盖约束。</w:t>
      </w:r>
    </w:p>
    <w:bookmarkEnd w:id="121"/>
    <w:bookmarkEnd w:id="122"/>
    <w:bookmarkStart w:id="132" w:name="传统车辆体系muule之外的交通生态"/>
    <w:p>
      <w:pPr>
        <w:pStyle w:val="Heading2"/>
      </w:pPr>
      <w:r>
        <w:t xml:space="preserve">3.13　传统车辆体系：Muule之外的交通生态</w:t>
      </w:r>
    </w:p>
    <w:p>
      <w:pPr>
        <w:pStyle w:val="FirstParagraph"/>
      </w:pPr>
      <w:r>
        <w:t xml:space="preserve">Muule是为城市集群设计的系统，它的卓越性能依附于换电站密度、道路管理网络和聚变电网的基础设施条件。这些条件向外稀释，形成了不同车辆类型各有其位的地理梯度。在这个梯度的讨论里，有一个容易犯的推断错误需要先清理：把「换电站不可及」等同于「电力不可及」，进而高估了合成燃油车在偏远地带的优势地位。</w:t>
      </w:r>
    </w:p>
    <w:bookmarkStart w:id="123" w:name="电力可及性太阳能填补的真实范围"/>
    <w:p>
      <w:pPr>
        <w:pStyle w:val="Heading3"/>
      </w:pPr>
      <w:r>
        <w:t xml:space="preserve">3.13.1　电力可及性：太阳能填补的真实范围</w:t>
      </w:r>
    </w:p>
    <w:p>
      <w:pPr>
        <w:pStyle w:val="FirstParagraph"/>
      </w:pPr>
      <w:r>
        <w:t xml:space="preserve">文件已有的设定说得清楚：到2072年太阳能板成本极低，被遗忘地带的村庄用太阳能板加电池维持基本用电，完全不需要电网连接。这个设定的含义，对地面交通的推演有决定性影响——Muule换电站的边界，不是电动化可以抵达的边界。</w:t>
      </w:r>
    </w:p>
    <w:p>
      <w:pPr>
        <w:pStyle w:val="BodyText"/>
      </w:pPr>
      <w:r>
        <w:t xml:space="preserve">固态电池和太阳能的组合，使电动工作车在有日照的地方几乎可以独立运作：车顶和货床遮阳棚的太阳能板（1,200至1,600W）在日照充足时每天补充約50至60公里等效續航，大容量电池组（60至160 kWh）提供足够的单次行程和夜间储备，备用电池包进一步覆盖连阴天或高强度使用场景。真正的电力不可及，在A1/A2体系覆盖范围内几乎不存在——高纬度低日照地区加上完全脱嵌于任何现代供应链的E类极端情况除外。</w:t>
      </w:r>
    </w:p>
    <w:p>
      <w:pPr>
        <w:pStyle w:val="BodyText"/>
      </w:pPr>
      <w:r>
        <w:t xml:space="preserve">换句话说，电动工作车需要的不是电网，只需要阳光和偶尔的电源接入。这个门槛远低于「电网覆盖」，也远低于「燃料配送链可及」。</w:t>
      </w:r>
    </w:p>
    <w:bookmarkEnd w:id="123"/>
    <w:bookmarkStart w:id="124" w:name="燃料基础设施的侵蚀逻辑"/>
    <w:p>
      <w:pPr>
        <w:pStyle w:val="Heading3"/>
      </w:pPr>
      <w:r>
        <w:t xml:space="preserve">3.13.2　燃料基础设施的侵蚀逻辑</w:t>
      </w:r>
    </w:p>
    <w:p>
      <w:pPr>
        <w:pStyle w:val="FirstParagraph"/>
      </w:pPr>
      <w:r>
        <w:t xml:space="preserve">合成燃油车的地面优势，依赖一个往往被隐含假设为固定的前提：燃料零售网络的密度和可靠性。但这个前提在电动化率上升的过程中正在被系统性侵蚀，这是比技术性能更重要的现实约束。</w:t>
      </w:r>
    </w:p>
    <w:bookmarkEnd w:id="124"/>
    <w:bookmarkStart w:id="125" w:name="电动化率与燃料站的负向螺旋"/>
    <w:p>
      <w:pPr>
        <w:pStyle w:val="Heading3"/>
      </w:pPr>
      <w:r>
        <w:t xml:space="preserve">3.13.3　电动化率与燃料站的负向螺旋</w:t>
      </w:r>
    </w:p>
    <w:p>
      <w:pPr>
        <w:pStyle w:val="FirstParagraph"/>
      </w:pPr>
      <w:r>
        <w:t xml:space="preserve">加油站是高固定成本、低单位利润的基础设施，其可行性依赖足够的日均车流量。电动化率每上升一个台阶，燃油车保有量下降，加油站客流下降，边际加油站亏损后关闭，覆盖半径扩大，使剩余燃油车用户的补给更不方便，进一步压低燃油车的使用意愿——这个负向螺旋今天已在农村地区初现：部分欧洲农村加油站因利润不足已大量关闭。到2072年，城市集群和近郊的电动化率已极高，燃料零售网络的萎缩不是预测，是已经发生的现实。</w:t>
      </w:r>
    </w:p>
    <w:p>
      <w:pPr>
        <w:pStyle w:val="BodyText"/>
      </w:pPr>
      <w:r>
        <w:t xml:space="preserve">偏远农村地带的处境更吊诡：越是电力基础设施薄弱、理论上燃油车「更需要」的地方，也往往是商业上最难维持加油站的地方。车流量低、运输成本高、合成燃料的配送链末端损耗大——在很多情况下，太阳能加备用电池的电动方案，恰恰比等待偶尔的燃料配送车更可靠。</w:t>
      </w:r>
    </w:p>
    <w:bookmarkEnd w:id="125"/>
    <w:bookmarkStart w:id="126" w:name="合成燃料真正可及的地方"/>
    <w:p>
      <w:pPr>
        <w:pStyle w:val="Heading3"/>
      </w:pPr>
      <w:r>
        <w:t xml:space="preserve">3.13.4　合成燃料真正可及的地方</w:t>
      </w:r>
    </w:p>
    <w:p>
      <w:pPr>
        <w:pStyle w:val="FirstParagraph"/>
      </w:pPr>
      <w:r>
        <w:t xml:space="preserve">合成燃料在地面交通中最可及的地方，不是偏远农村，而是空港和海港节点及其周边。原因很直接：航空和深海航运是合成燃料唯一无法被电动化替代的大规模需求方，这两类设施的燃料补给基础设施会在2072年保持完整，不存在侵蚀。</w:t>
      </w:r>
    </w:p>
    <w:p>
      <w:pPr>
        <w:pStyle w:val="BodyText"/>
      </w:pPr>
      <w:r>
        <w:t xml:space="preserve">这个地理定位决定了合成燃油车的真实制度性空间：机场地勤重型设备（牵引车、装卸机械、应急电源车）、港口作业设备（岸桥、集卡、移动式起重机）、以及靠近主要港口的重型干线货运走廊。这些场景的共同特点是设备功率需求高、作业强度大、电动化的电池重量和充电时间成为真实约束——不是因为电力不可及，而是因为在极高功率密度需求下，合成燃料的能量密度优势仍然有效。</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能源/补给类型</w:t>
            </w:r>
          </w:p>
        </w:tc>
        <w:tc>
          <w:tcPr/>
          <w:p>
            <w:pPr>
              <w:pStyle w:val="Compact"/>
              <w:jc w:val="left"/>
            </w:pPr>
            <w:r>
              <w:rPr>
                <w:bCs/>
                <w:b/>
              </w:rPr>
              <w:t xml:space="preserve">覆盖逻辑</w:t>
            </w:r>
          </w:p>
        </w:tc>
        <w:tc>
          <w:tcPr/>
          <w:p>
            <w:pPr>
              <w:pStyle w:val="Compact"/>
              <w:jc w:val="left"/>
            </w:pPr>
            <w:r>
              <w:rPr>
                <w:bCs/>
                <w:b/>
              </w:rPr>
              <w:t xml:space="preserve">2072年在地面交通中的可及性</w:t>
            </w:r>
          </w:p>
        </w:tc>
      </w:tr>
      <w:tr>
        <w:tc>
          <w:tcPr/>
          <w:p>
            <w:pPr>
              <w:pStyle w:val="Compact"/>
              <w:jc w:val="left"/>
            </w:pPr>
            <w:r>
              <w:t xml:space="preserve">聚变电网</w:t>
            </w:r>
          </w:p>
        </w:tc>
        <w:tc>
          <w:tcPr/>
          <w:p>
            <w:pPr>
              <w:pStyle w:val="Compact"/>
              <w:jc w:val="left"/>
            </w:pPr>
            <w:r>
              <w:t xml:space="preserve">沿人口密度和物流走廊投资，覆盖城市集群和主要交通干线</w:t>
            </w:r>
          </w:p>
        </w:tc>
        <w:tc>
          <w:tcPr/>
          <w:p>
            <w:pPr>
              <w:pStyle w:val="Compact"/>
              <w:jc w:val="left"/>
            </w:pPr>
            <w:r>
              <w:t xml:space="preserve">城市集群及近郊：极高 慢生活社区沿主干道：中等 深度偏远：低但非零（输电线延伸）</w:t>
            </w:r>
          </w:p>
        </w:tc>
      </w:tr>
      <w:tr>
        <w:tc>
          <w:tcPr/>
          <w:p>
            <w:pPr>
              <w:pStyle w:val="Compact"/>
              <w:jc w:val="left"/>
            </w:pPr>
            <w:r>
              <w:t xml:space="preserve">太阳能+备用电池 （分散式）</w:t>
            </w:r>
          </w:p>
        </w:tc>
        <w:tc>
          <w:tcPr/>
          <w:p>
            <w:pPr>
              <w:pStyle w:val="Compact"/>
              <w:jc w:val="left"/>
            </w:pPr>
            <w:r>
              <w:t xml:space="preserve">不依赖任何外部网络，只需日照 电池成本持续下降使组合方案普及</w:t>
            </w:r>
          </w:p>
        </w:tc>
        <w:tc>
          <w:tcPr/>
          <w:p>
            <w:pPr>
              <w:pStyle w:val="Compact"/>
              <w:jc w:val="left"/>
            </w:pPr>
            <w:r>
              <w:t xml:space="preserve">几乎全球可用 被遗忘地带的村庄已是现实 是电力覆盖空白的真正填补者</w:t>
            </w:r>
          </w:p>
        </w:tc>
      </w:tr>
      <w:tr>
        <w:tc>
          <w:tcPr/>
          <w:p>
            <w:pPr>
              <w:pStyle w:val="Compact"/>
              <w:jc w:val="left"/>
            </w:pPr>
            <w:r>
              <w:t xml:space="preserve">合成燃料（地面）</w:t>
            </w:r>
          </w:p>
        </w:tc>
        <w:tc>
          <w:tcPr/>
          <w:p>
            <w:pPr>
              <w:pStyle w:val="Compact"/>
              <w:jc w:val="left"/>
            </w:pPr>
            <w:r>
              <w:t xml:space="preserve">依賴燃料零售網絡 网络密度跟随燃油车保有量，随电动化率上升而侵蚀</w:t>
            </w:r>
          </w:p>
        </w:tc>
        <w:tc>
          <w:tcPr/>
          <w:p>
            <w:pPr>
              <w:pStyle w:val="Compact"/>
              <w:jc w:val="left"/>
            </w:pPr>
            <w:r>
              <w:t xml:space="preserve">城市：加油站大量关闭 近郊：稀疏化，不可靠 农村/偏远：往往比电更难保障</w:t>
            </w:r>
          </w:p>
        </w:tc>
      </w:tr>
      <w:tr>
        <w:tc>
          <w:tcPr/>
          <w:p>
            <w:pPr>
              <w:pStyle w:val="Compact"/>
              <w:jc w:val="left"/>
            </w:pPr>
            <w:r>
              <w:t xml:space="preserve">合成燃料（空港/海港节点）</w:t>
            </w:r>
          </w:p>
        </w:tc>
        <w:tc>
          <w:tcPr/>
          <w:p>
            <w:pPr>
              <w:pStyle w:val="Compact"/>
              <w:jc w:val="left"/>
            </w:pPr>
            <w:r>
              <w:t xml:space="preserve">航空和海运是合成燃料主需求方 这两类设施周边维持完整补给基础设施</w:t>
            </w:r>
          </w:p>
        </w:tc>
        <w:tc>
          <w:tcPr/>
          <w:p>
            <w:pPr>
              <w:pStyle w:val="Compact"/>
              <w:jc w:val="left"/>
            </w:pPr>
            <w:r>
              <w:t xml:space="preserve">机场、港口周边：极高且稳定 远离港口的陆地：不适用</w:t>
            </w:r>
          </w:p>
        </w:tc>
      </w:tr>
    </w:tbl>
    <w:bookmarkEnd w:id="126"/>
    <w:bookmarkStart w:id="127" w:name="修正后的车辆角色定位"/>
    <w:p>
      <w:pPr>
        <w:pStyle w:val="Heading3"/>
      </w:pPr>
      <w:r>
        <w:t xml:space="preserve">3.13.5　修正后的车辆角色定位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车辆类型</w:t>
            </w:r>
          </w:p>
        </w:tc>
        <w:tc>
          <w:tcPr/>
          <w:p>
            <w:pPr>
              <w:pStyle w:val="Compact"/>
              <w:jc w:val="left"/>
            </w:pPr>
            <w:r>
              <w:rPr>
                <w:bCs/>
                <w:b/>
              </w:rPr>
              <w:t xml:space="preserve">真实定位（修正后）</w:t>
            </w:r>
          </w:p>
        </w:tc>
        <w:tc>
          <w:tcPr/>
          <w:p>
            <w:pPr>
              <w:pStyle w:val="Compact"/>
              <w:jc w:val="left"/>
            </w:pPr>
            <w:r>
              <w:rPr>
                <w:bCs/>
                <w:b/>
              </w:rPr>
              <w:t xml:space="preserve">合成燃油车的竞争地位</w:t>
            </w:r>
          </w:p>
        </w:tc>
      </w:tr>
      <w:tr>
        <w:tc>
          <w:tcPr/>
          <w:p>
            <w:pPr>
              <w:pStyle w:val="Compact"/>
              <w:jc w:val="left"/>
            </w:pPr>
            <w:r>
              <w:t xml:space="preserve">城市集群个人出行</w:t>
            </w:r>
          </w:p>
        </w:tc>
        <w:tc>
          <w:tcPr/>
          <w:p>
            <w:pPr>
              <w:pStyle w:val="Compact"/>
              <w:jc w:val="left"/>
            </w:pPr>
            <w:r>
              <w:t xml:space="preserve">Muule主导（&gt;90%） 电动工作车承担特种功能</w:t>
            </w:r>
          </w:p>
        </w:tc>
        <w:tc>
          <w:tcPr/>
          <w:p>
            <w:pPr>
              <w:pStyle w:val="Compact"/>
              <w:jc w:val="left"/>
            </w:pPr>
            <w:r>
              <w:t xml:space="preserve">边缘化：燃料零售网络萎缩 停车空间重新规划 主要是文化偏好的小众市场</w:t>
            </w:r>
          </w:p>
        </w:tc>
      </w:tr>
      <w:tr>
        <w:tc>
          <w:tcPr/>
          <w:p>
            <w:pPr>
              <w:pStyle w:val="Compact"/>
              <w:jc w:val="left"/>
            </w:pPr>
            <w:r>
              <w:t xml:space="preserve">近郊与慢生活社区</w:t>
            </w:r>
          </w:p>
        </w:tc>
        <w:tc>
          <w:tcPr/>
          <w:p>
            <w:pPr>
              <w:pStyle w:val="Compact"/>
              <w:jc w:val="left"/>
            </w:pPr>
            <w:r>
              <w:t xml:space="preserve">电动工作车（充电或太阳能补充） 为主力功能性交通</w:t>
            </w:r>
          </w:p>
        </w:tc>
        <w:tc>
          <w:tcPr/>
          <w:p>
            <w:pPr>
              <w:pStyle w:val="Compact"/>
              <w:jc w:val="left"/>
            </w:pPr>
            <w:r>
              <w:t xml:space="preserve">残存但在侵蚀中：燃料补给点 随电动化率上升而减少， 太阳能方案反而更可靠</w:t>
            </w:r>
          </w:p>
        </w:tc>
      </w:tr>
      <w:tr>
        <w:tc>
          <w:tcPr/>
          <w:p>
            <w:pPr>
              <w:pStyle w:val="Compact"/>
              <w:jc w:val="left"/>
            </w:pPr>
            <w:r>
              <w:t xml:space="preserve">空港/海港节点及周边</w:t>
            </w:r>
          </w:p>
        </w:tc>
        <w:tc>
          <w:tcPr/>
          <w:p>
            <w:pPr>
              <w:pStyle w:val="Compact"/>
              <w:jc w:val="left"/>
            </w:pPr>
            <w:r>
              <w:t xml:space="preserve">地勤重型设备（燃油或电动混合） 货运卡车（电动化进行中）</w:t>
            </w:r>
          </w:p>
        </w:tc>
        <w:tc>
          <w:tcPr/>
          <w:p>
            <w:pPr>
              <w:pStyle w:val="Compact"/>
              <w:jc w:val="left"/>
            </w:pPr>
            <w:r>
              <w:t xml:space="preserve">真实竞争力：合成燃料在此最可及 高功率地勤设备电动化成本仍高 是燃油车最后的制度性空间</w:t>
            </w:r>
          </w:p>
        </w:tc>
      </w:tr>
      <w:tr>
        <w:tc>
          <w:tcPr/>
          <w:p>
            <w:pPr>
              <w:pStyle w:val="Compact"/>
              <w:jc w:val="left"/>
            </w:pPr>
            <w:r>
              <w:t xml:space="preserve">农业/采矿重型机械</w:t>
            </w:r>
          </w:p>
        </w:tc>
        <w:tc>
          <w:tcPr/>
          <w:p>
            <w:pPr>
              <w:pStyle w:val="Compact"/>
              <w:jc w:val="left"/>
            </w:pPr>
            <w:r>
              <w:t xml:space="preserve">电动化进行中但非全面完成 （高功率、长连续作业场景）</w:t>
            </w:r>
          </w:p>
        </w:tc>
        <w:tc>
          <w:tcPr/>
          <w:p>
            <w:pPr>
              <w:pStyle w:val="Compact"/>
              <w:jc w:val="left"/>
            </w:pPr>
            <w:r>
              <w:t xml:space="preserve">有限残存：特定功率密度需求 未被电动化完全覆盖的细分 但太阳能补充使电动替代加速</w:t>
            </w:r>
          </w:p>
        </w:tc>
      </w:tr>
      <w:tr>
        <w:tc>
          <w:tcPr/>
          <w:p>
            <w:pPr>
              <w:pStyle w:val="Compact"/>
              <w:jc w:val="left"/>
            </w:pPr>
            <w:r>
              <w:t xml:space="preserve">E类（被遗忘地带）</w:t>
            </w:r>
          </w:p>
        </w:tc>
        <w:tc>
          <w:tcPr/>
          <w:p>
            <w:pPr>
              <w:pStyle w:val="Compact"/>
              <w:jc w:val="left"/>
            </w:pPr>
            <w:r>
              <w:t xml:space="preserve">旧型车辆（燃油或电动）混用 太阳能板+小型柴油机是能源基础</w:t>
            </w:r>
          </w:p>
        </w:tc>
        <w:tc>
          <w:tcPr/>
          <w:p>
            <w:pPr>
              <w:pStyle w:val="Compact"/>
              <w:jc w:val="left"/>
            </w:pPr>
            <w:r>
              <w:t xml:space="preserve">旧型燃油车仍存在但非主动选择—— 是基础设施投资不到位的遗留， 而非燃料本身的竞争优势</w:t>
            </w:r>
          </w:p>
        </w:tc>
      </w:tr>
    </w:tbl>
    <w:bookmarkEnd w:id="127"/>
    <w:bookmarkStart w:id="128" w:name="电动工作车基础设施缺位时的主力"/>
    <w:p>
      <w:pPr>
        <w:pStyle w:val="Heading3"/>
      </w:pPr>
      <w:r>
        <w:t xml:space="preserve">3.13.6　电动工作车：基础设施缺位时的主力</w:t>
      </w:r>
    </w:p>
    <w:p>
      <w:pPr>
        <w:pStyle w:val="FirstParagraph"/>
      </w:pPr>
      <w:r>
        <w:t xml:space="preserve">从现有皮卡、厢型车平台演化的电动工作车，在Muule覆盖边界以外承担绝大多数功能性交通需求。设计逻辑是独立运作能力：太阳能补充消除对外部电网的依赖，大容量电池组覆盖长途和夜间，标准化零件使乡镇机修铺可以维护。这套方案在偏远社区的可靠性，系统性地高于依赖配送链的合成燃料方案——只要有日照，就有能源，不需要等待任何外部补给车辆按时到达。</w:t>
      </w:r>
    </w:p>
    <w:p>
      <w:pPr>
        <w:pStyle w:val="BodyText"/>
      </w:pPr>
      <w:r>
        <w:t xml:space="preserve">退役电池的梯次流动进一步强化了这个优势：城市集群Muule的退役固态电池，依次流向换电站缓冲储能、小城镇固定储能设施，最终成为偏远社区太阳能系统的储能单元。城市集群和边缘社区之间，通过二手电池的物质流动存在着一条缓慢的不对称连结，使偏远社区的电力基础设施成本持续下降。</w:t>
      </w:r>
    </w:p>
    <w:bookmarkEnd w:id="128"/>
    <w:bookmarkStart w:id="129" w:name="合成燃油车港口节点的制度性存在"/>
    <w:p>
      <w:pPr>
        <w:pStyle w:val="Heading3"/>
      </w:pPr>
      <w:r>
        <w:t xml:space="preserve">3.13.8　合成燃油车：港口节点的制度性存在</w:t>
      </w:r>
    </w:p>
    <w:p>
      <w:pPr>
        <w:pStyle w:val="FirstParagraph"/>
      </w:pPr>
      <w:r>
        <w:t xml:space="preserve">在空港和海港的直接辐射范围内，合成燃油车和合成燃油重型设备有清晰的制度性生存空间——不是因为电力不可及，而是因为这里的合成燃料基础设施最完整、设备功率需求最高、电动化转换成本最难被完全吸收。这个定位比「偏远地带的补充」更精确，也更诚实。</w:t>
      </w:r>
    </w:p>
    <w:p>
      <w:pPr>
        <w:pStyle w:val="BodyText"/>
      </w:pPr>
      <w:r>
        <w:t xml:space="preserve">在其他地面场景，合成燃油车的地位更接近一个正在退出的存量：城市集群里逐步失去停车空间和加油站，近郊的燃料供应随加油站稀疏化而降低可靠性，偏远地区的燃料补给链甚至比太阳能充电更难保障。旧型燃油车继续在这些地带存在，主要是惯性和初始投资的锁定，而非燃料本身的竞争优势。这个退出是缓慢的、不均匀的，在E类地区可能维持很长时间，但方向是确定的。</w:t>
      </w:r>
    </w:p>
    <w:bookmarkEnd w:id="129"/>
    <w:bookmarkStart w:id="130" w:name="a1与a2体系的差异化演化"/>
    <w:p>
      <w:pPr>
        <w:pStyle w:val="Heading3"/>
      </w:pPr>
      <w:r>
        <w:t xml:space="preserve">3.13.7　A1与A2体系的差异化演化</w:t>
      </w:r>
    </w:p>
    <w:p>
      <w:pPr>
        <w:pStyle w:val="FirstParagraph"/>
      </w:pPr>
      <w:r>
        <w:t xml:space="preserve">电动工作车和燃料基础设施的侵蚀逻辑在两套体系里有不同的速度和机制，但方向一致。</w:t>
      </w:r>
    </w:p>
    <w:p>
      <w:pPr>
        <w:pStyle w:val="BodyText"/>
      </w:pPr>
      <w:r>
        <w:t xml:space="preserve">A1体系（市场路径）里，燃料零售网络的萎缩是市场力量的自然结果：电动化率超过临界点后，加油站的商业可行性快速崩溃，农村地带往往是最先出现补给空白的地方。政府可以通过补贴维持部分农村加油站，但补贴本身就承认了燃料网络在商业上已不可持续。电动工作车的普及由市场竞争和用户选择驱动，太阳能补充方案的成本下降使其在偏远地区逐渐成为显而易见的优选。</w:t>
      </w:r>
    </w:p>
    <w:p>
      <w:pPr>
        <w:pStyle w:val="BodyText"/>
      </w:pPr>
      <w:r>
        <w:t xml:space="preserve">A2体系（计划路径）里，电动化转型的速度和覆盖范围由顶层计划决定。农村和偏远地带的电动工作车普及，取决于国家配给体系是否把相关基础设施和车辆列入配给或补贴范畴。合成燃油车的退出速度更可能是行政决定的，而非市场自然侵蚀的结果。但无论计划边界在哪里，计划覆盖之外的地带，同样面临燃料补给链比太阳能方案更难维持的物理现实。</w:t>
      </w:r>
    </w:p>
    <w:p>
      <w:pPr>
        <w:pStyle w:val="BodyText"/>
      </w:pPr>
      <w:r>
        <w:rPr>
          <w:iCs/>
          <w:i/>
        </w:rPr>
        <w:t xml:space="preserve">2072年地面交通格局的核心不是「电vs燃油」的全面对决，而是一个已基本完成的历史转型的收尾：电动化在城市集群和主要走廊早已是压倒性的现实，在偏远地带因太阳能的分散特性而无需电网就能推进；合成燃料的地面角色收缩到港口节点和高功率特种设备，是航空海运需求带来的基础设施红利，而非自身在地面交通的竞争优势。</w:t>
      </w:r>
    </w:p>
    <w:bookmarkEnd w:id="130"/>
    <w:bookmarkStart w:id="131" w:name="城市与城际货运车辆"/>
    <w:p>
      <w:pPr>
        <w:pStyle w:val="Heading3"/>
      </w:pPr>
      <w:r>
        <w:t xml:space="preserve">3.13.9　城市与城际货运车辆</w:t>
      </w:r>
    </w:p>
    <w:p>
      <w:pPr>
        <w:pStyle w:val="FirstParagraph"/>
      </w:pPr>
      <w:r>
        <w:t xml:space="preserve">超出货舱能力的货运需求（约50kg以上）由专用货运车辆承担。货运车辆全部电动无人驾驶，纳入城市交通系统统一管理，与Muule在同一数字基础设施上运行——系统实时知道每辆货运车的位置、载荷、任务和电量，动态调度，协同避障。</w:t>
      </w:r>
    </w:p>
    <w:p>
      <w:pPr>
        <w:pStyle w:val="BodyText"/>
      </w:pPr>
      <w:r>
        <w:rPr>
          <w:bCs/>
          <w:b/>
        </w:rPr>
        <w:t xml:space="preserve">城市货运车辆。</w:t>
      </w:r>
      <w:r>
        <w:t xml:space="preserve">服务城市集群内部中大型货运——搬家、大件家具、建材、餐厅批量配送、工厂到仓库短途运输。尺寸约介于面包车和中型货车之间，载重约500kg–3吨。电池容量约50–150kWh，城市内单次续航约200–400km，覆盖一整天配送任务无需中途换电，收工返回充电桩过夜慢充。用户手机下单，系统调度最近可用车辆，车辆自动到达装货，自动前往目的地，全程无需用户跟随。</w:t>
      </w:r>
    </w:p>
    <w:p>
      <w:pPr>
        <w:pStyle w:val="BodyText"/>
      </w:pPr>
      <w:r>
        <w:rPr>
          <w:bCs/>
          <w:b/>
        </w:rPr>
        <w:t xml:space="preserve">城际货运车辆。</w:t>
      </w:r>
      <w:r>
        <w:t xml:space="preserve">服务城市集群之间的中等批量陆路运输——填补高铁货运（高价值小批量）与货运铁路/海运（大宗低时效）之间的中间层。尺寸接近重型卡车，载重约10–40吨。电池容量约500–1500kWh，单次续航约600–1000km，覆盖主要城市间距离无需中途换电，是全控高速路段上24小时连续运行的主角，道路利用率约70–80%。个人Muule在全控高速路段上是偶尔出现的嵌入者，城际货运车辆才是支撑全控高速路段经济逻辑的核心流量。</w:t>
      </w:r>
    </w:p>
    <w:p>
      <w:pPr>
        <w:pStyle w:val="BodyText"/>
      </w:pPr>
      <w:r>
        <w:rPr>
          <w:bCs/>
          <w:b/>
        </w:rPr>
        <w:t xml:space="preserve">货运链的无断点衔接。</w:t>
      </w:r>
      <w:r>
        <w:t xml:space="preserve">城际货运车辆把货物从甲城运至乙城全控高速路段出口→城市货运车辆接手运至社区仓储点→Muule用货舱完成最后几百米的门到门配送。三个层级覆盖所有尺度的陆路货运，边界清晰，在同一城市交通系统下统一管理。城市里随时可以看到无人在场的货运车辆移动、停靠、自动装卸，是「技术成为不可见背景」最日常的呈现。</w:t>
      </w:r>
    </w:p>
    <w:p>
      <w:pPr>
        <w:pStyle w:val="BodyText"/>
      </w:pPr>
      <w:r>
        <w:t xml:space="preserve">没有接入高速道路控制体系的区域，所有出行依赖低速电池模式。50公里的单次续航对社区内部通勤完全足够，但跨社区的远程出行需要计划。两种策略并存：</w:t>
      </w:r>
    </w:p>
    <w:p>
      <w:pPr>
        <w:pStyle w:val="BodyText"/>
      </w:pPr>
      <w:r>
        <w:rPr>
          <w:bCs/>
          <w:b/>
        </w:rPr>
        <w:t xml:space="preserve">计划换电节点。</w:t>
      </w:r>
      <w:r>
        <w:t xml:space="preserve">沿途换电站约3分钟完成换电，与现在的加油逻辑相同。出发前通过手机规划路线，确认沿途换电站位置和实时库存。换电站密度决定实际可达范围——换电站越稀疏，可达圈越小，计划成本越高。</w:t>
      </w:r>
    </w:p>
    <w:p>
      <w:pPr>
        <w:pStyle w:val="BodyText"/>
      </w:pPr>
      <w:r>
        <w:rPr>
          <w:bCs/>
          <w:b/>
        </w:rPr>
        <w:t xml:space="preserve">携带备用电池。</w:t>
      </w:r>
      <w:r>
        <w:t xml:space="preserve">标准电池组约12kg，携带一组备用使续航增至约100km，空载重量从92kg增至104kg；携带两组可达约150km，空载116kg。重量增加在步行跟随模式下功耗略增，推行模式下仍在体力可接受范围内。长途出行时备用电池是标准配置，类似远途骑行者携带备用燃料。</w:t>
      </w:r>
    </w:p>
    <w:p>
      <w:pPr>
        <w:pStyle w:val="BodyText"/>
      </w:pPr>
      <w:r>
        <w:t xml:space="preserve">换电站的经济逻辑与高速道路控制体系不同：建设成本低，单独服务周边居民即可维持运营，不依赖高车流量摊薄成本。因此换电站的地理覆盖范围远比高速体系广，是低速出行的基础设施支柱。换电站覆盖的边界大致与电网覆盖边界重合——有电网就可能有换电站，没有电网才是真正的被遗忘地带。</w:t>
      </w:r>
    </w:p>
    <w:bookmarkEnd w:id="131"/>
    <w:bookmarkEnd w:id="132"/>
    <w:bookmarkStart w:id="151" w:name="地面交通控制系统"/>
    <w:p>
      <w:pPr>
        <w:pStyle w:val="Heading2"/>
      </w:pPr>
      <w:r>
        <w:t xml:space="preserve">3.14　地面交通控制系统</w:t>
      </w:r>
    </w:p>
    <w:bookmarkStart w:id="133" w:name="双层架构流量管理与车辆自主"/>
    <w:p>
      <w:pPr>
        <w:pStyle w:val="Heading3"/>
      </w:pPr>
      <w:r>
        <w:t xml:space="preserve">3.14.1　双层架构：流量管理与车辆自主</w:t>
      </w:r>
    </w:p>
    <w:p>
      <w:pPr>
        <w:pStyle w:val="FirstParagraph"/>
      </w:pPr>
      <w:r>
        <w:t xml:space="preserve">2072年的城市地面交通控制系统由两个平行层次构成，两者分工不同，缺一不可，且不能相互取代。</w:t>
      </w:r>
    </w:p>
    <w:p>
      <w:pPr>
        <w:pStyle w:val="BodyText"/>
      </w:pPr>
      <w:r>
        <w:rPr>
          <w:bCs/>
          <w:b/>
        </w:rPr>
        <w:t xml:space="preserve">流量管理层（系统层）</w:t>
      </w:r>
      <w:r>
        <w:t xml:space="preserve">：城市交通AI对所有接入车辆实施宏观协调——路口信号相位、路径规划、间距指令、速度建议——使整体路网效率最大化。这个层次的控制对象仅限于接入系统的车辆，不覆盖行人、宠物、非接入设备等无法预先被系统感知的对象。</w:t>
      </w:r>
    </w:p>
    <w:p>
      <w:pPr>
        <w:pStyle w:val="BodyText"/>
      </w:pPr>
      <w:r>
        <w:rPr>
          <w:bCs/>
          <w:b/>
        </w:rPr>
        <w:t xml:space="preserve">车辆自主层（车端）</w:t>
      </w:r>
      <w:r>
        <w:t xml:space="preserve">：每辆Muule和城市车辆搭载独立传感器阵列（摄像头、毫米波雷达、近距激光雷达），在本地实时处理周围环境，独立应对系统感知盲区内的所有障碍——行人的突然转向、宠物冲入路面、掉落异物。这是车辆的本地智能，不依赖中央系统，不可被关闭。</w:t>
      </w:r>
    </w:p>
    <w:p>
      <w:pPr>
        <w:pStyle w:val="BodyText"/>
      </w:pPr>
      <w:r>
        <w:t xml:space="preserve">两个层次永远并行工作。系统层告诉车辆「去哪里、走哪条路、以什么速度」；车辆自主层负责「在这条路上安全行驶，不撞上沿途出现的任何东西」。这与航空中「塔台管理航路，飞机自己飞行」的逻辑相同——管理和执行是两个不同系统，协同但独立。</w:t>
      </w:r>
    </w:p>
    <w:p>
      <w:pPr>
        <w:pStyle w:val="BodyText"/>
      </w:pPr>
      <w:r>
        <w:t xml:space="preserve">全控高速是唯一的例外：在物理封闭的环境里，系统层接管驾驶控制权，车辆自主层退化为监控和紧急备份角色。这个接管之所以可能，是因为封闭环境消除了系统感知盲区——无连接对象的随机出现被物理屏障阻止。</w:t>
      </w:r>
    </w:p>
    <w:bookmarkEnd w:id="133"/>
    <w:bookmarkStart w:id="134" w:name="封闭环境全控高速的物理前提"/>
    <w:p>
      <w:pPr>
        <w:pStyle w:val="Heading3"/>
      </w:pPr>
      <w:r>
        <w:t xml:space="preserve">3.14.2　封闭环境：全控高速的物理前提</w:t>
      </w:r>
    </w:p>
    <w:p>
      <w:pPr>
        <w:pStyle w:val="FirstParagraph"/>
      </w:pPr>
      <w:r>
        <w:t xml:space="preserve">普通城市道路是开放环境：行人横穿、自行车逆行、宠物冲出，这些对象无法被系统预先感知，只能由车辆的本地传感器即时处理。在开放环境里，中央系统无法对车辆实施全控驾驶——它不知道前方三米处会不会突然出现一个四岁小孩。系统可以优化路口信号、协调车流，但无法代替车辆的本地感知做出驾驶决策。</w:t>
      </w:r>
    </w:p>
    <w:p>
      <w:pPr>
        <w:pStyle w:val="BodyText"/>
      </w:pPr>
      <w:r>
        <w:t xml:space="preserve">全控高速的成立条件是物理封闭：通过隔离墩、围网、高差设计与行人步行区完全物理分离，没有平交路口，进出只通过固定入口和出口闸门。在这个封闭边界内，系统知道路面上有什么——全部都是已注册接入的车辆，没有任何感知盲区。这才是中央控制层能够接管驾驶权的物理前提。</w:t>
      </w:r>
    </w:p>
    <w:p>
      <w:pPr>
        <w:pStyle w:val="BodyText"/>
      </w:pPr>
      <w:r>
        <w:t xml:space="preserve">入口闸门是两种控制逻辑的物理边界线：进入之前是开放环境（车辆自主驾驶，系统管理流量）；进入之后是封闭环境（系统全控驾驶，车辆传感器作为冗余备份）。即便在全控段，车辆传感器不会被关闭——一旦检测到系统未识别的异常（无人机坠入、路面异物），触发紧急协议，不等待系统响应。这是冗余设计，不是多余设计。</w:t>
      </w:r>
    </w:p>
    <w:bookmarkEnd w:id="134"/>
    <w:bookmarkStart w:id="135" w:name="速度层级与控制模式"/>
    <w:p>
      <w:pPr>
        <w:pStyle w:val="Heading3"/>
      </w:pPr>
      <w:r>
        <w:t xml:space="preserve">3.14.3　速度层级与控制模式</w:t>
      </w:r>
    </w:p>
    <w:p>
      <w:pPr>
        <w:pStyle w:val="FirstParagraph"/>
      </w:pPr>
      <w:r>
        <w:t xml:space="preserve">Muule在地面道路系统中经历四个速度层级，每个层级对应不同的环境性质、形态要求和控制分工。</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层级</w:t>
            </w:r>
          </w:p>
        </w:tc>
        <w:tc>
          <w:tcPr/>
          <w:p>
            <w:pPr>
              <w:pStyle w:val="Compact"/>
              <w:jc w:val="left"/>
            </w:pPr>
            <w:r>
              <w:rPr>
                <w:bCs/>
                <w:b/>
              </w:rPr>
              <w:t xml:space="preserve">适用路段</w:t>
            </w:r>
          </w:p>
        </w:tc>
        <w:tc>
          <w:tcPr/>
          <w:p>
            <w:pPr>
              <w:pStyle w:val="Compact"/>
              <w:jc w:val="left"/>
            </w:pPr>
            <w:r>
              <w:rPr>
                <w:bCs/>
                <w:b/>
              </w:rPr>
              <w:t xml:space="preserve">最高速度</w:t>
            </w:r>
          </w:p>
        </w:tc>
        <w:tc>
          <w:tcPr/>
          <w:p>
            <w:pPr>
              <w:pStyle w:val="Compact"/>
              <w:jc w:val="left"/>
            </w:pPr>
            <w:r>
              <w:rPr>
                <w:bCs/>
                <w:b/>
              </w:rPr>
              <w:t xml:space="preserve">形态</w:t>
            </w:r>
          </w:p>
        </w:tc>
        <w:tc>
          <w:tcPr/>
          <w:p>
            <w:pPr>
              <w:pStyle w:val="Compact"/>
              <w:jc w:val="left"/>
            </w:pPr>
            <w:r>
              <w:rPr>
                <w:bCs/>
                <w:b/>
              </w:rPr>
              <w:t xml:space="preserve">驾驶主体</w:t>
            </w:r>
          </w:p>
        </w:tc>
        <w:tc>
          <w:tcPr/>
          <w:p>
            <w:pPr>
              <w:pStyle w:val="Compact"/>
              <w:jc w:val="left"/>
            </w:pPr>
            <w:r>
              <w:rPr>
                <w:bCs/>
                <w:b/>
              </w:rPr>
              <w:t xml:space="preserve">系统作用</w:t>
            </w:r>
          </w:p>
        </w:tc>
      </w:tr>
      <w:tr>
        <w:tc>
          <w:tcPr/>
          <w:p>
            <w:pPr>
              <w:pStyle w:val="Compact"/>
              <w:jc w:val="left"/>
            </w:pPr>
            <w:r>
              <w:t xml:space="preserve">慢行区</w:t>
            </w:r>
          </w:p>
        </w:tc>
        <w:tc>
          <w:tcPr/>
          <w:p>
            <w:pPr>
              <w:pStyle w:val="Compact"/>
              <w:jc w:val="left"/>
            </w:pPr>
            <w:r>
              <w:t xml:space="preserve">人行道、行人优先区、住宅内巷</w:t>
            </w:r>
          </w:p>
        </w:tc>
        <w:tc>
          <w:tcPr/>
          <w:p>
            <w:pPr>
              <w:pStyle w:val="Compact"/>
              <w:jc w:val="left"/>
            </w:pPr>
            <w:r>
              <w:t xml:space="preserve">20 km/h</w:t>
            </w:r>
          </w:p>
        </w:tc>
        <w:tc>
          <w:tcPr/>
          <w:p>
            <w:pPr>
              <w:pStyle w:val="Compact"/>
              <w:jc w:val="left"/>
            </w:pPr>
            <w:r>
              <w:t xml:space="preserve">两轮（专属）</w:t>
            </w:r>
          </w:p>
        </w:tc>
        <w:tc>
          <w:tcPr/>
          <w:p>
            <w:pPr>
              <w:pStyle w:val="Compact"/>
              <w:jc w:val="left"/>
            </w:pPr>
            <w:r>
              <w:t xml:space="preserve">车辆自主</w:t>
            </w:r>
          </w:p>
        </w:tc>
        <w:tc>
          <w:tcPr/>
          <w:p>
            <w:pPr>
              <w:pStyle w:val="Compact"/>
              <w:jc w:val="left"/>
            </w:pPr>
            <w:r>
              <w:t xml:space="preserve">速度强制限制 行人感知预警</w:t>
            </w:r>
          </w:p>
        </w:tc>
      </w:tr>
      <w:tr>
        <w:tc>
          <w:tcPr/>
          <w:p>
            <w:pPr>
              <w:pStyle w:val="Compact"/>
              <w:jc w:val="left"/>
            </w:pPr>
            <w:r>
              <w:t xml:space="preserve">城市普通道路</w:t>
            </w:r>
          </w:p>
        </w:tc>
        <w:tc>
          <w:tcPr/>
          <w:p>
            <w:pPr>
              <w:pStyle w:val="Compact"/>
              <w:jc w:val="left"/>
            </w:pPr>
            <w:r>
              <w:t xml:space="preserve">一般城市路网（开放环境）</w:t>
            </w:r>
          </w:p>
        </w:tc>
        <w:tc>
          <w:tcPr/>
          <w:p>
            <w:pPr>
              <w:pStyle w:val="Compact"/>
              <w:jc w:val="left"/>
            </w:pPr>
            <w:r>
              <w:t xml:space="preserve">70 km/h</w:t>
            </w:r>
          </w:p>
        </w:tc>
        <w:tc>
          <w:tcPr/>
          <w:p>
            <w:pPr>
              <w:pStyle w:val="Compact"/>
              <w:jc w:val="left"/>
            </w:pPr>
            <w:r>
              <w:t xml:space="preserve">四轮（强制）</w:t>
            </w:r>
          </w:p>
        </w:tc>
        <w:tc>
          <w:tcPr/>
          <w:p>
            <w:pPr>
              <w:pStyle w:val="Compact"/>
              <w:jc w:val="left"/>
            </w:pPr>
            <w:r>
              <w:t xml:space="preserve">车辆自主（默认自动驾驶）</w:t>
            </w:r>
          </w:p>
        </w:tc>
        <w:tc>
          <w:tcPr/>
          <w:p>
            <w:pPr>
              <w:pStyle w:val="Compact"/>
              <w:jc w:val="left"/>
            </w:pPr>
            <w:r>
              <w:t xml:space="preserve">路口协调 流量管理 路径规划</w:t>
            </w:r>
          </w:p>
        </w:tc>
      </w:tr>
      <w:tr>
        <w:tc>
          <w:tcPr/>
          <w:p>
            <w:pPr>
              <w:pStyle w:val="Compact"/>
              <w:jc w:val="left"/>
            </w:pPr>
            <w:r>
              <w:t xml:space="preserve">城市快速路</w:t>
            </w:r>
          </w:p>
        </w:tc>
        <w:tc>
          <w:tcPr/>
          <w:p>
            <w:pPr>
              <w:pStyle w:val="Compact"/>
              <w:jc w:val="left"/>
            </w:pPr>
            <w:r>
              <w:t xml:space="preserve">集群内快速路（开放环境）</w:t>
            </w:r>
          </w:p>
        </w:tc>
        <w:tc>
          <w:tcPr/>
          <w:p>
            <w:pPr>
              <w:pStyle w:val="Compact"/>
              <w:jc w:val="left"/>
            </w:pPr>
            <w:r>
              <w:t xml:space="preserve">100 km/h</w:t>
            </w:r>
          </w:p>
        </w:tc>
        <w:tc>
          <w:tcPr/>
          <w:p>
            <w:pPr>
              <w:pStyle w:val="Compact"/>
              <w:jc w:val="left"/>
            </w:pPr>
            <w:r>
              <w:t xml:space="preserve">四轮强制</w:t>
            </w:r>
          </w:p>
        </w:tc>
        <w:tc>
          <w:tcPr/>
          <w:p>
            <w:pPr>
              <w:pStyle w:val="Compact"/>
              <w:jc w:val="left"/>
            </w:pPr>
            <w:r>
              <w:t xml:space="preserve">车辆自主</w:t>
            </w:r>
          </w:p>
        </w:tc>
        <w:tc>
          <w:tcPr/>
          <w:p>
            <w:pPr>
              <w:pStyle w:val="Compact"/>
              <w:jc w:val="left"/>
            </w:pPr>
            <w:r>
              <w:t xml:space="preserve">密集间距协调 速度均衡</w:t>
            </w:r>
          </w:p>
        </w:tc>
      </w:tr>
      <w:tr>
        <w:tc>
          <w:tcPr/>
          <w:p>
            <w:pPr>
              <w:pStyle w:val="Compact"/>
              <w:jc w:val="left"/>
            </w:pPr>
            <w:r>
              <w:t xml:space="preserve">全控高速</w:t>
            </w:r>
          </w:p>
        </w:tc>
        <w:tc>
          <w:tcPr/>
          <w:p>
            <w:pPr>
              <w:pStyle w:val="Compact"/>
              <w:jc w:val="left"/>
            </w:pPr>
            <w:r>
              <w:t xml:space="preserve">城市内高速路+城市集群间干线（封闭环境）</w:t>
            </w:r>
          </w:p>
        </w:tc>
        <w:tc>
          <w:tcPr/>
          <w:p>
            <w:pPr>
              <w:pStyle w:val="Compact"/>
              <w:jc w:val="left"/>
            </w:pPr>
            <w:r>
              <w:t xml:space="preserve">160 km/h</w:t>
            </w:r>
          </w:p>
        </w:tc>
        <w:tc>
          <w:tcPr/>
          <w:p>
            <w:pPr>
              <w:pStyle w:val="Compact"/>
              <w:jc w:val="left"/>
            </w:pPr>
            <w:r>
              <w:t xml:space="preserve">四轮强制</w:t>
            </w:r>
          </w:p>
        </w:tc>
        <w:tc>
          <w:tcPr/>
          <w:p>
            <w:pPr>
              <w:pStyle w:val="Compact"/>
              <w:jc w:val="left"/>
            </w:pPr>
            <w:r>
              <w:t xml:space="preserve">系统接管驾驶</w:t>
            </w:r>
          </w:p>
        </w:tc>
        <w:tc>
          <w:tcPr/>
          <w:p>
            <w:pPr>
              <w:pStyle w:val="Compact"/>
              <w:jc w:val="left"/>
            </w:pPr>
            <w:r>
              <w:t xml:space="preserve">全权驾驶控制 车辆传感器为紧急备份</w:t>
            </w:r>
          </w:p>
        </w:tc>
      </w:tr>
    </w:tbl>
    <w:p>
      <w:pPr>
        <w:pStyle w:val="BodyText"/>
      </w:pPr>
      <w:r>
        <w:t xml:space="preserve">两轮形态专属于慢行区（人行道步行跟随及低于20km/h的极低速场景），进入行车道一律切换为四轮形态。变形在路缘变形区由用户车外静止触发，是进出行车道的标准流程，不在行驶中发生。四轮形态在城市普通道路的70km/h上限，与城市快速路（100km/h）和全控高速（160km/h）形成清晰的速度梯度，对应不同的路网密度和控制模式。</w:t>
      </w:r>
    </w:p>
    <w:bookmarkEnd w:id="135"/>
    <w:bookmarkStart w:id="136" w:name="全控路网跨越城市边界的延伸"/>
    <w:p>
      <w:pPr>
        <w:pStyle w:val="Heading3"/>
      </w:pPr>
      <w:r>
        <w:t xml:space="preserve">3.14.4　全控路网：跨越城市边界的延伸</w:t>
      </w:r>
    </w:p>
    <w:p>
      <w:pPr>
        <w:pStyle w:val="FirstParagraph"/>
      </w:pPr>
      <w:r>
        <w:t xml:space="preserve">全控高速不只覆盖城市集群内部，同样延伸至连接相邻集群的城际高速干线。物理封闭设计是全控的唯一技术前提，与路段在行政上属于城市内还是城市间无关。主要城市集群之间的高速干线在2072年已全面完成全控接入，形成跨集群的连续封闭路网，沿物流走廊骨架延伸的统一控制体系。这里需要区分两个层次：技术控制层面，全控系统已延伸覆盖主要城际干线；经济地理层面，并非所有路段都形成了完整的「全控高速路段」——全控高速路段的成立还需要换电站网络（每50公里一处）的支撑，在物流密度不足的次要路段，换电站投资无法回收，全控系统存在但全控高速路段经济体系未形成，形成有控制无全控高速路段的过渡形态。</w:t>
      </w:r>
    </w:p>
    <w:p>
      <w:pPr>
        <w:pStyle w:val="BodyText"/>
      </w:pPr>
      <w:r>
        <w:t xml:space="preserve">一辆Muule从城市甲驶向城市乙：市内低速段车辆自主驾驶，进入高速干线入口时，系统根据路线规划在换电站换入大容量电池（约为标准电池的两到三倍容量），以覆盖整段高速行程而无需途中换电；入高速后移交控制权，以160公里每小时运行；出口换回标准电池，控制权归还用户，再以自主驾驶进入目的城市低速网络。大容量电池的换入是可选而非强制——短途城市间出行（50公里以内）以标准满电即可抵达，长途才需要升级。入口换电站同时备有标准满电池和大容量电池，系统根据用户目的地自动建议。</w:t>
      </w:r>
    </w:p>
    <w:p>
      <w:pPr>
        <w:pStyle w:val="BodyText"/>
      </w:pPr>
      <w:r>
        <w:t xml:space="preserve">在物流密度不足以支撑全控基础设施投资的次要路段，全控覆盖仍可能出现缺口。车辆在缺口路段以自主驾驶通行，进入下一段全控区再次移交控制权。路段控制模式的切换由入口闸门标记，用户通过眼镜模块可以看到当前控制状态，切换时刻清晰可感。高速路的感官体验——个人舱体嵌入货流洪流，以一种奇怪的平静穿越大地——在全控段普遍存在，主要物流走廊上这种体验可以持续数百公里不中断。</w:t>
      </w:r>
    </w:p>
    <w:bookmarkEnd w:id="136"/>
    <w:bookmarkStart w:id="137" w:name="控制权的逐级移交"/>
    <w:p>
      <w:pPr>
        <w:pStyle w:val="Heading3"/>
      </w:pPr>
      <w:r>
        <w:t xml:space="preserve">3.14.5　控制权的逐级移交</w:t>
      </w:r>
    </w:p>
    <w:p>
      <w:pPr>
        <w:pStyle w:val="FirstParagraph"/>
      </w:pPr>
      <w:r>
        <w:rPr>
          <w:bCs/>
          <w:b/>
        </w:rPr>
        <w:t xml:space="preserve">默认自动驾驶</w:t>
      </w:r>
      <w:r>
        <w:t xml:space="preserve">是所有层级的起点：用户设定目的地，车辆自主驾驶系统接管，用户成为乘客。系统层同步接收车辆位置，提供路口协调和路径规划。在不需要任何主动授权的情况下，这是城市出行的默认状态。</w:t>
      </w:r>
    </w:p>
    <w:p>
      <w:pPr>
        <w:pStyle w:val="BodyText"/>
      </w:pPr>
      <w:r>
        <w:rPr>
          <w:bCs/>
          <w:b/>
        </w:rPr>
        <w:t xml:space="preserve">用户手动接管</w:t>
      </w:r>
      <w:r>
        <w:t xml:space="preserve">在慢行区、普通道路、城市快速路均可随时触发。接管后，系统层退为流量监督模式，不干预驾驶，但持续提供路径建议和信号状态；车辆自主层切换为被动安全模式，在碰撞风险迫近时强制介入（优先减速）。手动接管不关闭车辆传感器，也不断开系统连接，只是驾驶决策权回到用户手中。</w:t>
      </w:r>
    </w:p>
    <w:p>
      <w:pPr>
        <w:pStyle w:val="BodyText"/>
      </w:pPr>
      <w:r>
        <w:rPr>
          <w:bCs/>
          <w:b/>
        </w:rPr>
        <w:t xml:space="preserve">全控高速是唯一「强制系统驾驶」层级</w:t>
      </w:r>
      <w:r>
        <w:t xml:space="preserve">：在封闭环境高速运行中，车辆自主层的本地感知能力不足以独立保证安全——160公里每小时下，车辆传感器的感知范围和系统的协调精度之间存在根本性差距，只有系统层的全局协调才能使数百辆车保持130米间距安全运行。130米对应约3秒行驶距离，相比当前人工驾驶的约200米安全间距标准，AI协同制动使路段通行容量提升约35%——当系统检测到异常时，信号以光速传遍全路段，所有车辆同时制动，消除了人工驾驶的逐车传递延迟。用户保留导航决策权，但驾驶执行权移交系统，不可手动接管。</w:t>
      </w:r>
    </w:p>
    <w:bookmarkEnd w:id="137"/>
    <w:bookmarkStart w:id="138" w:name="人工审查节点六秒窗口的制度设计"/>
    <w:p>
      <w:pPr>
        <w:pStyle w:val="Heading3"/>
      </w:pPr>
      <w:r>
        <w:t xml:space="preserve">3.14.6　人工审查节点：六秒窗口的制度设计</w:t>
      </w:r>
    </w:p>
    <w:p>
      <w:pPr>
        <w:pStyle w:val="FirstParagraph"/>
      </w:pPr>
      <w:r>
        <w:t xml:space="preserve">全城统一AI控制体系在制度上保留了一个人工审查层。系统将「置信度低于内部阈值」的决策标记，推送至管辖区席位的操作员，给出六秒判断窗口。六秒窗口是「人类有机会阻止」的时间，不是「人类批准才能执行」的程序——六秒内操作员不覆盖，系统自动执行。</w:t>
      </w:r>
    </w:p>
    <w:p>
      <w:pPr>
        <w:pStyle w:val="BodyText"/>
      </w:pPr>
      <w:r>
        <w:t xml:space="preserve">六秒来自系统置信度的逻辑。早期版本给四秒；现行版本给六秒，工程师的解释是：系统已经足够确定自己的决策，留出六秒只是为了满足法规要求的「人工审查节点」。延长窗口不是给操作员更多时间，而是系统在多等两秒后仍会做同一件事。操作员理论上有覆盖权，但覆盖需要极强的理由——系统记录所有覆盖决策，事后追溯是日常工作的一部分。</w:t>
      </w:r>
    </w:p>
    <w:p>
      <w:pPr>
        <w:pStyle w:val="BodyText"/>
      </w:pPr>
      <w:r>
        <w:t xml:space="preserve">六秒这个数字本身有一段立法史。2061年《城市自主系统监管框架》草案的初稿中，公民安全倡导联盟提出的人工审查窗口为三十秒；系统运营商联盟的对案是两秒。最终谈判结果是六秒，技术附件中写明的依据是「不低于人类神经最低响应时限的三倍」——这一「三倍标准」在此之前不存在于任何工程规范或认知科学文献，是专为此次立法由法律顾问团队起草的定义。它足够精确，以至于看起来有科学依据；它足够模糊，以至于任何一方都可以声称自己赢得了谈判。</w:t>
      </w:r>
    </w:p>
    <w:p>
      <w:pPr>
        <w:pStyle w:val="BodyText"/>
      </w:pPr>
      <w:r>
        <w:t xml:space="preserve">主要城市集群的地面交通中心设一到四个管辖区席位，每个席位负责约三十万到一百万移动单元，每班八小时，席位连续监控上限约四小时，期间须安排强制休息或岗位轮换。触发频率约每月两到三次。操作员的屏幕显示聚合数据：路段密度、速度分布、异常标记、待审决策。大部分班次里，最耗费注意力的事情是保持清醒，而不是做任何真正的判断。</w:t>
      </w:r>
    </w:p>
    <w:p>
      <w:pPr>
        <w:pStyle w:val="BodyText"/>
      </w:pPr>
      <w:r>
        <w:t xml:space="preserve">这个设计的逻辑矛盾并不隐晦：保留人工审查是为了合规，不是因为人类判断更准确。操作员席位是制度性存在，不是技术需求。到2072年，没有哪个主要经济体有政治意愿彻底取消这个节点——即便参与其中的所有人都知道，它更多是仪式而非实质。</w:t>
      </w:r>
    </w:p>
    <w:bookmarkEnd w:id="138"/>
    <w:bookmarkStart w:id="139" w:name="算力架构三千万城市的系统规模"/>
    <w:p>
      <w:pPr>
        <w:pStyle w:val="Heading3"/>
      </w:pPr>
      <w:r>
        <w:t xml:space="preserve">3.14.7　算力架构：三千万城市的系统规模</w:t>
      </w:r>
    </w:p>
    <w:p>
      <w:pPr>
        <w:pStyle w:val="FirstParagraph"/>
      </w:pPr>
      <w:r>
        <w:t xml:space="preserve">人口三千万的城市，高峰期在路面上移动的单元约三百万到五百万辆（车辆与机器人之和）。这个规模在直觉上容易引发「运算量过大」的疑虑，但系统的实际负载分布与直觉预期有根本性差异。</w:t>
      </w:r>
    </w:p>
    <w:p>
      <w:pPr>
        <w:pStyle w:val="BodyText"/>
      </w:pPr>
      <w:r>
        <w:rPr>
          <w:bCs/>
          <w:b/>
        </w:rPr>
        <w:t xml:space="preserve">分层处理消除中心瓶颈。</w:t>
      </w:r>
      <w:r>
        <w:t xml:space="preserve">全控高速的系统负载集中在路侧边缘节点，不在中央服务器。路侧节点每50—100米部署一处，每个节点管理本地约200—300米路段内的20—50辆车，在10毫秒级时间窗口内完成本地协调，向上层传递聚合状态摘要，而不是原始传感数据流。中央服务器接收的是路段级状态摘要，处理全局路径规划和流量优化，容忍秒级延迟。时间敏感的安全响应发生在边缘，不经过中央，不受三千万人口规模的影响。</w:t>
      </w:r>
    </w:p>
    <w:p>
      <w:pPr>
        <w:pStyle w:val="BodyText"/>
      </w:pPr>
      <w:r>
        <w:rPr>
          <w:bCs/>
          <w:b/>
        </w:rPr>
        <w:t xml:space="preserve">普通道路的系统负载接近于零。</w:t>
      </w:r>
      <w:r>
        <w:t xml:space="preserve">在非全控路段，系统层只做流量管理：路口信号相位计算、拥堵检测与路径建议、事件响应调度。这些是秒级或分钟级计算，与全控高速的毫秒级实时控制属于完全不同的数量级。交通信号优化的算力需求，与驾驶控制数百万辆车之间相差五到六个数量级——城市流量管理AI在2072年的算力条件下是平淡无奇的后台任务，不是瓶颈。</w:t>
      </w:r>
    </w:p>
    <w:p>
      <w:pPr>
        <w:pStyle w:val="BodyText"/>
      </w:pPr>
      <w:r>
        <w:rPr>
          <w:bCs/>
          <w:b/>
        </w:rPr>
        <w:t xml:space="preserve">全控高速的实时性需求与解决方案。</w:t>
      </w:r>
      <w:r>
        <w:t xml:space="preserve">160公里每小时约合44米每秒，全控段设计间距约130米（约3秒行驶距离），系统需要在任何车辆出现异常时50毫秒内触发区域降速响应。这个50毫秒响应由路侧节点本地完成：节点持续监测本地路段所有车辆状态，异常触发不需要请求上级授权，直接执行本地降速协议，同时向相邻节点广播异常信号，触发扩散降速。中央系统在事后同步状态，参与重新路径规划，但不参与初始响应。</w:t>
      </w:r>
    </w:p>
    <w:p>
      <w:pPr>
        <w:pStyle w:val="BodyText"/>
      </w:pPr>
      <w:r>
        <w:rPr>
          <w:bCs/>
          <w:b/>
        </w:rPr>
        <w:t xml:space="preserve">传感数据的压缩效率。</w:t>
      </w:r>
      <w:r>
        <w:t xml:space="preserve">每辆接入车辆向最近路侧节点上报的是状态摘要而非原始数据流：位置（厘米级精度，更新率100Hz）、速度向量（0.1公里/小时精度）、加速度（用于预判）、电池状态（每分钟更新）、异常标志（布尔值）。单车数据流约8千比特每秒，三百万辆车的总上行带宽约24吉比特每秒（24 Gbps）——在2072年城市光纤基础设施密度下完全不是瓶颈，约相当于今天一线城市家庭宽带总聚合带宽的1/50到1/100，技术上微不足道。</w:t>
      </w:r>
    </w:p>
    <w:p>
      <w:pPr>
        <w:pStyle w:val="BodyText"/>
      </w:pPr>
      <w:r>
        <w:t xml:space="preserve">三千万城市的地面交通系统不是一台巨大的中央计算机在处理一切，而是一个以路侧节点为基础单元的分布式网络，每个节点独立处理局部，系统的「智能」分散在整个网络里。规模带来的不是单点负载，而是节点数量——而节点可以复制，负载不会集中。</w:t>
      </w:r>
    </w:p>
    <w:bookmarkEnd w:id="139"/>
    <w:bookmarkStart w:id="140" w:name="数据副产品与监控整合"/>
    <w:p>
      <w:pPr>
        <w:pStyle w:val="Heading3"/>
      </w:pPr>
      <w:r>
        <w:t xml:space="preserve">3.14.8　数据副产品与监控整合</w:t>
      </w:r>
    </w:p>
    <w:p>
      <w:pPr>
        <w:pStyle w:val="FirstParagraph"/>
      </w:pPr>
      <w:r>
        <w:t xml:space="preserve">控制系统运作依赖持续的数据流，这些数据在完成控制功能之后，是高价值的监控副产品——城市居民的出行时间、出行模式、停留地点，被系统持续记录，是配给监控体系最密集的行为数据来源之一。Muule步行跟随模式让颗粒度更细：不只是用户在哪里，而是用户在做什么，系统知道。</w:t>
      </w:r>
    </w:p>
    <w:p>
      <w:pPr>
        <w:pStyle w:val="BodyText"/>
      </w:pPr>
      <w:r>
        <w:t xml:space="preserve">在A2路径下，交通数据直接纳入社会管理系统，与AI情绪监测、配给消费记录整合，形成颗粒度极细的居民行为画像。管辖区席位操作员的屏幕只显示流量控制所需的聚合数据，原始数据流进入社会管理系统，不经过操作员这一层。</w:t>
      </w:r>
    </w:p>
    <w:p>
      <w:pPr>
        <w:pStyle w:val="BodyText"/>
      </w:pPr>
      <w:r>
        <w:t xml:space="preserve">在A1路径下，交通数据归属运营公司，法院判决设定了基本数据保护底线，政府获取需要授权。运营公司以「聚合形式」变现数据——保险定价、路段优化、广告推送。「不出售个人数据」和「以衍生形式使用个人数据」之间的边界，在2072年仍然是法律灰色地带。两套路径都高度渗透，区别在于渗透者是国家还是资本。</w:t>
      </w:r>
    </w:p>
    <w:bookmarkEnd w:id="140"/>
    <w:bookmarkStart w:id="141" w:name="中美两套体系的技术差异"/>
    <w:p>
      <w:pPr>
        <w:pStyle w:val="Heading3"/>
      </w:pPr>
      <w:r>
        <w:t xml:space="preserve">3.14.9　中美两套体系的技术差异</w:t>
      </w:r>
    </w:p>
    <w:p>
      <w:pPr>
        <w:pStyle w:val="FirstParagraph"/>
      </w:pPr>
      <w:r>
        <w:t xml:space="preserve">中美两套道路控制体系的底层通信协议互不兼容：两套系统在没有协调的情况下独立演化，加密通信层和位置认证机制各自开发，事实上形成互斥。2072年在接触面存在最低限度的转换协议：体系外车辆可以在对方体系的普通城市道路上以「访客模式」运行（速度上限更低，路径规划由访客方AI代理执行），但无法进入对方体系的全控高速。体系边界在地图上是可见的行政分界，在地面上是固定入口处的识别闸门。</w:t>
      </w:r>
    </w:p>
    <w:p>
      <w:pPr>
        <w:pStyle w:val="BodyText"/>
      </w:pPr>
      <w:r>
        <w:t xml:space="preserve">美国体系是分布式算法：控制逻辑在车端和路端共同执行，中心调度只处理路段级以上的规划，单节点失效不影响整体运作。中国体系是中心化调度：算法在云端执行，车端只接收指令，稳定状态下协调效率更高，但对中心节点的依赖更强。攻击中心调度节点是效率最高的破坏方式，中国安全设计把保护中心节点列为首要优先级，备份节点的地理分布是核心基础设施机密。</w:t>
      </w:r>
    </w:p>
    <w:p>
      <w:pPr>
        <w:pStyle w:val="BodyText"/>
      </w:pPr>
      <w:r>
        <w:t xml:space="preserve">路面电磁控制（磁阻节点）仅部署于入口加速段末端、出口减速段及紧急停车带，不在主路巡航段连续铺设。常规控制完全通过车辆无线通信实现；磁阻节点的作用是在这些速度过渡节点提供物理辅助制动，以及在惯性退出故障车辆时提供可控减速支撑，而非参与日常流量管理。这一设计大幅降低了系统基础设施成本和维护复杂度。</w:t>
      </w:r>
    </w:p>
    <w:bookmarkEnd w:id="141"/>
    <w:bookmarkStart w:id="142" w:name="演化脉络从人工驾驶到制度性冗余"/>
    <w:p>
      <w:pPr>
        <w:pStyle w:val="Heading3"/>
      </w:pPr>
      <w:r>
        <w:t xml:space="preserve">3.14.10　演化脉络：从人工驾驶到制度性冗余</w:t>
      </w:r>
    </w:p>
    <w:p>
      <w:pPr>
        <w:pStyle w:val="FirstParagraph"/>
      </w:pPr>
      <w:r>
        <w:t xml:space="preserve">全控高速的基础设施在2040年代随物流走廊经济化逐步铺设，普通城市道路的AI流量管理密度在2050年代随传感器成本下降而快速提升。到2058年，主要城市集群接入车辆比例超过90%，人工驾驶车辆成为城市道路上的统计异常。</w:t>
      </w:r>
    </w:p>
    <w:p>
      <w:pPr>
        <w:pStyle w:val="BodyText"/>
      </w:pPr>
      <w:r>
        <w:t xml:space="preserve">这个过渡的关键节点不是技术突破，而是保险精算的翻转。2049年前后，主要保险公司数据显示：城市道路上人工驾驶车辆的事故率，是接入AI控制车辆的十四到二十倍。保费差距的拉大使人工驾驶在经济上不可持续；同期，主要城市集群陆续立法要求新车强制接入。到2060年代，人工驾驶在城市集群内部已是行政许可事项，实践中申请量接近于零。</w:t>
      </w:r>
    </w:p>
    <w:p>
      <w:pPr>
        <w:pStyle w:val="BodyText"/>
      </w:pPr>
      <w:r>
        <w:t xml:space="preserve">操作员席位作为「人工审查节点」的制度化存在，是这条演化路径的最后一个保留物。它不需要技术理由，只需要政治理由——「人类仍在控制链上」的叙事，对不同路径下不同程度的公众不安全感都有安抚作用。预测认为这个岗位至少会维持到2090年代，届时控制链上的「人类」将是当年设计系统的AI的AI的设计者的后代——但制度上，人仍然在那个席位上，屏幕仍然亮着，六秒窗口仍然开放。</w:t>
      </w:r>
    </w:p>
    <w:bookmarkEnd w:id="142"/>
    <w:bookmarkStart w:id="143" w:name="高速体系的覆盖边界全控高速路段"/>
    <w:p>
      <w:pPr>
        <w:pStyle w:val="Heading3"/>
      </w:pPr>
      <w:r>
        <w:t xml:space="preserve">3.14.11　高速体系的覆盖边界：全控高速路段</w:t>
      </w:r>
    </w:p>
    <w:p>
      <w:pPr>
        <w:pStyle w:val="FirstParagraph"/>
      </w:pPr>
      <w:r>
        <w:t xml:space="preserve">高速道路控制体系的主要经济驱动力是物流，不是人流。物流车辆24小时均匀运行，道路利用率约70–80%；人流高峰集中、非高峰空闲，利用率约30–40%。全控高速路段的基础设施成本主要是通信控制系统、换电站建设和路面工程，不依赖全路段稀土磁材料，经济门槛比原感应供电方案大幅降低。换电站的部署密度（约每50km一处）是全控高速路段投资的主要变量，物流密度越高，摊薄成本越快，经济可行边界越宽。</w:t>
      </w:r>
    </w:p>
    <w:p>
      <w:pPr>
        <w:pStyle w:val="BodyText"/>
      </w:pPr>
      <w:r>
        <w:t xml:space="preserve">全控高速路段的形成逻辑因此从「城市集群人口密度」转变为「物流走廊货运密度」。主要物流走廊连接生产中心、港口和仓储枢纽，有时穿越人口相对稀少的区域，但货运量足以支撑投资。个人车辆是搭便车的次要用户——基础设施已为物流铺设，个人接入的边际成本极低。高速路的感官体验主要是货流，个人舱体是其中偶尔出现的小小嵌入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路段类型</w:t>
            </w:r>
          </w:p>
        </w:tc>
        <w:tc>
          <w:tcPr/>
          <w:p>
            <w:pPr>
              <w:pStyle w:val="Compact"/>
              <w:jc w:val="left"/>
            </w:pPr>
            <w:r>
              <w:rPr>
                <w:bCs/>
                <w:b/>
              </w:rPr>
              <w:t xml:space="preserve">覆盖可能性</w:t>
            </w:r>
          </w:p>
        </w:tc>
        <w:tc>
          <w:tcPr/>
          <w:p>
            <w:pPr>
              <w:pStyle w:val="Compact"/>
              <w:jc w:val="left"/>
            </w:pPr>
            <w:r>
              <w:rPr>
                <w:bCs/>
                <w:b/>
              </w:rPr>
              <w:t xml:space="preserve">经济驱动</w:t>
            </w:r>
          </w:p>
        </w:tc>
      </w:tr>
      <w:tr>
        <w:tc>
          <w:tcPr/>
          <w:p>
            <w:pPr>
              <w:pStyle w:val="Compact"/>
              <w:jc w:val="left"/>
            </w:pPr>
            <w:r>
              <w:t xml:space="preserve">主要物流走廊（港口-生产-仓储）</w:t>
            </w:r>
          </w:p>
        </w:tc>
        <w:tc>
          <w:tcPr/>
          <w:p>
            <w:pPr>
              <w:pStyle w:val="Compact"/>
              <w:jc w:val="left"/>
            </w:pPr>
            <w:r>
              <w:t xml:space="preserve">高，最先覆盖</w:t>
            </w:r>
          </w:p>
        </w:tc>
        <w:tc>
          <w:tcPr/>
          <w:p>
            <w:pPr>
              <w:pStyle w:val="Compact"/>
              <w:jc w:val="left"/>
            </w:pPr>
            <w:r>
              <w:t xml:space="preserve">货运24小时高密度，换电站回收期短</w:t>
            </w:r>
          </w:p>
        </w:tc>
      </w:tr>
      <w:tr>
        <w:tc>
          <w:tcPr/>
          <w:p>
            <w:pPr>
              <w:pStyle w:val="Compact"/>
              <w:jc w:val="left"/>
            </w:pPr>
            <w:r>
              <w:t xml:space="preserve">城市集群内城际走廊（≤150km）</w:t>
            </w:r>
          </w:p>
        </w:tc>
        <w:tc>
          <w:tcPr/>
          <w:p>
            <w:pPr>
              <w:pStyle w:val="Compact"/>
              <w:jc w:val="left"/>
            </w:pPr>
            <w:r>
              <w:t xml:space="preserve">高，与物流同步</w:t>
            </w:r>
          </w:p>
        </w:tc>
        <w:tc>
          <w:tcPr/>
          <w:p>
            <w:pPr>
              <w:pStyle w:val="Compact"/>
              <w:jc w:val="left"/>
            </w:pPr>
            <w:r>
              <w:t xml:space="preserve">人流物流叠加，换电站利用率最高</w:t>
            </w:r>
          </w:p>
        </w:tc>
      </w:tr>
      <w:tr>
        <w:tc>
          <w:tcPr/>
          <w:p>
            <w:pPr>
              <w:pStyle w:val="Compact"/>
              <w:jc w:val="left"/>
            </w:pPr>
            <w:r>
              <w:t xml:space="preserve">主要集群间走廊（150–500km）</w:t>
            </w:r>
          </w:p>
        </w:tc>
        <w:tc>
          <w:tcPr/>
          <w:p>
            <w:pPr>
              <w:pStyle w:val="Compact"/>
              <w:jc w:val="left"/>
            </w:pPr>
            <w:r>
              <w:t xml:space="preserve">中，第二阶段</w:t>
            </w:r>
          </w:p>
        </w:tc>
        <w:tc>
          <w:tcPr/>
          <w:p>
            <w:pPr>
              <w:pStyle w:val="Compact"/>
              <w:jc w:val="left"/>
            </w:pPr>
            <w:r>
              <w:t xml:space="preserve">货运量足够，中途换电站约3–10座</w:t>
            </w:r>
          </w:p>
        </w:tc>
      </w:tr>
      <w:tr>
        <w:tc>
          <w:tcPr/>
          <w:p>
            <w:pPr>
              <w:pStyle w:val="Compact"/>
              <w:jc w:val="left"/>
            </w:pPr>
            <w:r>
              <w:t xml:space="preserve">跨区域长途（&gt;500km低密度区）</w:t>
            </w:r>
          </w:p>
        </w:tc>
        <w:tc>
          <w:tcPr/>
          <w:p>
            <w:pPr>
              <w:pStyle w:val="Compact"/>
              <w:jc w:val="left"/>
            </w:pPr>
            <w:r>
              <w:t xml:space="preserve">低，经济不可行</w:t>
            </w:r>
          </w:p>
        </w:tc>
        <w:tc>
          <w:tcPr/>
          <w:p>
            <w:pPr>
              <w:pStyle w:val="Compact"/>
              <w:jc w:val="left"/>
            </w:pPr>
            <w:r>
              <w:t xml:space="preserve">货运量不足，换电站长期低利用率</w:t>
            </w:r>
          </w:p>
        </w:tc>
      </w:tr>
      <w:tr>
        <w:tc>
          <w:tcPr/>
          <w:p>
            <w:pPr>
              <w:pStyle w:val="Compact"/>
              <w:jc w:val="left"/>
            </w:pPr>
            <w:r>
              <w:t xml:space="preserve">小城镇连接道路</w:t>
            </w:r>
          </w:p>
        </w:tc>
        <w:tc>
          <w:tcPr/>
          <w:p>
            <w:pPr>
              <w:pStyle w:val="Compact"/>
              <w:jc w:val="left"/>
            </w:pPr>
            <w:r>
              <w:t xml:space="preserve">极低，永久空白</w:t>
            </w:r>
          </w:p>
        </w:tc>
        <w:tc>
          <w:tcPr/>
          <w:p>
            <w:pPr>
              <w:pStyle w:val="Compact"/>
              <w:jc w:val="left"/>
            </w:pPr>
            <w:r>
              <w:t xml:space="preserve">货运量和人流量均不足以支撑换电站投资</w:t>
            </w:r>
          </w:p>
        </w:tc>
      </w:tr>
    </w:tbl>
    <w:p>
      <w:pPr>
        <w:pStyle w:val="BodyText"/>
      </w:pPr>
      <w:r>
        <w:t xml:space="preserve">全控高速路段之间并不连通。从一个集群进入另一个集群的途中，可能有数百公里的低速区间——车辆自动退回低速电池模式，用户计划沿途换电节点。高速与低速的混合出行是正常状态，不是故障状态。跨集群长途优先考虑高铁载车模式——驶入高铁车厢，行驶中慢充，抵达后满电驶出，比连续低速行驶+多次换电更高效。</w:t>
      </w:r>
    </w:p>
    <w:p>
      <w:pPr>
        <w:pStyle w:val="BodyText"/>
      </w:pPr>
      <w:r>
        <w:t xml:space="preserve">Muule在这个货运框架里承担末端配送的最后一环：城市货运车辆把货物送至社区仓储点，Muule用货舱完成最后几百米的门到门配送。Muule是货运链的毛细血管末端，不是大批量接驳工具。</w:t>
      </w:r>
    </w:p>
    <w:p>
      <w:pPr>
        <w:pStyle w:val="BodyText"/>
      </w:pPr>
      <w:r>
        <w:t xml:space="preserve">全控高速路段的边界是肉眼可见的地理分界，进入时车辆状态突然改变，是多态社会最直观的物理体验。这条边界与物流走廊的经济边界高度重合，换电站密度是多态社会城市梯队最直观的空间标志。</w:t>
      </w:r>
    </w:p>
    <w:bookmarkEnd w:id="143"/>
    <w:bookmarkStart w:id="144" w:name="固定高速入口与出口"/>
    <w:p>
      <w:pPr>
        <w:pStyle w:val="Heading3"/>
      </w:pPr>
      <w:r>
        <w:t xml:space="preserve">3.14.12　固定高速入口与出口</w:t>
      </w:r>
    </w:p>
    <w:p>
      <w:pPr>
        <w:pStyle w:val="FirstParagraph"/>
      </w:pPr>
      <w:r>
        <w:t xml:space="preserve">高速道路控制系统设固定入口和出口节点，是车辆接入和退出的唯一通道。固定入口使道路系统能在车辆进入高速流量前完成全部必要检查，避免在行驶中引入不确定性窗口。</w:t>
      </w:r>
    </w:p>
    <w:p>
      <w:pPr>
        <w:pStyle w:val="BodyText"/>
      </w:pPr>
      <w:r>
        <w:rPr>
          <w:bCs/>
          <w:b/>
        </w:rPr>
        <w:t xml:space="preserve">入口功能。</w:t>
      </w:r>
      <w:r>
        <w:t xml:space="preserve">入口前设路缘变形区，用户下车站于车外，Muule在此静止完成四轮展开（约3秒），车体倾倒至半躺姿态后用户上车进入检查闸门。检查闸门确认：四轮形态锁定、车体倾倒锁定、通信接口建立、车辆ID和保险有效，整个过程约3–5秒。检查通过后进入自动换电区——收取当前状态电池并给出评估价记入计费账单，换入满电电池（短途换标准电池，跨集群长途换大容量电池，系统根据目的地自动建议），由道路系统控制，用户无需操作。换电完成后道路系统接管控制权，车辆加速并入主路巡航流，系统预留间隙无缝接入。</w:t>
      </w:r>
    </w:p>
    <w:p>
      <w:pPr>
        <w:pStyle w:val="BodyText"/>
      </w:pPr>
      <w:r>
        <w:rPr>
          <w:bCs/>
          <w:b/>
        </w:rPr>
        <w:t xml:space="preserve">出口功能。</w:t>
      </w:r>
      <w:r>
        <w:t xml:space="preserve">道路系统在出口匝道减速，车辆降至城市低速后退出系统控制，交还用户驾驶权。出口换电区进行换电操作：换出高速行驶后的电池并给出评估价，换入适合低速行驶的标准电池，与入口评估价合并进行统一计费结算。换电完成后用户可选择维持四轮形态在城市继续低速行驶，或在就近停放区静止收合辅助轮恢复两轮形态。出口磁阻节点辅助减速，使速度过渡更平滑。</w:t>
      </w:r>
    </w:p>
    <w:p>
      <w:pPr>
        <w:pStyle w:val="BodyText"/>
      </w:pPr>
      <w:r>
        <w:rPr>
          <w:bCs/>
          <w:b/>
        </w:rPr>
        <w:t xml:space="preserve">磁阻节点集中部署位置。</w:t>
      </w:r>
      <w:r>
        <w:t xml:space="preserve">入口加速段末端、出口减速段、紧急停车带入口、事故响应区。不在主路巡航段连续部署。</w:t>
      </w:r>
    </w:p>
    <w:p>
      <w:pPr>
        <w:pStyle w:val="BodyText"/>
      </w:pPr>
      <w:r>
        <w:rPr>
          <w:bCs/>
          <w:b/>
        </w:rPr>
        <w:t xml:space="preserve">双体系边界。</w:t>
      </w:r>
      <w:r>
        <w:t xml:space="preserve">固定入口在地理上是实体设施，使中美两套道路系统的边界在物理上可见。体系外车辆在入口被识别，引导至普通车道，不进入高速控制系统。</w:t>
      </w:r>
    </w:p>
    <w:bookmarkEnd w:id="144"/>
    <w:bookmarkStart w:id="145" w:name="道路控制安全性框架"/>
    <w:p>
      <w:pPr>
        <w:pStyle w:val="Heading3"/>
      </w:pPr>
      <w:r>
        <w:t xml:space="preserve">3.14.13　道路控制安全性框架</w:t>
      </w:r>
    </w:p>
    <w:p>
      <w:pPr>
        <w:pStyle w:val="FirstParagraph"/>
      </w:pPr>
      <w:r>
        <w:t xml:space="preserve">全道路控制体系下，事故的主要来源从「人的反应失误」转变为「系统失效」和「体系外闯入者」，安全框架的重点随之改变。接入体系内的车辆之间理论上不发生碰撞——系统在毫秒级时间内协调所有车辆的速度和间距，远超人类驾驶员的反应能力。</w:t>
      </w:r>
    </w:p>
    <w:bookmarkEnd w:id="145"/>
    <w:bookmarkStart w:id="146" w:name="安全层级"/>
    <w:p>
      <w:pPr>
        <w:pStyle w:val="Heading3"/>
      </w:pPr>
      <w:r>
        <w:t xml:space="preserve">3.14.14　安全层级</w:t>
      </w:r>
    </w:p>
    <w:p>
      <w:pPr>
        <w:pStyle w:val="FirstParagraph"/>
      </w:pPr>
      <w:r>
        <w:rPr>
          <w:bCs/>
          <w:b/>
        </w:rPr>
        <w:t xml:space="preserve">第一层：预防。</w:t>
      </w:r>
      <w:r>
        <w:t xml:space="preserve">系统正常运行时通过精确调度消除碰撞可能性。覆盖绝大多数运行时间，是主要安全机制。</w:t>
      </w:r>
    </w:p>
    <w:p>
      <w:pPr>
        <w:pStyle w:val="BodyText"/>
      </w:pPr>
      <w:r>
        <w:rPr>
          <w:bCs/>
          <w:b/>
        </w:rPr>
        <w:t xml:space="preserve">第二层：检测与响应。</w:t>
      </w:r>
      <w:r>
        <w:t xml:space="preserve">实时监测异常状态——车辆偏离轨迹、传感器失效、体系外闯入者（行人、动物、非接入车辆）。检测到异常后50毫秒内触发区域降速和清空程序。道路边界设物理隔离和传感器覆盖，闯入物体被检测后区域立即响应。</w:t>
      </w:r>
    </w:p>
    <w:p>
      <w:pPr>
        <w:pStyle w:val="BodyText"/>
      </w:pPr>
      <w:r>
        <w:rPr>
          <w:bCs/>
          <w:b/>
        </w:rPr>
        <w:t xml:space="preserve">第三层：隔离。</w:t>
      </w:r>
      <w:r>
        <w:t xml:space="preserve">局部故障发生时，故障区域与正常运行区域隔离，防止故障扩散。类似电网断路器逻辑——切断局部，保全整体。</w:t>
      </w:r>
    </w:p>
    <w:p>
      <w:pPr>
        <w:pStyle w:val="BodyText"/>
      </w:pPr>
      <w:r>
        <w:rPr>
          <w:bCs/>
          <w:b/>
        </w:rPr>
        <w:t xml:space="preserve">第四层：降级运行。</w:t>
      </w:r>
      <w:r>
        <w:t xml:space="preserve">系统部分失效时，受影响区域降速至约60公里/小时继续运行，而非完全停止。完全停止在高密度路网上可能造成大范围拥堵，本身也是安全风险。失效安全（fail-safe）优先于失效运行（fail-operational）。</w:t>
      </w:r>
    </w:p>
    <w:p>
      <w:pPr>
        <w:pStyle w:val="BodyText"/>
      </w:pPr>
      <w:r>
        <w:rPr>
          <w:bCs/>
          <w:b/>
        </w:rPr>
        <w:t xml:space="preserve">第五层：惯性退出。</w:t>
      </w:r>
      <w:r>
        <w:t xml:space="preserve">车辆自身检测到故障时，不立即制动，而是利用惯性安全退出道路系统。车辆切断驱动力，道路系统协调后方车辆拉大间距，将故障车辆引导至最近出口匝道或紧急停车带——这两处均设有节点磁阻，提供可控减速辅助滑行停止。主路巡航段不设连续磁阻，惯性是资产而非问题，逻辑与飞机发动机故障后利用剩余高度找最近跑道相同。</w:t>
      </w:r>
    </w:p>
    <w:bookmarkEnd w:id="146"/>
    <w:bookmarkStart w:id="147" w:name="用户在车内的决策权"/>
    <w:p>
      <w:pPr>
        <w:pStyle w:val="Heading3"/>
      </w:pPr>
      <w:r>
        <w:t xml:space="preserve">3.14.15　用户在车内的决策权</w:t>
      </w:r>
    </w:p>
    <w:p>
      <w:pPr>
        <w:pStyle w:val="FirstParagraph"/>
      </w:pPr>
      <w:r>
        <w:t xml:space="preserve">高速行驶时用户放弃驾驶控制权，但保留导航决策权。修改目的地的请求发给道路系统，系统计算最优路径后执行——用户决定去哪里，系统决定怎么去。</w:t>
      </w:r>
    </w:p>
    <w:p>
      <w:pPr>
        <w:pStyle w:val="BodyText"/>
      </w:pPr>
      <w:r>
        <w:t xml:space="preserve">故障退出过程中，用户可通过眼镜模块实时看到车辆状态和系统正在执行的退出路径，并可指定最近的服务站、换电站或安全区域作为停靠目标，系统在惯性退出的路径规划中优先考虑用户指定目的地（在物理可行范围内）。用户不是被动的受害者，而是有参与感的决策者——这是安全体验设计的核心原则。</w:t>
      </w:r>
    </w:p>
    <w:bookmarkEnd w:id="147"/>
    <w:bookmarkStart w:id="148" w:name="网络安全与双体系隔离"/>
    <w:p>
      <w:pPr>
        <w:pStyle w:val="Heading3"/>
      </w:pPr>
      <w:r>
        <w:t xml:space="preserve">3.14.16　网络安全与双体系隔离</w:t>
      </w:r>
    </w:p>
    <w:p>
      <w:pPr>
        <w:pStyle w:val="FirstParagraph"/>
      </w:pPr>
      <w:r>
        <w:t xml:space="preserve">道路控制系统是关键基础设施，网络安全攻击是理论上最严重的威胁。在双体系格局里，中美两套道路控制系统互不兼容，各自把对方体系的车辆视为「体系外闯入者」处理，形成物理隔离的安全边界。过渡区域（接入体系与未接入体系之间的匝道、城乡结合部）是混合交通最复杂的安全挑战，需要专门的过渡管理机制和降速缓冲区。</w:t>
      </w:r>
    </w:p>
    <w:bookmarkEnd w:id="148"/>
    <w:bookmarkStart w:id="149" w:name="muule的最小自主安全能力"/>
    <w:p>
      <w:pPr>
        <w:pStyle w:val="Heading3"/>
      </w:pPr>
      <w:r>
        <w:t xml:space="preserve">3.14.17　Muule的最小自主安全能力</w:t>
      </w:r>
    </w:p>
    <w:p>
      <w:pPr>
        <w:pStyle w:val="FirstParagraph"/>
      </w:pPr>
      <w:r>
        <w:t xml:space="preserve">高速模式下车辆移交控制权后，自身保留三项独立能力：向道路系统持续报告自身状态的传感器；在道路系统通信中断超过200毫秒时自动触发惯性退出程序；以及在极端情况下（系统完全失联）触发紧急制动的独立回路。这三项能力在任何情况下都不能被道路系统指令覆盖——它们是车辆对用户的最后承诺。</w:t>
      </w:r>
    </w:p>
    <w:bookmarkEnd w:id="149"/>
    <w:bookmarkStart w:id="150" w:name="与多态社会的对应"/>
    <w:p>
      <w:pPr>
        <w:pStyle w:val="Heading3"/>
      </w:pPr>
      <w:r>
        <w:t xml:space="preserve">3.14.18　与多态社会的对应</w:t>
      </w:r>
    </w:p>
    <w:p>
      <w:pPr>
        <w:pStyle w:val="FirstParagraph"/>
      </w:pPr>
      <w:r>
        <w:t xml:space="preserve">同一台车在不同基础设施密度下自然呈现不同功能形态。高速体系是物的世界，以物流为主要经济驱动；慢生活社区是人的世界，以本地关系和步行节律为主。两者不只是速度不同，服务对象根本不同。</w:t>
      </w:r>
    </w:p>
    <w:p>
      <w:pPr>
        <w:pStyle w:val="BodyText"/>
      </w:pPr>
      <w:r>
        <w:rPr>
          <w:bCs/>
          <w:b/>
        </w:rPr>
        <w:t xml:space="preserve">全控高速路段内（物流走廊与城市集群核心区）。</w:t>
      </w:r>
      <w:r>
        <w:t xml:space="preserve">步行跟随（两轮）、城市行车（四轮）、高速全自动（四轮），三种状态无缝衔接。换电站密集，高速入口随处可达。高速路主要是货流，个人舱体是偶尔出现的嵌入者。进入全控高速路段边界时车辆状态突然改变，是多态社会最直观的物理体验。</w:t>
      </w:r>
    </w:p>
    <w:p>
      <w:pPr>
        <w:pStyle w:val="BodyText"/>
      </w:pPr>
      <w:r>
        <w:rPr>
          <w:bCs/>
          <w:b/>
        </w:rPr>
        <w:t xml:space="preserve">全控高速路段之间（集群间过渡区）。</w:t>
      </w:r>
      <w:r>
        <w:t xml:space="preserve">跨集群长途在全控高速路段之间有数百公里低速区间，高速与低速混合出行是正常状态。跨集群长途优先考虑高铁载车模式——驶入高铁车厢，行驶中慢充，抵达后满电驶出，比连续低速行驶更高效。</w:t>
      </w:r>
    </w:p>
    <w:p>
      <w:pPr>
        <w:pStyle w:val="BodyText"/>
      </w:pPr>
      <w:r>
        <w:rPr>
          <w:bCs/>
          <w:b/>
        </w:rPr>
        <w:t xml:space="preserve">全控高速路段之外（小城镇与农村）。</w:t>
      </w:r>
      <w:r>
        <w:t xml:space="preserve">永久低速电池模式。本地产出萎缩、货运量与人流量均不足以支撑投资，形成自我强化的循环。远程出行依赖计划换电节点或携带备用电池。这些区域不是「等待接入」，而是在一个永久的低速平衡态里。</w:t>
      </w:r>
    </w:p>
    <w:p>
      <w:pPr>
        <w:pStyle w:val="BodyText"/>
      </w:pPr>
      <w:r>
        <w:rPr>
          <w:bCs/>
          <w:b/>
        </w:rPr>
        <w:t xml:space="preserve">电网边界之外（被遗忘地带）。</w:t>
      </w:r>
      <w:r>
        <w:t xml:space="preserve">连换电站都没有。车辆退化为手动推行的两轮载具。</w:t>
      </w:r>
    </w:p>
    <w:p>
      <w:pPr>
        <w:pStyle w:val="BodyText"/>
      </w:pPr>
      <w:r>
        <w:t xml:space="preserve">全控高速路段的边界与物流走廊的经济边界高度重合，交通基础设施成为多态社会最具体的空间指标：你在全控高速路段里，你就在物流文明层；你在岛外，物流只到社区门口的换电站，不再往里走。</w:t>
      </w:r>
    </w:p>
    <w:p>
      <w:pPr>
        <w:pStyle w:val="BodyText"/>
      </w:pPr>
      <w:r>
        <w:t xml:space="preserve">慢生活社区的物质基础因此精确：它是一种只有低速电池模式、需要计划充电节点、无法随时随地出发的存在状态。对出行的计划性要求本身是慢生活社区日常节律的一部分——在能量有限的条件下，每次出门都需要预先思考。这种预先思考的习惯，塑造了与高速体系完全不同的时间感和空间感。</w:t>
      </w:r>
    </w:p>
    <w:bookmarkEnd w:id="150"/>
    <w:bookmarkEnd w:id="151"/>
    <w:bookmarkStart w:id="156" w:name="海洋运输体系"/>
    <w:p>
      <w:pPr>
        <w:pStyle w:val="Heading2"/>
      </w:pPr>
      <w:r>
        <w:t xml:space="preserve">3.15　海洋运输体系</w:t>
      </w:r>
    </w:p>
    <w:p>
      <w:pPr>
        <w:pStyle w:val="FirstParagraph"/>
      </w:pPr>
      <w:r>
        <w:t xml:space="preserve">2072年的海洋运输由三个层级构成：传统远洋货运（大宗低附加值货物的主干）、地效应飞行器（高价值时效货物的速度层）、以及深海采矿城镇的专用供应链。三层在运营逻辑、覆盖区域、服务对象上各有定位，共同构成陆地之外全球物流的完整图景。</w:t>
      </w:r>
    </w:p>
    <w:bookmarkStart w:id="152" w:name="传统远洋货运效率革新结构延续"/>
    <w:p>
      <w:pPr>
        <w:pStyle w:val="Heading3"/>
      </w:pPr>
      <w:r>
        <w:t xml:space="preserve">3.15.1　传统远洋货运：效率革新，结构延续</w:t>
      </w:r>
    </w:p>
    <w:p>
      <w:pPr>
        <w:pStyle w:val="FirstParagraph"/>
      </w:pPr>
      <w:r>
        <w:t xml:space="preserve">远洋集装箱运输在2072年仍是全球大宗货物的主干。聚变电力使港口能耗大幅下降，岸吊、堆场、冷链系统全面电气化，港口综合周转效率较2030年代提升约40%。船队沿两条路线演进：新造船自2040年代起全面转向氢燃料或氨燃料推进，利用聚变电解制氢的低成本优势；存量重燃油船通过碳捕获装置延续服务，预计2070年代基本完成更替。</w:t>
      </w:r>
    </w:p>
    <w:p>
      <w:pPr>
        <w:pStyle w:val="BodyText"/>
      </w:pPr>
      <w:r>
        <w:t xml:space="preserve">固定港口对港口的短程高密度航线（东亚–东南亚沿海、北海–波罗的海）已部署全自动无人货船。洲际航线采用”监督式自动驾驶”——AI负责导航、避碰、气象路由，少量船员在船负责系统监督和意外处置。规模天花板受苏伊士和巴拿马运河物理约束，主力超大型集装箱船约25,000–28,000 TEU。传统海运保持竞争力的货物类型：矿石、粮食、化工品、液化气——对时效不敏感、批量极大、单位价值低的品类。</w:t>
      </w:r>
    </w:p>
    <w:bookmarkEnd w:id="152"/>
    <w:bookmarkStart w:id="153" w:name="地效应飞行器大宗货物的速度层"/>
    <w:p>
      <w:pPr>
        <w:pStyle w:val="Heading3"/>
      </w:pPr>
      <w:r>
        <w:t xml:space="preserve">3.15.2　地效应飞行器：大宗货物的速度层</w:t>
      </w:r>
    </w:p>
    <w:p>
      <w:pPr>
        <w:pStyle w:val="FirstParagraph"/>
      </w:pPr>
      <w:r>
        <w:t xml:space="preserve">地效应飞行器（Wing-In-Ground effect craft，地效应飞行器（WIG））在2072年完成从军事试验到商业化的转型。运行原理：利用近水面（2–20米高度）的气动增升效应，此高度所需升力功率仅为同等速度普通飞机的30–50%，是地效飞行的效率来源。</w:t>
      </w:r>
    </w:p>
    <w:p>
      <w:pPr>
        <w:pStyle w:val="BodyText"/>
      </w:pPr>
      <w:r>
        <w:t xml:space="preserve">2072年商业主力型核心参数：速度280–420 km/h（传统货轮的6–8倍）；载重主力型800–2,000吨，重型型可达3,500吨；飞行高度2–20米（随海况上限动态调整）；续航4,000–6,000 km（无补给单次）；燃料：合成航煤（SAF，聚变电力费托合成），部分重型型使用液氢；海况限制：有效波高≤3.5米（约蒲福4–5级）正常运营，超限后返港或待机；起降设施：专用斜坡式登滩坡道，可在现有港口扩建区建设，不需传统机场跑道。</w:t>
      </w:r>
    </w:p>
    <w:p>
      <w:pPr>
        <w:pStyle w:val="BodyText"/>
      </w:pPr>
      <w:r>
        <w:t xml:space="preserve">竞争位置：比货轮快6–8倍，比同等运力货运飞机燃耗低约65%。被其压缩的市场：电子元件、医疗物资、小批量高附加值制造品、时效性食品——聚变前时代依赖空运的货物，2072年大部分转入地效应飞行器。洲际大洋风浪常超运营上限，跨洲际低价值大宗货物仍由传统货轮承担。主要航线：东亚–东南亚沿海走廊、北海–波罗的海、墨西哥湾–美国东海岸、地中海（欧非之间）。</w:t>
      </w:r>
    </w:p>
    <w:bookmarkEnd w:id="153"/>
    <w:bookmarkStart w:id="154" w:name="深海城镇供应链极端环境下的三层物流"/>
    <w:p>
      <w:pPr>
        <w:pStyle w:val="Heading3"/>
      </w:pPr>
      <w:r>
        <w:t xml:space="preserve">3.15.3　深海城镇供应链：极端环境下的三层物流</w:t>
      </w:r>
    </w:p>
    <w:p>
      <w:pPr>
        <w:pStyle w:val="FirstParagraph"/>
      </w:pPr>
      <w:r>
        <w:t xml:space="preserve">深海采矿城镇（水深1,500–4,500米，数百至数千名技术人员常驻）的物资保障是海洋物流中技术要求最高的一层。城镇既无法依赖常规港口，又需要持续供应设备零件、食物、医疗物资和人员轮换。供应链由三层叠加组成，各有不同的时效和载量定位。</w:t>
      </w:r>
    </w:p>
    <w:p>
      <w:pPr>
        <w:pStyle w:val="BodyText"/>
      </w:pPr>
      <w:r>
        <w:t xml:space="preserve">主干层——专用深海补给船：每2–3周一次大宗物资补给。补给船配备动力定位系统，可在无锚地海域悬停；物资通过水下对接通道直接卸入城镇物资舱，不受海况影响。单次补给量可达数百吨，同时承担设备大修零件和长期轮换人员输送，是城镇的物资基石。</w:t>
      </w:r>
    </w:p>
    <w:p>
      <w:pPr>
        <w:pStyle w:val="BodyText"/>
      </w:pPr>
      <w:r>
        <w:t xml:space="preserve">应急层——STOL与重型直升机：城镇上方设有动力定位水面浮台，配置STOL起降平台。用于：急救医疗转运（器官移植、重症手术的时间窗口以小时计）；专家技术人员快速支援（无法等待补给船窗口的紧急技术故障）；小批量高价值零件紧急补给（精密传感器、控制芯片）。STOL从最近的陆地基地或离岸浮台起飞，单程约45–120分钟。</w:t>
      </w:r>
    </w:p>
    <w:p>
      <w:pPr>
        <w:pStyle w:val="BodyText"/>
      </w:pPr>
      <w:r>
        <w:t xml:space="preserve">点对点层——自主水下运载器（AUV货运）：高价值小批量物资的水下直送通道。AUV从最近深海节点沿海底预设航道自主导航至目标城镇，不需要海面操作窗口，不受恶劣海况影响。典型载重50–500 kg，速度6–15节，适合密度高、体积小、价值高的货物。2072年AUV货运已覆盖固定高密度航线，全域点播式服务尚在规模化阶段。</w:t>
      </w:r>
    </w:p>
    <w:bookmarkEnd w:id="154"/>
    <w:bookmarkStart w:id="155" w:name="补给浮台深海经济的物流节点"/>
    <w:p>
      <w:pPr>
        <w:pStyle w:val="Heading3"/>
      </w:pPr>
      <w:r>
        <w:t xml:space="preserve">3.15.4　补给浮台：深海经济的物流节点</w:t>
      </w:r>
    </w:p>
    <w:p>
      <w:pPr>
        <w:pStyle w:val="FirstParagraph"/>
      </w:pPr>
      <w:r>
        <w:t xml:space="preserve">深海采矿经济催生了一种特殊的中间基础设施：战略海域的补给浮台（Supply Hub Platform）。这些浮台本身不采矿，而是聚集备用零件库存、轻型维修能力、STOL停机坪和合成燃料储备，服务周围300–500 km海域内的多个深海城镇。对于深海城镇工作者，补给浮台也是返回陆地前唯一可能的”过渡停留点”——介于极度隔绝的深海和喧嚣的港口城市之间的中间存在，是深海经济体系的物流毛细血管。</w:t>
      </w:r>
    </w:p>
    <w:bookmarkEnd w:id="155"/>
    <w:bookmarkEnd w:id="156"/>
    <w:bookmarkStart w:id="165" w:name="航空交通体系"/>
    <w:p>
      <w:pPr>
        <w:pStyle w:val="Heading2"/>
      </w:pPr>
      <w:r>
        <w:t xml:space="preserve">3.16　航空交通体系</w:t>
      </w:r>
    </w:p>
    <w:p>
      <w:pPr>
        <w:pStyle w:val="FirstParagraph"/>
      </w:pPr>
      <w:r>
        <w:t xml:space="preserve">货运总览（3.18节）里的「空运」行处理的是货运视角下的航空定位——被地效应货轮压缩后退守极紧急小批量的利基。旅客航空和末梢连通航空是两个性质不同的需求，需要分别说明。</w:t>
      </w:r>
    </w:p>
    <w:bookmarkStart w:id="157" w:name="常规旅客航空无可替代的长距离主干"/>
    <w:p>
      <w:pPr>
        <w:pStyle w:val="Heading3"/>
      </w:pPr>
      <w:r>
        <w:t xml:space="preserve">3.16.1　常规旅客航空：无可替代的长距离主干</w:t>
      </w:r>
    </w:p>
    <w:p>
      <w:pPr>
        <w:pStyle w:val="FirstParagraph"/>
      </w:pPr>
      <w:r>
        <w:t xml:space="preserve">大中城市集群的旅客航空在2072年继续作为洲际和城市间长途出行的核心基础设施存在，没有任何技术发展足以替代它。地效应货轮压缩的是货运空运，不是旅客航空——旅客需要的速度（洲际6–12小时）和地效应货轮的运行逻辑（沿海低空、气象窗口依赖）根本不在同一个服务范畴。高铁在1,000公里以下的走廊里对旅客航空有真实的竞争力，但洲际距离和无高铁覆盖的跨海、跨地形走廊仍然完全属于航空。</w:t>
      </w:r>
    </w:p>
    <w:p>
      <w:pPr>
        <w:pStyle w:val="BodyText"/>
      </w:pPr>
      <w:r>
        <w:t xml:space="preserve">2072年旅客航空的核心变化在燃料，不在需求结构。合成航煤（SAF）是聚变电力费托合成的成熟工业品，化学性质与传统航空煤油完全相同，现有发动机直接使用，构成封闭碳循环，接近零排放。机场周边是2072年合成燃料地面基础设施最完整的节点——航空是合成燃料最大的单一需求方，这个需求使机场的燃料补给体系在电动化浪潮中保持完整，不受地面燃油网络侵蚀的影响。</w:t>
      </w:r>
    </w:p>
    <w:p>
      <w:pPr>
        <w:pStyle w:val="BodyText"/>
      </w:pPr>
      <w:r>
        <w:t xml:space="preserve">自动化程度是另一个显著变化。飞行员的角色在2060年代已从主动操控演化为监督决策，AI系统处理巡航、天气绕飞、着陆程序的绝大部分，人类飞行员在位主要是制度性要求和异常处置。地面服务、登机程序、行李系统高度自动化，人工操作退缩到系统异常和乘客特殊需求的例外处理。</w:t>
      </w:r>
    </w:p>
    <w:bookmarkEnd w:id="157"/>
    <w:bookmarkStart w:id="158" w:name="城际支线航空高铁边界之外的中距离填补"/>
    <w:p>
      <w:pPr>
        <w:pStyle w:val="Heading3"/>
      </w:pPr>
      <w:r>
        <w:t xml:space="preserve">3.16.2　城际支线航空：高铁边界之外的中距离填补</w:t>
      </w:r>
    </w:p>
    <w:p>
      <w:pPr>
        <w:pStyle w:val="FirstParagraph"/>
      </w:pPr>
      <w:r>
        <w:t xml:space="preserve">高铁在A1/A2体系主要城市集群走廊的竞争力强于航空，但高铁网络的覆盖是选择性的——投资回报门槛使它沿人口和货运密集走廊铺设，穿越低密度地形、跨海、跨山地的中距离连通依然属于支线航空的服务范畴。</w:t>
      </w:r>
    </w:p>
    <w:p>
      <w:pPr>
        <w:pStyle w:val="BodyText"/>
      </w:pPr>
      <w:r>
        <w:t xml:space="preserve">支线航空在2072年正处于快速电动化的过程中。50至150座规模的涡桨和窄体客机，500公里以下的航程，是电动化技术在商业航空里最先突破的场景——电池能量密度到2072年已足以支撑这个距离范围内的纯电或混动运行，合成燃料在长端补充。这个技术成熟度使支线航空在2072年处于电动化转型的前沿，机队结构比干线航空更新，运营成本显著下降。</w:t>
      </w:r>
    </w:p>
    <w:bookmarkEnd w:id="158"/>
    <w:bookmarkStart w:id="159" w:name="stol与evtol末梢连通的填补层"/>
    <w:p>
      <w:pPr>
        <w:pStyle w:val="Heading3"/>
      </w:pPr>
      <w:r>
        <w:t xml:space="preserve">3.16.3　STOL与eVTOL：末梢连通的填补层</w:t>
      </w:r>
    </w:p>
    <w:p>
      <w:pPr>
        <w:pStyle w:val="FirstParagraph"/>
      </w:pPr>
      <w:r>
        <w:t xml:space="preserve">短距起降飞机（短距起降飞行器（STOL））和电动垂直起降飞机（电动垂直起降飞行器（eVTOL））在2072年填补的是传统航空基础设施门槛太高、地面交通又覆盖不到的地理末梢。它的出现动机不是城市退化或交流需求下降——城市集群繁荣如常，传统航空也在正常运转——而是多态社会地理分化的另一个交通层的自然延伸。</w:t>
      </w:r>
    </w:p>
    <w:p>
      <w:pPr>
        <w:pStyle w:val="BodyText"/>
      </w:pPr>
      <w:r>
        <w:t xml:space="preserve">传统机场的投资门槛是结构性的：2,000米以上跑道、助航灯光系统、管制塔台、候机楼、消防和应急设施，最低造价换算到2072年的购买力约在1至3亿美元以上，服务人口通常需要超过10万才能有合理的商业回报。这个门槛使慢生活社区（几千至几万人口）永久排除在传统航空服务范围之外，无论投资意愿如何。</w:t>
      </w:r>
    </w:p>
    <w:p>
      <w:pPr>
        <w:pStyle w:val="BodyText"/>
      </w:pPr>
      <w:r>
        <w:t xml:space="preserve">STOL和eVTOL的门槛结构完全不同：STOL需要200至400米的平整地面，eVTOL需要的只是一块停机坪，造价可以低至数百万美元，且完全电动驱动，不依赖合成燃料补给链。这使它们可以服务传统航空永远无法覆盖的末梢节点。</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航空层级</w:t>
            </w:r>
          </w:p>
        </w:tc>
        <w:tc>
          <w:tcPr/>
          <w:p>
            <w:pPr>
              <w:pStyle w:val="Compact"/>
              <w:jc w:val="left"/>
            </w:pPr>
            <w:r>
              <w:rPr>
                <w:bCs/>
                <w:b/>
              </w:rPr>
              <w:t xml:space="preserve">主要需求</w:t>
            </w:r>
          </w:p>
        </w:tc>
        <w:tc>
          <w:tcPr/>
          <w:p>
            <w:pPr>
              <w:pStyle w:val="Compact"/>
              <w:jc w:val="left"/>
            </w:pPr>
            <w:r>
              <w:rPr>
                <w:bCs/>
                <w:b/>
              </w:rPr>
              <w:t xml:space="preserve">技术特征</w:t>
            </w:r>
          </w:p>
        </w:tc>
        <w:tc>
          <w:tcPr/>
          <w:p>
            <w:pPr>
              <w:pStyle w:val="Compact"/>
              <w:jc w:val="left"/>
            </w:pPr>
            <w:r>
              <w:rPr>
                <w:bCs/>
                <w:b/>
              </w:rPr>
              <w:t xml:space="preserve">燃料/能源</w:t>
            </w:r>
          </w:p>
        </w:tc>
        <w:tc>
          <w:tcPr/>
          <w:p>
            <w:pPr>
              <w:pStyle w:val="Compact"/>
              <w:jc w:val="left"/>
            </w:pPr>
            <w:r>
              <w:rPr>
                <w:bCs/>
                <w:b/>
              </w:rPr>
              <w:t xml:space="preserve">2072年地位</w:t>
            </w:r>
          </w:p>
        </w:tc>
      </w:tr>
      <w:tr>
        <w:tc>
          <w:tcPr/>
          <w:p>
            <w:pPr>
              <w:pStyle w:val="Compact"/>
              <w:jc w:val="left"/>
            </w:pPr>
            <w:r>
              <w:t xml:space="preserve">常规旅客航空 （干线/洲际）</w:t>
            </w:r>
          </w:p>
        </w:tc>
        <w:tc>
          <w:tcPr/>
          <w:p>
            <w:pPr>
              <w:pStyle w:val="Compact"/>
              <w:jc w:val="left"/>
            </w:pPr>
            <w:r>
              <w:t xml:space="preserve">城市集群间、跨洲际人员往来 商务、高端旅游、洲际学术交流</w:t>
            </w:r>
          </w:p>
        </w:tc>
        <w:tc>
          <w:tcPr/>
          <w:p>
            <w:pPr>
              <w:pStyle w:val="Compact"/>
              <w:jc w:val="left"/>
            </w:pPr>
            <w:r>
              <w:t xml:space="preserve">现有机场基础设施延续 宽体、窄体喷射客机 自动化程度大幅提升</w:t>
            </w:r>
          </w:p>
        </w:tc>
        <w:tc>
          <w:tcPr/>
          <w:p>
            <w:pPr>
              <w:pStyle w:val="Compact"/>
              <w:jc w:val="left"/>
            </w:pPr>
            <w:r>
              <w:t xml:space="preserve">合成航煤（SAF） 聚变电力费托合成 封闭碳循环，接近零排放</w:t>
            </w:r>
          </w:p>
        </w:tc>
        <w:tc>
          <w:tcPr/>
          <w:p>
            <w:pPr>
              <w:pStyle w:val="Compact"/>
              <w:jc w:val="left"/>
            </w:pPr>
            <w:r>
              <w:t xml:space="preserve">核心主干，无替代技术 机场是合成燃料最大 地面补给节点</w:t>
            </w:r>
          </w:p>
        </w:tc>
      </w:tr>
      <w:tr>
        <w:tc>
          <w:tcPr/>
          <w:p>
            <w:pPr>
              <w:pStyle w:val="Compact"/>
              <w:jc w:val="left"/>
            </w:pPr>
            <w:r>
              <w:t xml:space="preserve">城际支线航空 （500km以下）</w:t>
            </w:r>
          </w:p>
        </w:tc>
        <w:tc>
          <w:tcPr/>
          <w:p>
            <w:pPr>
              <w:pStyle w:val="Compact"/>
              <w:jc w:val="left"/>
            </w:pPr>
            <w:r>
              <w:t xml:space="preserve">中等城市之间、城市集群 与周边中型城市的定期航班</w:t>
            </w:r>
          </w:p>
        </w:tc>
        <w:tc>
          <w:tcPr/>
          <w:p>
            <w:pPr>
              <w:pStyle w:val="Compact"/>
              <w:jc w:val="left"/>
            </w:pPr>
            <w:r>
              <w:t xml:space="preserve">50–150座涡桨或混合动力 电池+合成燃料混动 在电动化边界进行</w:t>
            </w:r>
          </w:p>
        </w:tc>
        <w:tc>
          <w:tcPr/>
          <w:p>
            <w:pPr>
              <w:pStyle w:val="Compact"/>
              <w:jc w:val="left"/>
            </w:pPr>
            <w:r>
              <w:t xml:space="preserve">混动：短程电池为主 长程合成燃料补充</w:t>
            </w:r>
          </w:p>
        </w:tc>
        <w:tc>
          <w:tcPr/>
          <w:p>
            <w:pPr>
              <w:pStyle w:val="Compact"/>
              <w:jc w:val="left"/>
            </w:pPr>
            <w:r>
              <w:t xml:space="preserve">高铁竞争压缩但未消灭 无高铁覆盖走廊仍有需求 机型快速电动化</w:t>
            </w:r>
          </w:p>
        </w:tc>
      </w:tr>
      <w:tr>
        <w:tc>
          <w:tcPr/>
          <w:p>
            <w:pPr>
              <w:pStyle w:val="Compact"/>
              <w:jc w:val="left"/>
            </w:pPr>
            <w:r>
              <w:t xml:space="preserve">空运货运 （极紧急小批量）</w:t>
            </w:r>
          </w:p>
        </w:tc>
        <w:tc>
          <w:tcPr/>
          <w:p>
            <w:pPr>
              <w:pStyle w:val="Compact"/>
              <w:jc w:val="left"/>
            </w:pPr>
            <w:r>
              <w:t xml:space="preserve">医疗器官、急救药品 高时效小批量跨洲际</w:t>
            </w:r>
          </w:p>
        </w:tc>
        <w:tc>
          <w:tcPr/>
          <w:p>
            <w:pPr>
              <w:pStyle w:val="Compact"/>
              <w:jc w:val="left"/>
            </w:pPr>
            <w:r>
              <w:t xml:space="preserve">现有货机平台 被地效应货轮大幅压缩</w:t>
            </w:r>
          </w:p>
        </w:tc>
        <w:tc>
          <w:tcPr/>
          <w:p>
            <w:pPr>
              <w:pStyle w:val="Compact"/>
              <w:jc w:val="left"/>
            </w:pPr>
            <w:r>
              <w:t xml:space="preserve">合成航煤</w:t>
            </w:r>
          </w:p>
        </w:tc>
        <w:tc>
          <w:tcPr/>
          <w:p>
            <w:pPr>
              <w:pStyle w:val="Compact"/>
              <w:jc w:val="left"/>
            </w:pPr>
            <w:r>
              <w:t xml:space="preserve">退守利基 （已有设定）</w:t>
            </w:r>
          </w:p>
        </w:tc>
      </w:tr>
      <w:tr>
        <w:tc>
          <w:tcPr/>
          <w:p>
            <w:pPr>
              <w:pStyle w:val="Compact"/>
              <w:jc w:val="left"/>
            </w:pPr>
            <w:r>
              <w:t xml:space="preserve">STOL / eVTOL （末梢连通）</w:t>
            </w:r>
          </w:p>
        </w:tc>
        <w:tc>
          <w:tcPr/>
          <w:p>
            <w:pPr>
              <w:pStyle w:val="Compact"/>
              <w:jc w:val="left"/>
            </w:pPr>
            <w:r>
              <w:t xml:space="preserve">慢生活社区紧急医疗转运 深海城镇补给与人员轮换 山地海岛地形定期服务 城市集群内部快速点对点</w:t>
            </w:r>
          </w:p>
        </w:tc>
        <w:tc>
          <w:tcPr/>
          <w:p>
            <w:pPr>
              <w:pStyle w:val="Compact"/>
              <w:jc w:val="left"/>
            </w:pPr>
            <w:r>
              <w:t xml:space="preserve">起降200–400米或垂直起降 20–50座或小型 电动驱动为主 不依赖传统机场跑道</w:t>
            </w:r>
          </w:p>
        </w:tc>
        <w:tc>
          <w:tcPr/>
          <w:p>
            <w:pPr>
              <w:pStyle w:val="Compact"/>
              <w:jc w:val="left"/>
            </w:pPr>
            <w:r>
              <w:t xml:space="preserve">电动（电池） 短程：纯电 中程：电池+合成燃料</w:t>
            </w:r>
          </w:p>
        </w:tc>
        <w:tc>
          <w:tcPr/>
          <w:p>
            <w:pPr>
              <w:pStyle w:val="Compact"/>
              <w:jc w:val="left"/>
            </w:pPr>
            <w:r>
              <w:t xml:space="preserve">填补传统航空与 地面交通之间的末梢 深海城镇航空甲板 已有设定的技术基础</w:t>
            </w:r>
          </w:p>
        </w:tc>
      </w:tr>
    </w:tbl>
    <w:bookmarkEnd w:id="159"/>
    <w:bookmarkStart w:id="160" w:name="stol的四个真实场景"/>
    <w:p>
      <w:pPr>
        <w:pStyle w:val="Heading3"/>
      </w:pPr>
      <w:r>
        <w:t xml:space="preserve">3.16.4　STOL的四个真实场景</w:t>
      </w:r>
    </w:p>
    <w:p>
      <w:pPr>
        <w:pStyle w:val="FirstParagraph"/>
      </w:pPr>
      <w:r>
        <w:t xml:space="preserve">偏远社区医疗紧急转运是最具说服力的场景。慢生活社区的基础医疗设施可以覆盖慢性病管理和基础急诊，但器官移植、复杂外伤手术、高风险分娩这类需要大型综合医院的紧急情况，时间窗口往往以小时计。地面交通的距离障碍在紧急医疗场景里是真实的生死问题。eVTOL的点对点速度（无需机场，直接在社区广场起降）使这个问题有了在不建设传统机场的条件下的解法。</w:t>
      </w:r>
    </w:p>
    <w:p>
      <w:pPr>
        <w:pStyle w:val="BodyText"/>
      </w:pPr>
      <w:r>
        <w:t xml:space="preserve">深海城镇的补给与人员轮换是文件已有设定的直接延伸。文件里明确提及深海城镇有「航空甲板」，浮动城镇的补给线如果靠船运，时效完全不同于STOL/直升机的点对点航线。技术人员轮换、小批量高价值零件、急救药品——这些需求的时效性决定了空中补给线的存在理由。STOL或电动直升机在这个场景里已是设定隐含的技术，只是需要明确说出来。</w:t>
      </w:r>
    </w:p>
    <w:p>
      <w:pPr>
        <w:pStyle w:val="BodyText"/>
      </w:pPr>
      <w:r>
        <w:t xml:space="preserve">山地、海岛、极地地形的定期服务是纯粹的地理逻辑。这些地形里地面交通的建设成本极高，Muule换电网络永远无法延伸到那里，但居住和作业需求真实存在。这不是2072年的新需求——今天阿拉斯加的乡村航空、挪威的峡湾航线就是同样逻辑的现实版本，到2072年只是电动化了。</w:t>
      </w:r>
    </w:p>
    <w:p>
      <w:pPr>
        <w:pStyle w:val="BodyText"/>
      </w:pPr>
      <w:r>
        <w:t xml:space="preserve">城市集群内部的空中快速通道是最接近今天eVTOL商业化愿景的场景。城市集群规模大，地面Muule网络在高密度节点（国际机场到城市核心、大型展览中心、医疗中心）的时效有天花板。空中走廊提供的是对地面网络的补充，而非替代——类似今天城市里的地铁和地面公车的关系，覆盖不同的出行场景，共存而不竞争。</w:t>
      </w:r>
    </w:p>
    <w:p>
      <w:pPr>
        <w:pStyle w:val="BodyText"/>
      </w:pPr>
      <w:r>
        <w:rPr>
          <w:iCs/>
          <w:i/>
        </w:rPr>
        <w:t xml:space="preserve">STOL和eVTOL是多态社会地理分化的交通映射：干线航空服务城市集群的洲际连通，地面Muule系统服务城市集群的日常移动，STOL填补两者之间的末梢空白。三个层次覆盖的地理范围加起来，远比单独任何一个更完整——但永远有一个地方是三个层次都覆盖不到的：那里才是真正的被遗忘地带。</w:t>
      </w:r>
    </w:p>
    <w:bookmarkEnd w:id="160"/>
    <w:bookmarkStart w:id="161" w:name="航空体系与合成燃料的相互支撑"/>
    <w:p>
      <w:pPr>
        <w:pStyle w:val="Heading3"/>
      </w:pPr>
      <w:r>
        <w:t xml:space="preserve">3.16.6　航空体系与合成燃料的相互支撑</w:t>
      </w:r>
    </w:p>
    <w:p>
      <w:pPr>
        <w:pStyle w:val="FirstParagraph"/>
      </w:pPr>
      <w:r>
        <w:t xml:space="preserve">航空是合成燃料工业在2072年最重要的需求方，这个关系是相互支撑的，而非单向依赖。旅客航空的持续运营维持了合成燃料的生产规模和成本曲线，使合成燃料的单位成本维持在合理水平；反过来，合成燃料的成熟工业供应使航空脱碳在技术上不需要等待全电动宽体客机的成熟——现有机队直接使用合成航煤，过渡成本最小化。</w:t>
      </w:r>
    </w:p>
    <w:p>
      <w:pPr>
        <w:pStyle w:val="BodyText"/>
      </w:pPr>
      <w:r>
        <w:t xml:space="preserve">机场作为合成燃料的主要地面补给节点，其辐射效应也延伸到周边的地面交通。机场周边的重型地勤设备、港口连接卡车、应急服务车辆，可以就近使用机场的合成燃料补给基础设施，而不依赖已在侵蚀中的城市加油站网络。这使机场成为合成燃料地面基础设施在电动化时代最后且最稳固的锚点，而非只是航空的附属设施。</w:t>
      </w:r>
    </w:p>
    <w:bookmarkEnd w:id="161"/>
    <w:bookmarkStart w:id="162" w:name="内陆连接飞行器应对机场荒废的设计"/>
    <w:p>
      <w:pPr>
        <w:pStyle w:val="Heading3"/>
      </w:pPr>
      <w:r>
        <w:t xml:space="preserve">3.16.7　内陆连接飞行器：应对机场荒废的设计</w:t>
      </w:r>
    </w:p>
    <w:p>
      <w:pPr>
        <w:pStyle w:val="FirstParagraph"/>
      </w:pPr>
      <w:r>
        <w:t xml:space="preserve">内陆机场商业航班减少、逐步降级或关闭，但内陆区域仍需要与沿海体系保持低频次连接。这个场景需要一种对跑道要求低、运营成本低、适合低频次使用、可在简易场地起降的飞行器。</w:t>
      </w:r>
    </w:p>
    <w:bookmarkEnd w:id="162"/>
    <w:bookmarkStart w:id="163" w:name="燃料技术方案比较"/>
    <w:p>
      <w:pPr>
        <w:pStyle w:val="Heading3"/>
      </w:pPr>
      <w:r>
        <w:t xml:space="preserve">3.16.8　燃料技术方案比较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方案</w:t>
            </w:r>
          </w:p>
        </w:tc>
        <w:tc>
          <w:tcPr/>
          <w:p>
            <w:pPr>
              <w:pStyle w:val="Compact"/>
              <w:jc w:val="left"/>
            </w:pPr>
            <w:r>
              <w:rPr>
                <w:bCs/>
                <w:b/>
              </w:rPr>
              <w:t xml:space="preserve">推进方式</w:t>
            </w:r>
          </w:p>
        </w:tc>
        <w:tc>
          <w:tcPr/>
          <w:p>
            <w:pPr>
              <w:pStyle w:val="Compact"/>
              <w:jc w:val="left"/>
            </w:pPr>
            <w:r>
              <w:rPr>
                <w:bCs/>
                <w:b/>
              </w:rPr>
              <w:t xml:space="preserve">优势</w:t>
            </w:r>
          </w:p>
        </w:tc>
        <w:tc>
          <w:tcPr/>
          <w:p>
            <w:pPr>
              <w:pStyle w:val="Compact"/>
              <w:jc w:val="left"/>
            </w:pPr>
            <w:r>
              <w:rPr>
                <w:bCs/>
                <w:b/>
              </w:rPr>
              <w:t xml:space="preserve">劣势</w:t>
            </w:r>
          </w:p>
        </w:tc>
      </w:tr>
      <w:tr>
        <w:tc>
          <w:tcPr/>
          <w:p>
            <w:pPr>
              <w:pStyle w:val="Compact"/>
              <w:jc w:val="left"/>
            </w:pPr>
            <w:r>
              <w:t xml:space="preserve">电池电推进</w:t>
            </w:r>
          </w:p>
        </w:tc>
        <w:tc>
          <w:tcPr/>
          <w:p>
            <w:pPr>
              <w:pStyle w:val="Compact"/>
              <w:jc w:val="left"/>
            </w:pPr>
            <w:r>
              <w:t xml:space="preserve">燃料电池或锂电+电动螺旋桨</w:t>
            </w:r>
          </w:p>
        </w:tc>
        <w:tc>
          <w:tcPr/>
          <w:p>
            <w:pPr>
              <w:pStyle w:val="Compact"/>
              <w:jc w:val="left"/>
            </w:pPr>
            <w:r>
              <w:t xml:space="preserve">维护简单，噪音低</w:t>
            </w:r>
          </w:p>
        </w:tc>
        <w:tc>
          <w:tcPr/>
          <w:p>
            <w:pPr>
              <w:pStyle w:val="Compact"/>
              <w:jc w:val="left"/>
            </w:pPr>
            <w:r>
              <w:t xml:space="preserve">电池重量能量比（Wh/kg）受物理极限约束，续航短，不适合500km+内陆连接</w:t>
            </w:r>
          </w:p>
        </w:tc>
      </w:tr>
      <w:tr>
        <w:tc>
          <w:tcPr/>
          <w:p>
            <w:pPr>
              <w:pStyle w:val="Compact"/>
              <w:jc w:val="left"/>
            </w:pPr>
            <w:r>
              <w:t xml:space="preserve">液氢涡轮</w:t>
            </w:r>
          </w:p>
        </w:tc>
        <w:tc>
          <w:tcPr/>
          <w:p>
            <w:pPr>
              <w:pStyle w:val="Compact"/>
              <w:jc w:val="left"/>
            </w:pPr>
            <w:r>
              <w:t xml:space="preserve">液氢燃烧+现有涡轮发动机</w:t>
            </w:r>
          </w:p>
        </w:tc>
        <w:tc>
          <w:tcPr/>
          <w:p>
            <w:pPr>
              <w:pStyle w:val="Compact"/>
              <w:jc w:val="left"/>
            </w:pPr>
            <w:r>
              <w:t xml:space="preserve">燃烧排放仅水蒸气，热值高</w:t>
            </w:r>
          </w:p>
        </w:tc>
        <w:tc>
          <w:tcPr/>
          <w:p>
            <w:pPr>
              <w:pStyle w:val="Compact"/>
              <w:jc w:val="left"/>
            </w:pPr>
            <w:r>
              <w:t xml:space="preserve">体积能量密度仅为煤油1/4，储罐低温绝热（-253°C）增加重量，加注基础设施需从头建设，综合优势不明显</w:t>
            </w:r>
          </w:p>
        </w:tc>
      </w:tr>
      <w:tr>
        <w:tc>
          <w:tcPr/>
          <w:p>
            <w:pPr>
              <w:pStyle w:val="Compact"/>
              <w:jc w:val="left"/>
            </w:pPr>
            <w:r>
              <w:t xml:space="preserve">液氢燃料电池+电动</w:t>
            </w:r>
          </w:p>
        </w:tc>
        <w:tc>
          <w:tcPr/>
          <w:p>
            <w:pPr>
              <w:pStyle w:val="Compact"/>
              <w:jc w:val="left"/>
            </w:pPr>
            <w:r>
              <w:t xml:space="preserve">氢燃料电池发电+电动推进</w:t>
            </w:r>
          </w:p>
        </w:tc>
        <w:tc>
          <w:tcPr/>
          <w:p>
            <w:pPr>
              <w:pStyle w:val="Compact"/>
              <w:jc w:val="left"/>
            </w:pPr>
            <w:r>
              <w:t xml:space="preserve">效率约60%，高于涡轮40%</w:t>
            </w:r>
          </w:p>
        </w:tc>
        <w:tc>
          <w:tcPr/>
          <w:p>
            <w:pPr>
              <w:pStyle w:val="Compact"/>
              <w:jc w:val="left"/>
            </w:pPr>
            <w:r>
              <w:t xml:space="preserve">功率密度受燃料电池限制，系统重量大，大型飞机不适用</w:t>
            </w:r>
          </w:p>
        </w:tc>
      </w:tr>
      <w:tr>
        <w:tc>
          <w:tcPr/>
          <w:p>
            <w:pPr>
              <w:pStyle w:val="Compact"/>
              <w:jc w:val="left"/>
            </w:pPr>
            <w:r>
              <w:rPr>
                <w:bCs/>
                <w:b/>
              </w:rPr>
              <w:t xml:space="preserve">合成航空煤油（SAF）</w:t>
            </w:r>
          </w:p>
        </w:tc>
        <w:tc>
          <w:tcPr/>
          <w:p>
            <w:pPr>
              <w:pStyle w:val="Compact"/>
              <w:jc w:val="left"/>
            </w:pPr>
            <w:r>
              <w:rPr>
                <w:bCs/>
                <w:b/>
              </w:rPr>
              <w:t xml:space="preserve">现有涡轮螺旋桨发动机直接使用</w:t>
            </w:r>
          </w:p>
        </w:tc>
        <w:tc>
          <w:tcPr/>
          <w:p>
            <w:pPr>
              <w:pStyle w:val="Compact"/>
              <w:jc w:val="left"/>
            </w:pPr>
            <w:r>
              <w:rPr>
                <w:bCs/>
                <w:b/>
              </w:rPr>
              <w:t xml:space="preserve">与现有发动机/储罐/加注设施完全兼容，聚变电力合成成本大幅下降，碳循环接近零排放</w:t>
            </w:r>
          </w:p>
        </w:tc>
        <w:tc>
          <w:tcPr/>
          <w:p>
            <w:pPr>
              <w:pStyle w:val="Compact"/>
              <w:jc w:val="left"/>
            </w:pPr>
            <w:r>
              <w:rPr>
                <w:bCs/>
                <w:b/>
              </w:rPr>
              <w:t xml:space="preserve">仍依赖液态烃合成工艺</w:t>
            </w:r>
          </w:p>
        </w:tc>
      </w:tr>
    </w:tbl>
    <w:p>
      <w:pPr>
        <w:pStyle w:val="BodyText"/>
      </w:pPr>
      <w:r>
        <w:t xml:space="preserve">聚变时代的合成航空煤油（SAF）具有决定性优势：用聚变电力电解水得到氢，再将氢与大气CO₂合成液态烃，化学性质与现有航空燃油完全相同。现有涡轮发动机直接使用，无需改造；现有储罐和加注设施直接沿用；内陆废弃机场恢复基本燃油储罐即可投入使用。这是最保守、最可靠、基础设施要求最低的方案，与内陆机场荒废后简易复用的设计目标完全匹配。</w:t>
      </w:r>
    </w:p>
    <w:bookmarkEnd w:id="163"/>
    <w:bookmarkStart w:id="164" w:name="内陆连接飞行器技术参数"/>
    <w:p>
      <w:pPr>
        <w:pStyle w:val="Heading3"/>
      </w:pPr>
      <w:r>
        <w:t xml:space="preserve">3.16.9　内陆连接飞行器技术参数</w:t>
      </w:r>
    </w:p>
    <w:p>
      <w:pPr>
        <w:pStyle w:val="FirstParagraph"/>
      </w:pPr>
      <w:r>
        <w:t xml:space="preserve">基于现有涡轮螺旋桨飞机（ATR 72级别）的自然延伸，缩小规模优化短距起降，燃料换为合成航空煤油：</w:t>
      </w:r>
    </w:p>
    <w:p>
      <w:pPr>
        <w:pStyle w:val="BodyText"/>
      </w:pPr>
      <w:r>
        <w:rPr>
          <w:bCs/>
          <w:b/>
        </w:rPr>
        <w:t xml:space="preserve">推进系统。</w:t>
      </w:r>
      <w:r>
        <w:t xml:space="preserve">涡轮螺旋桨发动机，合成航空煤油。螺旋桨在低速飞行时推进效率比纯喷气高约30–40%，与短距起降的低速需求匹配。发动机技术与现有成熟产品一脉相承，2072年是平淡无奇的成熟产品。</w:t>
      </w:r>
    </w:p>
    <w:p>
      <w:pPr>
        <w:pStyle w:val="BodyText"/>
      </w:pPr>
      <w:r>
        <w:rPr>
          <w:bCs/>
          <w:b/>
        </w:rPr>
        <w:t xml:space="preserve">短距起降实现方式。</w:t>
      </w:r>
      <w:r>
        <w:t xml:space="preserve">大展弦比机翼提供高升力系数，前缘缝翼和后缘襟翼降低起降速度至约90–110km/h；部分推力偏转在起飞阶段提供额外升力补充，仅起降阶段使用，巡航时完全按常规方式工作。所需跑道约250–400米。</w:t>
      </w:r>
    </w:p>
    <w:p>
      <w:pPr>
        <w:pStyle w:val="BodyText"/>
      </w:pPr>
      <w:r>
        <w:rPr>
          <w:bCs/>
          <w:b/>
        </w:rPr>
        <w:t xml:space="preserve">基本参数。</w:t>
      </w:r>
      <w:r>
        <w:t xml:space="preserve">载客约20–30人或等量货物，巡航速度约450–550km/h，巡航高度约6000–8000米，续航约800–1200km，液氢（或合成燃油）补充时间约20–30分钟。</w:t>
      </w:r>
    </w:p>
    <w:p>
      <w:pPr>
        <w:pStyle w:val="BodyText"/>
      </w:pPr>
      <w:r>
        <w:rPr>
          <w:bCs/>
          <w:b/>
        </w:rPr>
        <w:t xml:space="preserve">简易起降场要求。</w:t>
      </w:r>
      <w:r>
        <w:t xml:space="preserve">约400米平整硬化地面（废弃机场跑道的一段、高速路应急路段，或专门铺设的简易起降带）；标准燃油储罐（卡车定期补充合成航空煤油）；基本导航设备（GPS+简易仪表进近）；一名管理员和通信设备。不需要候机楼、雷达、复杂塔台。</w:t>
      </w:r>
    </w:p>
    <w:p>
      <w:pPr>
        <w:pStyle w:val="BodyText"/>
      </w:pPr>
      <w:r>
        <w:rPr>
          <w:bCs/>
          <w:b/>
        </w:rPr>
        <w:t xml:space="preserve">维护模式。</w:t>
      </w:r>
      <w:r>
        <w:t xml:space="preserve">巡回维护——技术人员随飞行器巡回，不在每个内陆节点配置维护团队。这与内陆基础设施退化的背景完全契合，也是低频次使用场景下成本最低的运营模式。</w:t>
      </w:r>
    </w:p>
    <w:p>
      <w:pPr>
        <w:pStyle w:val="BodyText"/>
      </w:pPr>
      <w:r>
        <w:t xml:space="preserve">这种飞行器是内陆区域与沿海文明圈之间的「细线」——不是主动脉，是毛细血管尽头的最后一根线。有简易起降场的内陆城市还在体系里，没有的就真正断开了。起降场还可以临时使用Muule高速路的直线路段（足够长、平整硬化），不需要专门规划，只需临时管制。</w:t>
      </w:r>
    </w:p>
    <w:bookmarkEnd w:id="164"/>
    <w:bookmarkEnd w:id="165"/>
    <w:bookmarkStart w:id="167" w:name="年货运体系全貌"/>
    <w:p>
      <w:pPr>
        <w:pStyle w:val="Heading2"/>
      </w:pPr>
      <w:r>
        <w:t xml:space="preserve">3.17　2072年货运体系全貌</w:t>
      </w:r>
    </w:p>
    <w:p>
      <w:pPr>
        <w:pStyle w:val="FirstParagraph"/>
      </w:pPr>
      <w:r>
        <w:t xml:space="preserve">2072年的货运体系由六个层级构成，覆盖从个人日常采购到跨星球物资运输的全部尺度。各层级在速度、批量、距离、成本上各有定位，互相衔接而不重叠，共同构成一条从生产到最终用户的无断点物流链。</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层级</w:t>
            </w:r>
          </w:p>
        </w:tc>
        <w:tc>
          <w:tcPr/>
          <w:p>
            <w:pPr>
              <w:pStyle w:val="Compact"/>
              <w:jc w:val="left"/>
            </w:pPr>
            <w:r>
              <w:rPr>
                <w:bCs/>
                <w:b/>
              </w:rPr>
              <w:t xml:space="preserve">载重</w:t>
            </w:r>
          </w:p>
        </w:tc>
        <w:tc>
          <w:tcPr/>
          <w:p>
            <w:pPr>
              <w:pStyle w:val="Compact"/>
              <w:jc w:val="left"/>
            </w:pPr>
            <w:r>
              <w:rPr>
                <w:bCs/>
                <w:b/>
              </w:rPr>
              <w:t xml:space="preserve">距离</w:t>
            </w:r>
          </w:p>
        </w:tc>
        <w:tc>
          <w:tcPr/>
          <w:p>
            <w:pPr>
              <w:pStyle w:val="Compact"/>
              <w:jc w:val="left"/>
            </w:pPr>
            <w:r>
              <w:rPr>
                <w:bCs/>
                <w:b/>
              </w:rPr>
              <w:t xml:space="preserve">时效</w:t>
            </w:r>
          </w:p>
        </w:tc>
        <w:tc>
          <w:tcPr/>
          <w:p>
            <w:pPr>
              <w:pStyle w:val="Compact"/>
              <w:jc w:val="left"/>
            </w:pPr>
            <w:r>
              <w:rPr>
                <w:bCs/>
                <w:b/>
              </w:rPr>
              <w:t xml:space="preserve">主要场景与特征</w:t>
            </w:r>
          </w:p>
        </w:tc>
      </w:tr>
      <w:tr>
        <w:tc>
          <w:tcPr/>
          <w:p>
            <w:pPr>
              <w:pStyle w:val="Compact"/>
              <w:jc w:val="left"/>
            </w:pPr>
            <w:r>
              <w:t xml:space="preserve">Muule货舱</w:t>
            </w:r>
          </w:p>
        </w:tc>
        <w:tc>
          <w:tcPr/>
          <w:p>
            <w:pPr>
              <w:pStyle w:val="Compact"/>
              <w:jc w:val="left"/>
            </w:pPr>
            <w:r>
              <w:t xml:space="preserve">≤50kg</w:t>
            </w:r>
          </w:p>
        </w:tc>
        <w:tc>
          <w:tcPr/>
          <w:p>
            <w:pPr>
              <w:pStyle w:val="Compact"/>
              <w:jc w:val="left"/>
            </w:pPr>
            <w:r>
              <w:t xml:space="preserve">城市内</w:t>
            </w:r>
          </w:p>
        </w:tc>
        <w:tc>
          <w:tcPr/>
          <w:p>
            <w:pPr>
              <w:pStyle w:val="Compact"/>
              <w:jc w:val="left"/>
            </w:pPr>
            <w:r>
              <w:t xml:space="preserve">即时</w:t>
            </w:r>
          </w:p>
        </w:tc>
        <w:tc>
          <w:tcPr/>
          <w:p>
            <w:pPr>
              <w:pStyle w:val="Compact"/>
              <w:jc w:val="left"/>
            </w:pPr>
            <w:r>
              <w:t xml:space="preserve">个人日常采购、小件搬运。货舱可脱离拖行进室内，四轮结合后可上高速。末端配送的毛细血管。</w:t>
            </w:r>
          </w:p>
        </w:tc>
      </w:tr>
      <w:tr>
        <w:tc>
          <w:tcPr/>
          <w:p>
            <w:pPr>
              <w:pStyle w:val="Compact"/>
              <w:jc w:val="left"/>
            </w:pPr>
            <w:r>
              <w:t xml:space="preserve">城市货运车辆</w:t>
            </w:r>
          </w:p>
        </w:tc>
        <w:tc>
          <w:tcPr/>
          <w:p>
            <w:pPr>
              <w:pStyle w:val="Compact"/>
              <w:jc w:val="left"/>
            </w:pPr>
            <w:r>
              <w:t xml:space="preserve">500kg–3吨</w:t>
            </w:r>
          </w:p>
        </w:tc>
        <w:tc>
          <w:tcPr/>
          <w:p>
            <w:pPr>
              <w:pStyle w:val="Compact"/>
              <w:jc w:val="left"/>
            </w:pPr>
            <w:r>
              <w:t xml:space="preserve">城市集群内</w:t>
            </w:r>
          </w:p>
        </w:tc>
        <w:tc>
          <w:tcPr/>
          <w:p>
            <w:pPr>
              <w:pStyle w:val="Compact"/>
              <w:jc w:val="left"/>
            </w:pPr>
            <w:r>
              <w:t xml:space="preserve">当日</w:t>
            </w:r>
          </w:p>
        </w:tc>
        <w:tc>
          <w:tcPr/>
          <w:p>
            <w:pPr>
              <w:pStyle w:val="Compact"/>
              <w:jc w:val="left"/>
            </w:pPr>
            <w:r>
              <w:t xml:space="preserve">搬家、大件、批量配送。全电动无人驾驶，纳入城市交通系统，电池50–150kWh无需中途换电。</w:t>
            </w:r>
          </w:p>
        </w:tc>
      </w:tr>
      <w:tr>
        <w:tc>
          <w:tcPr/>
          <w:p>
            <w:pPr>
              <w:pStyle w:val="Compact"/>
              <w:jc w:val="left"/>
            </w:pPr>
            <w:r>
              <w:t xml:space="preserve">城际货运车辆</w:t>
            </w:r>
          </w:p>
        </w:tc>
        <w:tc>
          <w:tcPr/>
          <w:p>
            <w:pPr>
              <w:pStyle w:val="Compact"/>
              <w:jc w:val="left"/>
            </w:pPr>
            <w:r>
              <w:t xml:space="preserve">10–40吨</w:t>
            </w:r>
          </w:p>
        </w:tc>
        <w:tc>
          <w:tcPr/>
          <w:p>
            <w:pPr>
              <w:pStyle w:val="Compact"/>
              <w:jc w:val="left"/>
            </w:pPr>
            <w:r>
              <w:t xml:space="preserve">600–1000km</w:t>
            </w:r>
          </w:p>
        </w:tc>
        <w:tc>
          <w:tcPr/>
          <w:p>
            <w:pPr>
              <w:pStyle w:val="Compact"/>
              <w:jc w:val="left"/>
            </w:pPr>
            <w:r>
              <w:t xml:space="preserve">次日</w:t>
            </w:r>
          </w:p>
        </w:tc>
        <w:tc>
          <w:tcPr/>
          <w:p>
            <w:pPr>
              <w:pStyle w:val="Compact"/>
              <w:jc w:val="left"/>
            </w:pPr>
            <w:r>
              <w:t xml:space="preserve">集群间中等批量陆路直达，填补高铁货运与大宗运输之间的中间层。全控高速路段24小时主角，电池500–1500kWh。</w:t>
            </w:r>
          </w:p>
        </w:tc>
      </w:tr>
      <w:tr>
        <w:tc>
          <w:tcPr/>
          <w:p>
            <w:pPr>
              <w:pStyle w:val="Compact"/>
              <w:jc w:val="left"/>
            </w:pPr>
            <w:r>
              <w:t xml:space="preserve">高铁货运</w:t>
            </w:r>
          </w:p>
        </w:tc>
        <w:tc>
          <w:tcPr/>
          <w:p>
            <w:pPr>
              <w:pStyle w:val="Compact"/>
              <w:jc w:val="left"/>
            </w:pPr>
            <w:r>
              <w:t xml:space="preserve">50–200吨/列</w:t>
            </w:r>
          </w:p>
        </w:tc>
        <w:tc>
          <w:tcPr/>
          <w:p>
            <w:pPr>
              <w:pStyle w:val="Compact"/>
              <w:jc w:val="left"/>
            </w:pPr>
            <w:r>
              <w:t xml:space="preserve">100–1000km</w:t>
            </w:r>
          </w:p>
        </w:tc>
        <w:tc>
          <w:tcPr/>
          <w:p>
            <w:pPr>
              <w:pStyle w:val="Compact"/>
              <w:jc w:val="left"/>
            </w:pPr>
            <w:r>
              <w:t xml:space="preserve">当日</w:t>
            </w:r>
          </w:p>
        </w:tc>
        <w:tc>
          <w:tcPr/>
          <w:p>
            <w:pPr>
              <w:pStyle w:val="Compact"/>
              <w:jc w:val="left"/>
            </w:pPr>
            <w:r>
              <w:t xml:space="preserve">利用夜间闲置窗口，高价值时间敏感货物。边际成本极低，与旅客运营共用基础设施。</w:t>
            </w:r>
          </w:p>
        </w:tc>
      </w:tr>
      <w:tr>
        <w:tc>
          <w:tcPr/>
          <w:p>
            <w:pPr>
              <w:pStyle w:val="Compact"/>
              <w:jc w:val="left"/>
            </w:pPr>
            <w:r>
              <w:t xml:space="preserve">地效应货轮</w:t>
            </w:r>
          </w:p>
        </w:tc>
        <w:tc>
          <w:tcPr/>
          <w:p>
            <w:pPr>
              <w:pStyle w:val="Compact"/>
              <w:jc w:val="left"/>
            </w:pPr>
            <w:r>
              <w:t xml:space="preserve">约9,500吨/班</w:t>
            </w:r>
          </w:p>
        </w:tc>
        <w:tc>
          <w:tcPr/>
          <w:p>
            <w:pPr>
              <w:pStyle w:val="Compact"/>
              <w:jc w:val="left"/>
            </w:pPr>
            <w:r>
              <w:t xml:space="preserve">沿海500km</w:t>
            </w:r>
          </w:p>
        </w:tc>
        <w:tc>
          <w:tcPr/>
          <w:p>
            <w:pPr>
              <w:pStyle w:val="Compact"/>
              <w:jc w:val="left"/>
            </w:pPr>
            <w:r>
              <w:t xml:space="preserve">数小时</w:t>
            </w:r>
          </w:p>
        </w:tc>
        <w:tc>
          <w:tcPr/>
          <w:p>
            <w:pPr>
              <w:pStyle w:val="Compact"/>
              <w:jc w:val="left"/>
            </w:pPr>
            <w:r>
              <w:t xml:space="preserve">沿海集群间时间敏感大批量货物，每日1–2班，气象窗口运营。单位成本约为空运1/15–1/25。</w:t>
            </w:r>
          </w:p>
        </w:tc>
      </w:tr>
      <w:tr>
        <w:tc>
          <w:tcPr/>
          <w:p>
            <w:pPr>
              <w:pStyle w:val="Compact"/>
              <w:jc w:val="left"/>
            </w:pPr>
            <w:r>
              <w:t xml:space="preserve">海运/货运铁路</w:t>
            </w:r>
          </w:p>
        </w:tc>
        <w:tc>
          <w:tcPr/>
          <w:p>
            <w:pPr>
              <w:pStyle w:val="Compact"/>
              <w:jc w:val="left"/>
            </w:pPr>
            <w:r>
              <w:t xml:space="preserve">万吨级</w:t>
            </w:r>
          </w:p>
        </w:tc>
        <w:tc>
          <w:tcPr/>
          <w:p>
            <w:pPr>
              <w:pStyle w:val="Compact"/>
              <w:jc w:val="left"/>
            </w:pPr>
            <w:r>
              <w:t xml:space="preserve">全球/大陆</w:t>
            </w:r>
          </w:p>
        </w:tc>
        <w:tc>
          <w:tcPr/>
          <w:p>
            <w:pPr>
              <w:pStyle w:val="Compact"/>
              <w:jc w:val="left"/>
            </w:pPr>
            <w:r>
              <w:t xml:space="preserve">天–周</w:t>
            </w:r>
          </w:p>
        </w:tc>
        <w:tc>
          <w:tcPr/>
          <w:p>
            <w:pPr>
              <w:pStyle w:val="Compact"/>
              <w:jc w:val="left"/>
            </w:pPr>
            <w:r>
              <w:t xml:space="preserve">大宗低时效：矿产、粮食、工业原料、深海采矿产品。聚变使运营成本极低，是全球物质循环的骨干。</w:t>
            </w:r>
          </w:p>
        </w:tc>
      </w:tr>
      <w:tr>
        <w:tc>
          <w:tcPr/>
          <w:p>
            <w:pPr>
              <w:pStyle w:val="Compact"/>
              <w:jc w:val="left"/>
            </w:pPr>
            <w:r>
              <w:t xml:space="preserve">空运</w:t>
            </w:r>
          </w:p>
        </w:tc>
        <w:tc>
          <w:tcPr/>
          <w:p>
            <w:pPr>
              <w:pStyle w:val="Compact"/>
              <w:jc w:val="left"/>
            </w:pPr>
            <w:r>
              <w:t xml:space="preserve">≤100吨</w:t>
            </w:r>
          </w:p>
        </w:tc>
        <w:tc>
          <w:tcPr/>
          <w:p>
            <w:pPr>
              <w:pStyle w:val="Compact"/>
              <w:jc w:val="left"/>
            </w:pPr>
            <w:r>
              <w:t xml:space="preserve">全球</w:t>
            </w:r>
          </w:p>
        </w:tc>
        <w:tc>
          <w:tcPr/>
          <w:p>
            <w:pPr>
              <w:pStyle w:val="Compact"/>
              <w:jc w:val="left"/>
            </w:pPr>
            <w:r>
              <w:t xml:space="preserve">数小时</w:t>
            </w:r>
          </w:p>
        </w:tc>
        <w:tc>
          <w:tcPr/>
          <w:p>
            <w:pPr>
              <w:pStyle w:val="Compact"/>
              <w:jc w:val="left"/>
            </w:pPr>
            <w:r>
              <w:t xml:space="preserve">极紧急极小批量（医疗器官、急救药品）+跨洋人员（兼带少量货物）。被地效应货轮大幅压缩，退守利基市场。</w:t>
            </w:r>
          </w:p>
        </w:tc>
      </w:tr>
      <w:tr>
        <w:tc>
          <w:tcPr/>
          <w:p>
            <w:pPr>
              <w:pStyle w:val="Compact"/>
              <w:jc w:val="left"/>
            </w:pPr>
            <w:r>
              <w:t xml:space="preserve">太空运输</w:t>
            </w:r>
          </w:p>
        </w:tc>
        <w:tc>
          <w:tcPr/>
          <w:p>
            <w:pPr>
              <w:pStyle w:val="Compact"/>
              <w:jc w:val="left"/>
            </w:pPr>
            <w:r>
              <w:t xml:space="preserve">吨级</w:t>
            </w:r>
          </w:p>
        </w:tc>
        <w:tc>
          <w:tcPr/>
          <w:p>
            <w:pPr>
              <w:pStyle w:val="Compact"/>
              <w:jc w:val="left"/>
            </w:pPr>
            <w:r>
              <w:t xml:space="preserve">地月/轨道</w:t>
            </w:r>
          </w:p>
        </w:tc>
        <w:tc>
          <w:tcPr/>
          <w:p>
            <w:pPr>
              <w:pStyle w:val="Compact"/>
              <w:jc w:val="left"/>
            </w:pPr>
            <w:r>
              <w:t xml:space="preserve">天</w:t>
            </w:r>
          </w:p>
        </w:tc>
        <w:tc>
          <w:tcPr/>
          <w:p>
            <w:pPr>
              <w:pStyle w:val="Compact"/>
              <w:jc w:val="left"/>
            </w:pPr>
            <w:r>
              <w:t xml:space="preserve">月球基地补给、深空探测物资。高成本，仅服务战略性需求。月球就地资源利用（ISRU）减少从地球上行的需求。</w:t>
            </w:r>
          </w:p>
        </w:tc>
      </w:tr>
    </w:tbl>
    <w:bookmarkStart w:id="166" w:name="货运链的完整逻辑"/>
    <w:p>
      <w:pPr>
        <w:pStyle w:val="Heading3"/>
      </w:pPr>
      <w:r>
        <w:t xml:space="preserve">3.17.1　货运链的完整逻辑</w:t>
      </w:r>
    </w:p>
    <w:p>
      <w:pPr>
        <w:pStyle w:val="FirstParagraph"/>
      </w:pPr>
      <w:r>
        <w:t xml:space="preserve">六个层级不是独立运作的，而是首尾相接的连续链条。月球基地的采矿设备零件：地球工厂制造→城市货运车辆送至发射场→太空运输上行到月球轨道→月面运载车辆送至基地。深海锰结核：采矿平台提取→补给船运至港口→货运铁路送至冶炼厂→城市货运车辆送至制造商→高铁货运送至城市仓储→城际货运车辆配送至零售点→Muule货舱最后一米。</w:t>
      </w:r>
    </w:p>
    <w:p>
      <w:pPr>
        <w:pStyle w:val="BodyText"/>
      </w:pPr>
      <w:r>
        <w:t xml:space="preserve">聚变是这条链条的能量基础——从Muule的5kWh电池到城际货运车辆的1500kWh电池，从地效应货轮的SAF涡轮到太空运输的化学推进剂，所有环节的能源成本在聚变时代趋近于零。约束从能源转移到了物流密度（决定全控高速路段和换电站的经济可行边界）、地缘政治（决定跨体系货物的流通路径）和物理距离（仍然无法消除，但成本大幅降低）。</w:t>
      </w:r>
    </w:p>
    <w:p>
      <w:pPr>
        <w:pStyle w:val="BodyText"/>
      </w:pPr>
      <w:r>
        <w:t xml:space="preserve">旧时代设备的持续存在。2072年的货运体系虽以上述六层级为主轴，但并未完全淘汰旧时代的各类运输设备。符合高速标准的传统车辆（经电动化改装或氢燃料升级认证）在取得接入资质后可以进入全控高速路段运营，尤其在A2体系覆盖较少的区域（全球南方、边缘经济体），改装版旧式卡车仍是重要的货运工具。旧式私家车经认证改装后可在高速体系内行驶，只是相比Muule，其停放占地和换电兼容性差，在城市集群内部日益被边缘化，主要保留在慢生活社区和城际过渡区作为备用交通选项。旧时代的各种设备虽然便利性不如Muule这类新产品，但并未被完全淘汰——大量折旧后成本极低的旧设备在配给经济压力下仍有真实的市场份额。</w:t>
      </w:r>
    </w:p>
    <w:bookmarkEnd w:id="166"/>
    <w:bookmarkEnd w:id="167"/>
    <w:bookmarkStart w:id="170" w:name="城市数字基础设施ai治理系统与节点"/>
    <w:p>
      <w:pPr>
        <w:pStyle w:val="Heading2"/>
      </w:pPr>
      <w:r>
        <w:t xml:space="preserve">3.18　城市数字基础设施：AI治理系统与节点</w:t>
      </w:r>
    </w:p>
    <w:p>
      <w:pPr>
        <w:pStyle w:val="FirstParagraph"/>
      </w:pPr>
      <w:r>
        <w:t xml:space="preserve">2072年城市集群的物理基础设施（道路、电网、换电站、建筑）和数字基础设施（AI调度系统、配给节点、通信网络）已经不可分割——前者的运行依赖后者的实时决策，后者的执行依赖前者的物理支点。城市AI治理系统不是叠加在城市上的软件层，而是城市本身运作逻辑的一部分。</w:t>
      </w:r>
    </w:p>
    <w:bookmarkStart w:id="168" w:name="核心系统架构"/>
    <w:p>
      <w:pPr>
        <w:pStyle w:val="Heading3"/>
      </w:pPr>
      <w:r>
        <w:t xml:space="preserve">3.18.1　核心系统架构</w:t>
      </w:r>
    </w:p>
    <w:p>
      <w:pPr>
        <w:pStyle w:val="FirstParagraph"/>
      </w:pPr>
      <w:r>
        <w:t xml:space="preserve">道路与交通AI。全控高速路段内所有车辆（Muule、货运车辆）的实时位置、速度、轨迹、换电状态由统一的道路AI系统处理，时间颗粒度约20毫秒，空间颗粒度约10厘米。系统同时协调数百万个移动节点，执行实时路径规划、紧急响应、换电站负荷均衡。这是目前人类历史上最复杂的实时调度系统之一。</w:t>
      </w:r>
    </w:p>
    <w:p>
      <w:pPr>
        <w:pStyle w:val="BodyText"/>
      </w:pPr>
      <w:r>
        <w:t xml:space="preserve">配给分配节点。每个居住单元和社区服务点都有一个配给节点——物理上是一个约手机大小的设备，功能上是将个人数字身份、消费记录、配给额度与物理分发动作绑定的接口。用户靠近时节点识别身份，核对配给状态，执行分发或拒绝，全程记录。A2体系里这个系统是社会治理的物质基础；A1体系里功能类似但具有更多个人数据控制权。</w:t>
      </w:r>
    </w:p>
    <w:p>
      <w:pPr>
        <w:pStyle w:val="BodyText"/>
      </w:pPr>
      <w:r>
        <w:t xml:space="preserve">能源AI与V2G协调。聚变电网的输出相对稳定，但城市内部的负荷高度波动。换电站电池网络构成分散式缓冲储能，城市能源AI实时协调换电站充放电节奏（V2G，车辆到电网），将换电站电池池当作城市级储能设施使用。这个系统将换电站的经济角色从「纯消费基础设施」升级为「能源韧性组件」，改变了城市电力负荷管理的基本逻辑。</w:t>
      </w:r>
    </w:p>
    <w:bookmarkEnd w:id="168"/>
    <w:bookmarkStart w:id="169" w:name="城市ai治理的极限"/>
    <w:p>
      <w:pPr>
        <w:pStyle w:val="Heading3"/>
      </w:pPr>
      <w:r>
        <w:t xml:space="preserve">3.18.2　城市AI治理的极限</w:t>
      </w:r>
    </w:p>
    <w:p>
      <w:pPr>
        <w:pStyle w:val="FirstParagraph"/>
      </w:pPr>
      <w:r>
        <w:t xml:space="preserve">优化的盲点。城市AI系统高度擅长优化可量化的指标——交通效率、能源利用率、配给分配准确性。它不擅长处理不可量化的需求：人们想要某个街角的氛围、某种速度的城市节律、某个不被优化的剩余空间。AI治理系统产生的城市往往在指标上完美，在感受上缺少某种只有人能提供的不规则性。</w:t>
      </w:r>
    </w:p>
    <w:p>
      <w:pPr>
        <w:pStyle w:val="BodyText"/>
      </w:pPr>
      <w:r>
        <w:t xml:space="preserve">双体系隔离的技术实现。全控高速路段里的中美双体系隔离在技术上体现为两套互不通信的城市AI系统，车辆在跨体系边界时需要在过渡区完成系统切换，类似手机换网。这个隔离不只是政治决定，更是工程现实——两套系统的协议、加密标准、数据格式都不兼容，中间节点（过渡区）是城市AI治理最复杂的工程挑战之一。</w:t>
      </w:r>
    </w:p>
    <w:p>
      <w:pPr>
        <w:pStyle w:val="BodyText"/>
      </w:pPr>
      <w:r>
        <w:rPr>
          <w:iCs/>
          <w:i/>
        </w:rPr>
        <w:t xml:space="preserve">城市数字基础设施是多态社会最具体的物质呈现之一：高速体系里的城市由AI优化每一个节点，慢生活社区缺少这套系统的覆盖，两者的体验差异在物质层面是真实的——不只是速度不同，而是「被系统管理」和「不在系统中存在」这两种根本不同的存在状态。</w:t>
      </w:r>
    </w:p>
    <w:bookmarkEnd w:id="169"/>
    <w:bookmarkEnd w:id="170"/>
    <w:bookmarkStart w:id="175" w:name="数字数据基础设施"/>
    <w:p>
      <w:pPr>
        <w:pStyle w:val="Heading2"/>
      </w:pPr>
      <w:r>
        <w:t xml:space="preserve">3.19　数字数据基础设施</w:t>
      </w:r>
    </w:p>
    <w:p>
      <w:pPr>
        <w:pStyle w:val="FirstParagraph"/>
      </w:pPr>
      <w:r>
        <w:t xml:space="preserve">2072年的社会治理在物质上依赖两套基础设施：一套是可见的物理基础设施（道路、电网、换电站、配给节点），另一套是不可见的数据基础设施。后者决定了前者如何运作——谁的换电请求被优先响应、配给额度如何计算、异常行为如何被识别、社会资源如何分配。数据基础设施不是治理的工具，而是治理本身的物质形态。</w:t>
      </w:r>
    </w:p>
    <w:p>
      <w:pPr>
        <w:pStyle w:val="BodyText"/>
      </w:pPr>
      <w:r>
        <w:t xml:space="preserve">两套体系在数据架构上的根本分歧，是它们制度逻辑差异在技术层面的最清晰呈现：A1体系的数据权力分散于国家、企业和个人三个主体之间，以法律约束商业行为和政府行为，以市场竞争驱动采集和使用；A2体系将数据权力统一于国家，商业数据平台是国家数据体系的延伸节点，个人数据权利服从集体治理逻辑。</w:t>
      </w:r>
    </w:p>
    <w:bookmarkStart w:id="171" w:name="数据采集的技术基础"/>
    <w:p>
      <w:pPr>
        <w:pStyle w:val="Heading3"/>
      </w:pPr>
      <w:r>
        <w:t xml:space="preserve">3.19.1　数据采集的技术基础</w:t>
      </w:r>
    </w:p>
    <w:p>
      <w:pPr>
        <w:pStyle w:val="FirstParagraph"/>
      </w:pPr>
      <w:r>
        <w:t xml:space="preserve">2072年的数据采集能力相比2026年有量级跃升，驱动因素有三：传感器成本趋近于零（每个换电站、配给节点、城市AI节点都是数据采集点）；边缘计算使数据可以在本地初步处理后再上传（降低带宽压力、提升响应速度）；AI分析能力使非结构化数据（视频、语音、行为序列）可以大规模实时处理。</w:t>
      </w:r>
    </w:p>
    <w:p>
      <w:pPr>
        <w:pStyle w:val="BodyText"/>
      </w:pPr>
      <w:r>
        <w:t xml:space="preserve">个人数字身份是采集体系的锚点。无论A1还是A2体系，个人在经济和社会活动中都与数字身份深度绑定：换电、配给、医疗、出行、消费、通信——每一次行为都通过数字身份生成记录。区别在于：A1体系的数字身份数据分散存储于多个商业和政府数据库，法律框架约束跨库整合；A2体系的数字身份数据在国家统一平台上实现跨域整合，配给记录、出行记录、金融记录、社交记录在同一数据架构下可互相访问。</w:t>
      </w:r>
    </w:p>
    <w:p>
      <w:pPr>
        <w:pStyle w:val="BodyText"/>
      </w:pPr>
      <w:r>
        <w:t xml:space="preserve">可穿戴设备和环境传感器进一步延伸了采集边界。个人穿戴设备（3.10节）的健康数据、位置数据、行为数据持续生成；城市环境中的视觉传感器网络覆盖公共空间；换电站的接入记录提供实时位置轨迹；Muule的路径数据构成个人出行全记录。这些数据单独看各有用途，汇聚之后是远比任何单一来源更完整的个人行为图谱。</w:t>
      </w:r>
    </w:p>
    <w:bookmarkEnd w:id="171"/>
    <w:bookmarkStart w:id="172" w:name="a1体系分散架构商业驱动的数据质量与法律边界"/>
    <w:p>
      <w:pPr>
        <w:pStyle w:val="Heading3"/>
      </w:pPr>
      <w:r>
        <w:t xml:space="preserve">3.19.2　A1体系：分散架构、商业驱动的数据质量与法律边界</w:t>
      </w:r>
    </w:p>
    <w:p>
      <w:pPr>
        <w:pStyle w:val="FirstParagraph"/>
      </w:pPr>
      <w:r>
        <w:t xml:space="preserve">A1体系的数据格局是历史积累的结果，不是系统设计的产物：科技平台、政府机构（联邦、州、地方）、金融机构、医疗系统各自维护独立的数据库，法律框架规定哪些数据可以采集、如何存储、是否可以跨机构共享。这种分散性在覆盖广度上是劣势，但在数据质量和方法论演化上带来了A2体系难以复制的结构性优势。</w:t>
      </w:r>
    </w:p>
    <w:p>
      <w:pPr>
        <w:pStyle w:val="BodyText"/>
      </w:pPr>
      <w:r>
        <w:rPr>
          <w:bCs/>
          <w:b/>
        </w:rPr>
        <w:t xml:space="preserve">商业数据平台：规模最大，也是方法最先进的数据持有者。</w:t>
      </w:r>
      <w:r>
        <w:t xml:space="preserve"> </w:t>
      </w:r>
      <w:r>
        <w:t xml:space="preserve">2072年的主要科技平台持有人类历史上体量最大的个人行为数据，覆盖用户的消费偏好、社交关系、内容偏好、健康状态、出行模式。但这些平台的真正竞争优势不只是数据量，而是数据的</w:t>
      </w:r>
      <w:r>
        <w:rPr>
          <w:bCs/>
          <w:b/>
        </w:rPr>
        <w:t xml:space="preserve">准确性和前瞻性</w:t>
      </w:r>
      <w:r>
        <w:t xml:space="preserve">——因为这是商业生存的前提。</w:t>
      </w:r>
    </w:p>
    <w:p>
      <w:pPr>
        <w:pStyle w:val="BodyText"/>
      </w:pPr>
      <w:r>
        <w:t xml:space="preserve">商业竞争对数据质量施加了A2体系从未面对的硬性约束：平台的推荐算法如果预测用户行为失准，用户会流失给竞争对手；金融机构的风险模型如果系统性滞后，坏账损失是真实的财务代价；广告主的归因模型如果不准确，广告预算会撤离。市场惩罚机制使商业数据主体无法长期容忍方法论的失真——准确不是美德，是生存条件。这驱动了A1体系数据方法论的持续迭代：因果推断取代相关性挖掘（避免虚假预测）、对抗性验证（主动寻找模型盲点而非回避）、异常信号的系统性重视（异常往往是即将发生的市场变化的最早先行指标）。</w:t>
      </w:r>
    </w:p>
    <w:p>
      <w:pPr>
        <w:pStyle w:val="BodyText"/>
      </w:pPr>
      <w:r>
        <w:t xml:space="preserve">这个方法论优势在AI时代被进一步放大。A1体系的商业AI系统被训练成寻找异常、识别新兴模式、在训练分布之外做出有用的预测——因为这些能力在竞争中有直接的商业价值。前瞻性是商业系统的核心诉求，而非政治风险。</w:t>
      </w:r>
    </w:p>
    <w:p>
      <w:pPr>
        <w:pStyle w:val="BodyText"/>
      </w:pPr>
      <w:r>
        <w:rPr>
          <w:bCs/>
          <w:b/>
        </w:rPr>
        <w:t xml:space="preserve">竞争生态产生的方法论多样性。</w:t>
      </w:r>
      <w:r>
        <w:t xml:space="preserve"> </w:t>
      </w:r>
      <w:r>
        <w:t xml:space="preserve">A1体系中存在大量相互竞争的数据方法：不同平台、不同学术机构、不同金融机构对同一现象使用不同的建模框架，相互检验，相互批评。这种竞争性多元主义使方法论错误更容易被发现和纠正——当多个独立机构对同一问题得出不同结论时，差异本身就是一个信号，触发方法论审查。A1体系的政府统计机构（BLS、BEA、Fed等）虽然在数据覆盖上不及商业平台，但长期处于学术批评和商业数据的双重校验压力之下，统计方法的透明度和可挑战性在制度上有保障。</w:t>
      </w:r>
    </w:p>
    <w:p>
      <w:pPr>
        <w:pStyle w:val="BodyText"/>
      </w:pPr>
      <w:r>
        <w:rPr>
          <w:bCs/>
          <w:b/>
        </w:rPr>
        <w:t xml:space="preserve">政府数据系统：功能导向、互通受限，但受外部校验。</w:t>
      </w:r>
      <w:r>
        <w:t xml:space="preserve"> </w:t>
      </w:r>
      <w:r>
        <w:t xml:space="preserve">联邦政府的数据系统以功能性为导向：BSC配给系统追踪配给领取记录，社会安全系统维护劳动历史，税务系统持有收入记录，边境系统持有出入境记录。这些系统在技术上可以互通，但法律上的数据孤岛限制了系统性整合——每次整合都需要立法授权，且受到隐私倡导者和商业利益的双重阻力。政府数据系统在各自功能领域高度精确，在跨域整合上系统性薄弱——这是真实的覆盖局限。但与A2不同的是，联邦统计数据可以被独立机构交叉验证，方法论可以被公开批评，政治压力对统计结果的干预在制度上有实质性的阻力。</w:t>
      </w:r>
    </w:p>
    <w:p>
      <w:pPr>
        <w:pStyle w:val="BodyText"/>
      </w:pPr>
      <w:r>
        <w:rPr>
          <w:bCs/>
          <w:b/>
        </w:rPr>
        <w:t xml:space="preserve">商业平台与政府之间的法律隔离。</w:t>
      </w:r>
      <w:r>
        <w:t xml:space="preserve"> </w:t>
      </w:r>
      <w:r>
        <w:t xml:space="preserve">商业平台数据不能被政府直接调用，除非经过司法程序（搜查令、法院命令）。数字隐私在2030—2040年代的立法博弈后被纳入联邦保护框架，政府对商业平台数据的访问需要实质性的司法监督。这个保护是真实的，但有重要例外：国家安全框架下的例外访问权（类似FISA法庭的机制在2072年仍然存在）；平台自愿提供的汇总统计数据可以不经司法程序流向政府；数据经纪商的灰色市场使数据实际上可以通过商业渠道间接流入政府。</w:t>
      </w:r>
    </w:p>
    <w:p>
      <w:pPr>
        <w:pStyle w:val="BodyText"/>
      </w:pPr>
      <w:r>
        <w:rPr>
          <w:bCs/>
          <w:b/>
        </w:rPr>
        <w:t xml:space="preserve">个人数据权利：法律保护与实践落差。</w:t>
      </w:r>
      <w:r>
        <w:t xml:space="preserve"> </w:t>
      </w:r>
      <w:r>
        <w:t xml:space="preserve">A1体系的数据保护框架赋予个人对自身数据的访问权、更正权、删除权。实践中这些权利的行使存在显著落差：绝大多数人没有能力追踪自己的数据在哪些平台被如何使用，数据经纪商生态系统在法律框架之外持续运作，删除权在跨平台传播后难以实际执行。数据权利更多是法律框架上的实存，而非日常生活中感受到的现实保护。</w:t>
      </w:r>
    </w:p>
    <w:bookmarkEnd w:id="172"/>
    <w:bookmarkStart w:id="173" w:name="a2体系国家统一数据架构与系统性滞后"/>
    <w:p>
      <w:pPr>
        <w:pStyle w:val="Heading3"/>
      </w:pPr>
      <w:r>
        <w:t xml:space="preserve">3.19.3　A2体系：国家统一数据架构与系统性滞后</w:t>
      </w:r>
    </w:p>
    <w:p>
      <w:pPr>
        <w:pStyle w:val="FirstParagraph"/>
      </w:pPr>
      <w:r>
        <w:t xml:space="preserve">A2体系的数据基础设施是明确的国家战略投资，以统一架构为设计原则，以配给监控为核心功能。3.17节已经提及”配给制产生了一套实时人口定位和行为监控系统”；本节从数据架构层面展开这套系统的具体机制，以及它的结构性局限。</w:t>
      </w:r>
    </w:p>
    <w:p>
      <w:pPr>
        <w:pStyle w:val="BodyText"/>
      </w:pPr>
      <w:r>
        <w:rPr>
          <w:bCs/>
          <w:b/>
        </w:rPr>
        <w:t xml:space="preserve">统一数字身份与跨域整合。</w:t>
      </w:r>
      <w:r>
        <w:t xml:space="preserve"> </w:t>
      </w:r>
      <w:r>
        <w:t xml:space="preserve">A2体系的核心数据基础设施以居民数字身份为锚点。2072年的版本整合了：实名制数字支付（数字人民币）、配给积分账户、医疗健康档案、出行轨迹记录、通信实名记录、工作单位挂靠记录。这些数据在国家平台上跨域整合，不需要司法程序即可在政府部门间流通，商业平台被要求向国家数据接口提供实时访问权限。</w:t>
      </w:r>
    </w:p>
    <w:p>
      <w:pPr>
        <w:pStyle w:val="BodyText"/>
      </w:pPr>
      <w:r>
        <w:t xml:space="preserve">这种整合在</w:t>
      </w:r>
      <w:r>
        <w:rPr>
          <w:bCs/>
          <w:b/>
        </w:rPr>
        <w:t xml:space="preserve">覆盖广度</w:t>
      </w:r>
      <w:r>
        <w:t xml:space="preserve">上是真实的优势：异常行为模式可以跨域识别，人口流动可以实时追踪，治理介入速度快于A1体系。但覆盖广度和数据质量是不同的维度——A2体系在前者有优势，在后者面临A1体系不存在的结构性障碍。</w:t>
      </w:r>
    </w:p>
    <w:p>
      <w:pPr>
        <w:pStyle w:val="BodyText"/>
      </w:pPr>
      <w:r>
        <w:rPr>
          <w:bCs/>
          <w:b/>
        </w:rPr>
        <w:t xml:space="preserve">商业平台作为国家数据节点。</w:t>
      </w:r>
      <w:r>
        <w:t xml:space="preserve"> </w:t>
      </w:r>
      <w:r>
        <w:t xml:space="preserve">A2体系的主要商业平台（支付、社交、电商、出行）在技术上和法律上是国家数据体系的延伸节点，而非独立的商业数据持有者。平台有义务向国家安全和公共治理机构提供数据访问，这一义务以行政命令即可执行。平台数据在日常运营中用于商业目的，同时并行接入国家数据系统。</w:t>
      </w:r>
    </w:p>
    <w:p>
      <w:pPr>
        <w:pStyle w:val="BodyText"/>
      </w:pPr>
      <w:r>
        <w:rPr>
          <w:bCs/>
          <w:b/>
        </w:rPr>
        <w:t xml:space="preserve">“</w:t>
      </w:r>
      <w:r>
        <w:rPr>
          <w:bCs/>
          <w:b/>
        </w:rPr>
        <w:t xml:space="preserve">************************************************************不出错************************************************************</w:t>
      </w:r>
      <w:r>
        <w:rPr>
          <w:bCs/>
          <w:b/>
        </w:rPr>
        <w:t xml:space="preserve">”</w:t>
      </w:r>
      <w:r>
        <w:rPr>
          <w:bCs/>
          <w:b/>
        </w:rPr>
        <w:t xml:space="preserve">优化目标导致的系统性滞后。</w:t>
      </w:r>
      <w:r>
        <w:t xml:space="preserve"> </w:t>
      </w:r>
      <w:r>
        <w:t xml:space="preserve">A2数据体系面临的最深层问题不是数据量不足，而是</w:t>
      </w:r>
      <w:r>
        <w:rPr>
          <w:bCs/>
          <w:b/>
        </w:rPr>
        <w:t xml:space="preserve">优化目标与准确性之间的制度性张力</w:t>
      </w:r>
      <w:r>
        <w:t xml:space="preserve">。A1体系的商业数据主体被市场惩罚机制训练成追求准确：预测失准有商业代价，异常信号是机会而非风险。A2体系的数据主体——从地方统计机构到商业平台的国家数据接口——被政治激励机制训练成追求不出错：报告异常信号可能触发追责，偏离历史基准的数据需要解释，与上级预期相符的数据是最安全的输出。</w:t>
      </w:r>
    </w:p>
    <w:p>
      <w:pPr>
        <w:pStyle w:val="BodyText"/>
      </w:pPr>
      <w:r>
        <w:t xml:space="preserve">这个优化目标的差异在数据实践中产生了一系列系统性后果。第一，对新兴模式的识别滞后：当现实正在偏离历史基准时，</w:t>
      </w:r>
      <w:r>
        <w:t xml:space="preserve">“</w:t>
      </w:r>
      <w:r>
        <w:t xml:space="preserve">不出错</w:t>
      </w:r>
      <w:r>
        <w:t xml:space="preserve">”</w:t>
      </w:r>
      <w:r>
        <w:t xml:space="preserve">的系统倾向于用历史模式解释异常信号，而不是更新模型。在快速变化的AI时代，这意味着数据描述的是正在消失的现实，而非正在形成的现实。第二，对异常信号的系统性压制：真正重要的预警信号往往是异常的、不符合预期的、在初期统计置信度不高的——而这些恰恰是”不出错”系统最容易过滤掉的部分。第三，方法论的保守性：采用新的统计方法需要对现有数据体系做出解释性承诺，失败有追责风险；沿用已验证的方法即使精度下降也更安全。这使A2体系的数据方法论迭代速度系统性低于受竞争压力驱动的A1商业数据生态。</w:t>
      </w:r>
    </w:p>
    <w:p>
      <w:pPr>
        <w:pStyle w:val="BodyText"/>
      </w:pPr>
      <w:r>
        <w:rPr>
          <w:bCs/>
          <w:b/>
        </w:rPr>
        <w:t xml:space="preserve">绩效压力与数据失真。</w:t>
      </w:r>
      <w:r>
        <w:t xml:space="preserve"> </w:t>
      </w:r>
      <w:r>
        <w:t xml:space="preserve">数据完整性与政治激励的冲突在A2体系有双重来源。一是地方执行层的绩效压力：当数据既是治理依据又是绩效评估标准，地方官员有动机优化数据而非现实。二是中央层面的乐观偏差：当政策成效数据向上汇集，每一层级都有微弱但系统性的动机呈现有利的图景。这两种力量叠加，产生的不是戏剧性的造假，而是累积性的失真——数据向好，但比现实好一点；向坏，但比现实坏得少一点；异常出现时，第一反应是数据质量问题而非现实问题。AI辅助交叉核查（4.10节详述）在技术上有所改善，但没有根本消除这个结构性张力，因为它是权力结构的内在特征，不是工程可以解决的问题。</w:t>
      </w:r>
    </w:p>
    <w:p>
      <w:pPr>
        <w:pStyle w:val="BodyText"/>
      </w:pPr>
      <w:r>
        <w:rPr>
          <w:bCs/>
          <w:b/>
        </w:rPr>
        <w:t xml:space="preserve">数据优势的真实结构：覆盖 vs. 质量的非对称。</w:t>
      </w:r>
      <w:r>
        <w:t xml:space="preserve"> </w:t>
      </w:r>
      <w:r>
        <w:t xml:space="preserve">A2体系的数据优势是真实的，但性质需要精确定义。它在覆盖广度、跨域整合速度、实时监控密度上有结构性优势——这对治安管理、人口统计、配给分配等场景价值显著。它在数据的前瞻性、方法论准确性、对新兴模式的早期识别上有结构性劣势——这对经济政策制定、技术研发决策、市场预测等场景代价显著。两套体系的数据能力不是总量上的高下之分，而是在不同维度上各有其结构性优势和盲区。</w:t>
      </w:r>
    </w:p>
    <w:bookmarkEnd w:id="173"/>
    <w:bookmarkStart w:id="174" w:name="数据体系的结构性比较"/>
    <w:p>
      <w:pPr>
        <w:pStyle w:val="Heading3"/>
      </w:pPr>
      <w:r>
        <w:t xml:space="preserve">3.19.4　数据体系的结构性比较</w:t>
      </w:r>
    </w:p>
    <w:p>
      <w:pPr>
        <w:pStyle w:val="FirstParagraph"/>
      </w:pPr>
      <w:r>
        <w:t xml:space="preserve">两套体系的数据能力差异不是简单的高下之分，而是在不同维度上各有结构性优势与盲区。准确识别这些维度，是避免”数据覆盖广=数据能力强”这一常见误判的前提。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A1体系</w:t>
            </w:r>
          </w:p>
        </w:tc>
        <w:tc>
          <w:tcPr/>
          <w:p>
            <w:pPr>
              <w:pStyle w:val="Compact"/>
              <w:jc w:val="left"/>
            </w:pPr>
            <w:r>
              <w:rPr>
                <w:bCs/>
                <w:b/>
              </w:rPr>
              <w:t xml:space="preserve">A2体系</w:t>
            </w:r>
          </w:p>
        </w:tc>
      </w:tr>
      <w:tr>
        <w:tc>
          <w:tcPr/>
          <w:p>
            <w:pPr>
              <w:pStyle w:val="Compact"/>
              <w:jc w:val="left"/>
            </w:pPr>
            <w:r>
              <w:rPr>
                <w:bCs/>
                <w:b/>
              </w:rPr>
              <w:t xml:space="preserve">数据权力归属</w:t>
            </w:r>
          </w:p>
        </w:tc>
        <w:tc>
          <w:tcPr/>
          <w:p>
            <w:pPr>
              <w:pStyle w:val="Compact"/>
              <w:jc w:val="left"/>
            </w:pPr>
            <w:r>
              <w:t xml:space="preserve">分散（企业、政府、个人）</w:t>
            </w:r>
          </w:p>
        </w:tc>
        <w:tc>
          <w:tcPr/>
          <w:p>
            <w:pPr>
              <w:pStyle w:val="Compact"/>
              <w:jc w:val="left"/>
            </w:pPr>
            <w:r>
              <w:t xml:space="preserve">集中（国家统一架构）</w:t>
            </w:r>
          </w:p>
        </w:tc>
      </w:tr>
      <w:tr>
        <w:tc>
          <w:tcPr/>
          <w:p>
            <w:pPr>
              <w:pStyle w:val="Compact"/>
              <w:jc w:val="left"/>
            </w:pPr>
            <w:r>
              <w:rPr>
                <w:bCs/>
                <w:b/>
              </w:rPr>
              <w:t xml:space="preserve">采集主体</w:t>
            </w:r>
          </w:p>
        </w:tc>
        <w:tc>
          <w:tcPr/>
          <w:p>
            <w:pPr>
              <w:pStyle w:val="Compact"/>
              <w:jc w:val="left"/>
            </w:pPr>
            <w:r>
              <w:t xml:space="preserve">商业平台为主，政府补充</w:t>
            </w:r>
          </w:p>
        </w:tc>
        <w:tc>
          <w:tcPr/>
          <w:p>
            <w:pPr>
              <w:pStyle w:val="Compact"/>
              <w:jc w:val="left"/>
            </w:pPr>
            <w:r>
              <w:t xml:space="preserve">国家平台为主，商业节点辅助</w:t>
            </w:r>
          </w:p>
        </w:tc>
      </w:tr>
      <w:tr>
        <w:tc>
          <w:tcPr/>
          <w:p>
            <w:pPr>
              <w:pStyle w:val="Compact"/>
              <w:jc w:val="left"/>
            </w:pPr>
            <w:r>
              <w:rPr>
                <w:bCs/>
                <w:b/>
              </w:rPr>
              <w:t xml:space="preserve">跨域整合广度</w:t>
            </w:r>
          </w:p>
        </w:tc>
        <w:tc>
          <w:tcPr/>
          <w:p>
            <w:pPr>
              <w:pStyle w:val="Compact"/>
              <w:jc w:val="left"/>
            </w:pPr>
            <w:r>
              <w:t xml:space="preserve">受法律限制，数据孤岛明显</w:t>
            </w:r>
          </w:p>
        </w:tc>
        <w:tc>
          <w:tcPr/>
          <w:p>
            <w:pPr>
              <w:pStyle w:val="Compact"/>
              <w:jc w:val="left"/>
            </w:pPr>
            <w:r>
              <w:t xml:space="preserve">行政框架内全面整合，覆盖广</w:t>
            </w:r>
          </w:p>
        </w:tc>
      </w:tr>
      <w:tr>
        <w:tc>
          <w:tcPr/>
          <w:p>
            <w:pPr>
              <w:pStyle w:val="Compact"/>
              <w:jc w:val="left"/>
            </w:pPr>
            <w:r>
              <w:rPr>
                <w:bCs/>
                <w:b/>
              </w:rPr>
              <w:t xml:space="preserve">数据准确性驱动力</w:t>
            </w:r>
          </w:p>
        </w:tc>
        <w:tc>
          <w:tcPr/>
          <w:p>
            <w:pPr>
              <w:pStyle w:val="Compact"/>
              <w:jc w:val="left"/>
            </w:pPr>
            <w:r>
              <w:t xml:space="preserve">市场惩罚机制（失准有商业代价）</w:t>
            </w:r>
          </w:p>
        </w:tc>
        <w:tc>
          <w:tcPr/>
          <w:p>
            <w:pPr>
              <w:pStyle w:val="Compact"/>
              <w:jc w:val="left"/>
            </w:pPr>
            <w:r>
              <w:t xml:space="preserve">政治激励机制（不出错为优先目标）</w:t>
            </w:r>
          </w:p>
        </w:tc>
      </w:tr>
      <w:tr>
        <w:tc>
          <w:tcPr/>
          <w:p>
            <w:pPr>
              <w:pStyle w:val="Compact"/>
              <w:jc w:val="left"/>
            </w:pPr>
            <w:r>
              <w:rPr>
                <w:bCs/>
                <w:b/>
              </w:rPr>
              <w:t xml:space="preserve">方法论迭代速度</w:t>
            </w:r>
          </w:p>
        </w:tc>
        <w:tc>
          <w:tcPr/>
          <w:p>
            <w:pPr>
              <w:pStyle w:val="Compact"/>
              <w:jc w:val="left"/>
            </w:pPr>
            <w:r>
              <w:t xml:space="preserve">快（竞争压力驱动持续创新）</w:t>
            </w:r>
          </w:p>
        </w:tc>
        <w:tc>
          <w:tcPr/>
          <w:p>
            <w:pPr>
              <w:pStyle w:val="Compact"/>
              <w:jc w:val="left"/>
            </w:pPr>
            <w:r>
              <w:t xml:space="preserve">慢（保守性系统性优于准确性）</w:t>
            </w:r>
          </w:p>
        </w:tc>
      </w:tr>
      <w:tr>
        <w:tc>
          <w:tcPr/>
          <w:p>
            <w:pPr>
              <w:pStyle w:val="Compact"/>
              <w:jc w:val="left"/>
            </w:pPr>
            <w:r>
              <w:rPr>
                <w:bCs/>
                <w:b/>
              </w:rPr>
              <w:t xml:space="preserve">前瞻性与异常识别</w:t>
            </w:r>
          </w:p>
        </w:tc>
        <w:tc>
          <w:tcPr/>
          <w:p>
            <w:pPr>
              <w:pStyle w:val="Compact"/>
              <w:jc w:val="left"/>
            </w:pPr>
            <w:r>
              <w:t xml:space="preserve">强（商业系统主动寻找新兴模式）</w:t>
            </w:r>
          </w:p>
        </w:tc>
        <w:tc>
          <w:tcPr/>
          <w:p>
            <w:pPr>
              <w:pStyle w:val="Compact"/>
              <w:jc w:val="left"/>
            </w:pPr>
            <w:r>
              <w:t xml:space="preserve">弱（倾向用历史模式解释异常信号）</w:t>
            </w:r>
          </w:p>
        </w:tc>
      </w:tr>
      <w:tr>
        <w:tc>
          <w:tcPr/>
          <w:p>
            <w:pPr>
              <w:pStyle w:val="Compact"/>
              <w:jc w:val="left"/>
            </w:pPr>
            <w:r>
              <w:rPr>
                <w:bCs/>
                <w:b/>
              </w:rPr>
              <w:t xml:space="preserve">数据失真来源</w:t>
            </w:r>
          </w:p>
        </w:tc>
        <w:tc>
          <w:tcPr/>
          <w:p>
            <w:pPr>
              <w:pStyle w:val="Compact"/>
              <w:jc w:val="left"/>
            </w:pPr>
            <w:r>
              <w:t xml:space="preserve">商业动机（平台优化指标形象）</w:t>
            </w:r>
          </w:p>
        </w:tc>
        <w:tc>
          <w:tcPr/>
          <w:p>
            <w:pPr>
              <w:pStyle w:val="Compact"/>
              <w:jc w:val="left"/>
            </w:pPr>
            <w:r>
              <w:t xml:space="preserve">政治动机（绩效压力与乐观偏差叠加）</w:t>
            </w:r>
          </w:p>
        </w:tc>
      </w:tr>
      <w:tr>
        <w:tc>
          <w:tcPr/>
          <w:p>
            <w:pPr>
              <w:pStyle w:val="Compact"/>
              <w:jc w:val="left"/>
            </w:pPr>
            <w:r>
              <w:rPr>
                <w:bCs/>
                <w:b/>
              </w:rPr>
              <w:t xml:space="preserve">个人数据权利</w:t>
            </w:r>
          </w:p>
        </w:tc>
        <w:tc>
          <w:tcPr/>
          <w:p>
            <w:pPr>
              <w:pStyle w:val="Compact"/>
              <w:jc w:val="left"/>
            </w:pPr>
            <w:r>
              <w:t xml:space="preserve">法律确认，实践落差大</w:t>
            </w:r>
          </w:p>
        </w:tc>
        <w:tc>
          <w:tcPr/>
          <w:p>
            <w:pPr>
              <w:pStyle w:val="Compact"/>
              <w:jc w:val="left"/>
            </w:pPr>
            <w:r>
              <w:t xml:space="preserve">服从集体治理需要，无实质保护</w:t>
            </w:r>
          </w:p>
        </w:tc>
      </w:tr>
      <w:tr>
        <w:tc>
          <w:tcPr/>
          <w:p>
            <w:pPr>
              <w:pStyle w:val="Compact"/>
              <w:jc w:val="left"/>
            </w:pPr>
            <w:r>
              <w:rPr>
                <w:bCs/>
                <w:b/>
              </w:rPr>
              <w:t xml:space="preserve">优势场景</w:t>
            </w:r>
          </w:p>
        </w:tc>
        <w:tc>
          <w:tcPr/>
          <w:p>
            <w:pPr>
              <w:pStyle w:val="Compact"/>
              <w:jc w:val="left"/>
            </w:pPr>
            <w:r>
              <w:t xml:space="preserve">市场预测、政策前瞻、新兴模式识别</w:t>
            </w:r>
          </w:p>
        </w:tc>
        <w:tc>
          <w:tcPr/>
          <w:p>
            <w:pPr>
              <w:pStyle w:val="Compact"/>
              <w:jc w:val="left"/>
            </w:pPr>
            <w:r>
              <w:t xml:space="preserve">人口统计、治安监控、配给分配</w:t>
            </w:r>
          </w:p>
        </w:tc>
      </w:tr>
      <w:tr>
        <w:tc>
          <w:tcPr/>
          <w:p>
            <w:pPr>
              <w:pStyle w:val="Compact"/>
              <w:jc w:val="left"/>
            </w:pPr>
            <w:r>
              <w:rPr>
                <w:bCs/>
                <w:b/>
              </w:rPr>
              <w:t xml:space="preserve">劣势场景</w:t>
            </w:r>
          </w:p>
        </w:tc>
        <w:tc>
          <w:tcPr/>
          <w:p>
            <w:pPr>
              <w:pStyle w:val="Compact"/>
              <w:jc w:val="left"/>
            </w:pPr>
            <w:r>
              <w:t xml:space="preserve">跨域整合的社会治理</w:t>
            </w:r>
          </w:p>
        </w:tc>
        <w:tc>
          <w:tcPr/>
          <w:p>
            <w:pPr>
              <w:pStyle w:val="Compact"/>
              <w:jc w:val="left"/>
            </w:pPr>
            <w:r>
              <w:t xml:space="preserve">快速变化环境下的经济政策制定</w:t>
            </w:r>
          </w:p>
        </w:tc>
      </w:tr>
    </w:tbl>
    <w:p>
      <w:pPr>
        <w:pStyle w:val="BodyText"/>
      </w:pPr>
      <w:r>
        <w:t xml:space="preserve">这个比较揭示了一个反直觉的结论：</w:t>
      </w:r>
      <w:r>
        <w:rPr>
          <w:bCs/>
          <w:b/>
        </w:rPr>
        <w:t xml:space="preserve">覆盖更广的数据体系，不等于能力更强的数据体系</w:t>
      </w:r>
      <w:r>
        <w:t xml:space="preserve">。A2体系掌握了关于个人和社会更完整的历史记录，但这些记录的前瞻价值受到方法论保守性和政治激励失真的系统性制约；A1体系的数据在覆盖上有结构性缺口，但商业竞争驱动的方法论演化使其在动态预测和异常识别上保有持续的质量优势。</w:t>
      </w:r>
    </w:p>
    <w:p>
      <w:pPr>
        <w:pStyle w:val="BodyText"/>
      </w:pPr>
      <w:r>
        <w:t xml:space="preserve">在AI时代，这个差异的战略意义在放大：当数据分析的价值核心从”描述现实”转向”预测变化”，方法论的前瞻性比覆盖的完整性更重要。A1体系在商业竞争中积累的方法论优势，可能在这个维度上产生持续的影响。</w:t>
      </w:r>
    </w:p>
    <w:p>
      <w:pPr>
        <w:pStyle w:val="BodyText"/>
      </w:pPr>
      <w:r>
        <w:rPr>
          <w:iCs/>
          <w:i/>
        </w:rPr>
        <w:t xml:space="preserve">两套体系的数据架构是各自制度逻辑在技术层面的最直接呈现——A1体系的分散竞争产生了方法论活力，代价是整合能力受限；A2体系的统一集中产生了覆盖广度，代价是方法论保守与政治失真。这不是技术能力的差距，而是两种制度在数据层面的不同取舍，各自在不同的使用场景中占优。</w:t>
      </w:r>
    </w:p>
    <w:bookmarkEnd w:id="174"/>
    <w:bookmarkEnd w:id="175"/>
    <w:bookmarkStart w:id="180" w:name="媒体生态专业媒体与自媒体"/>
    <w:p>
      <w:pPr>
        <w:pStyle w:val="Heading2"/>
      </w:pPr>
      <w:r>
        <w:t xml:space="preserve">3.20　媒体生态：专业媒体与自媒体</w:t>
      </w:r>
    </w:p>
    <w:p>
      <w:pPr>
        <w:pStyle w:val="FirstParagraph"/>
      </w:pPr>
      <w:r>
        <w:t xml:space="preserve">2072年的媒体生态是工业时代大众媒体逻辑与AI时代个体化内容逻辑长期碰撞之后的产物。碰撞的结果不是一方消灭另一方，而是一个高度分层、内部生态复杂的并存格局：专业媒体在核实、调查、背景解读上仍有不可替代的功能，但它的受众范围和商业基础已经根本性重构；自媒体在规模和覆盖上全面碾压专业媒体，但内容质量、信息可靠性、深度叙事能力的分布极度两极化。两套体系对这个格局有截然不同的制度应对，形成了性质根本不同的信息环境。</w:t>
      </w:r>
    </w:p>
    <w:bookmarkStart w:id="176" w:name="技术基础生产侧与分发侧的双重颠覆"/>
    <w:p>
      <w:pPr>
        <w:pStyle w:val="Heading3"/>
      </w:pPr>
      <w:r>
        <w:t xml:space="preserve">3.20.1　技术基础：生产侧与分发侧的双重颠覆</w:t>
      </w:r>
    </w:p>
    <w:p>
      <w:pPr>
        <w:pStyle w:val="FirstParagraph"/>
      </w:pPr>
      <w:r>
        <w:rPr>
          <w:bCs/>
          <w:b/>
        </w:rPr>
        <w:t xml:space="preserve">生产侧：AI将内容生产成本降至接近零。</w:t>
      </w:r>
      <w:r>
        <w:t xml:space="preserve"> </w:t>
      </w:r>
      <w:r>
        <w:t xml:space="preserve">深度伪造在2035年前后达到感知上不可区分的水平。更根本的影响是：AI使任何人都可以生产任何体量的专业质感内容，包括视频报道、数据分析、深度评论。内容的差异化来源从生产能力转移到了信息获取能力（谁有独家来源？）和判断质量（谁的分析框架更可靠？）。任何音视频内容的真实性验证在没有密码学签名链支持的情况下已经不可能——签名链是2072年信息可信度的唯一技术性锚点，但大量受众没有能力或动机去验证它。</w:t>
      </w:r>
    </w:p>
    <w:p>
      <w:pPr>
        <w:pStyle w:val="BodyText"/>
      </w:pPr>
      <w:r>
        <w:rPr>
          <w:bCs/>
          <w:b/>
        </w:rPr>
        <w:t xml:space="preserve">分发侧：算法推荐成为实质性守门人。</w:t>
      </w:r>
      <w:r>
        <w:t xml:space="preserve"> </w:t>
      </w:r>
      <w:r>
        <w:t xml:space="preserve">工业时代的内容分发由编辑决策控制——编辑选择什么内容登上头版，这是一个可见的权力。算法推荐系统将这个权力转移给了不可见的代码：什么内容被推送给谁、以什么频率、在什么情绪状态下，由算法根据用户历史行为和平台商业目标综合决定。这不是中性的技术，是带有价值取向的政治。A1体系的算法由商业平台控制，优化目标是参与度（engagement）；A2体系的算法由国家监管框架定义，优化目标是社会稳定和正向叙事传播。</w:t>
      </w:r>
    </w:p>
    <w:bookmarkEnd w:id="176"/>
    <w:bookmarkStart w:id="177" w:name="a1体系专业媒体的收缩自媒体的分层与第一修正案的张力"/>
    <w:p>
      <w:pPr>
        <w:pStyle w:val="Heading3"/>
      </w:pPr>
      <w:r>
        <w:t xml:space="preserve">3.20.2　A1体系：专业媒体的收缩、自媒体的分层与第一修正案的张力</w:t>
      </w:r>
    </w:p>
    <w:p>
      <w:pPr>
        <w:pStyle w:val="FirstParagraph"/>
      </w:pPr>
      <w:r>
        <w:rPr>
          <w:bCs/>
          <w:b/>
        </w:rPr>
        <w:t xml:space="preserve">专业媒体的生存转型。</w:t>
      </w:r>
      <w:r>
        <w:t xml:space="preserve"> </w:t>
      </w:r>
      <w:r>
        <w:t xml:space="preserve">工业时代的大众媒体商业模式（广告收入支撑大规模采编团队）在AI时代基本瓦解：广告收入随注意力分散而碎片化，内容生产的人力成本优势被AI侵蚀。幸存的专业媒体集中在三类形态：深度调查媒体（靠订阅付费维持，受众小但高黏性，竞争力来自AI无法替代的一手信息获取）；垂直专业媒体（服务特定专业社群，内容质量是商业价值核心，订阅定价高）；品牌权威媒体（少数历史积累深厚的机构靠品牌信任和内容多元性维持较大规模，体量相比工业时代已大幅收缩）。共同特征是：依赖订阅而非广告，受众规模小但付费意愿强。</w:t>
      </w:r>
    </w:p>
    <w:p>
      <w:pPr>
        <w:pStyle w:val="BodyText"/>
      </w:pPr>
      <w:r>
        <w:rPr>
          <w:bCs/>
          <w:b/>
        </w:rPr>
        <w:t xml:space="preserve">自媒体生态的极度分层。</w:t>
      </w:r>
      <w:r>
        <w:t xml:space="preserve"> </w:t>
      </w:r>
      <w:r>
        <w:t xml:space="preserve">A1体系的自媒体生态是人类历史上内容多样性最高的信息环境，也是内容可靠性分布最极端的信息环境。顶端是数百到数千个规模化的专业自媒体——个人或小团队，AI辅助生产，内容质量接近专业媒体，订阅收入达到可持续的商业规模。中间是数以百万计的小众社群媒体，底端是几乎无限数量的个人表达，大部分在算法过滤中自然消解。地方媒体的空白是最显著的结构性问题：调查性本地新闻在大多数低人口密度地区基本消失，这是A1体系被遗忘地带与城市集群信息获取差异的重要维度。</w:t>
      </w:r>
    </w:p>
    <w:p>
      <w:pPr>
        <w:pStyle w:val="BodyText"/>
      </w:pPr>
      <w:r>
        <w:rPr>
          <w:bCs/>
          <w:b/>
        </w:rPr>
        <w:t xml:space="preserve">第一修正案：保护言论，还是庇护寒蝉？</w:t>
      </w:r>
    </w:p>
    <w:p>
      <w:pPr>
        <w:pStyle w:val="BodyText"/>
      </w:pPr>
      <w:r>
        <w:t xml:space="preserve">第一修正案对媒体生态的影响在2072年是一个充满内部矛盾的制度现实，不能被简单地描述为”保护”或”阻碍”。</w:t>
      </w:r>
    </w:p>
    <w:p>
      <w:pPr>
        <w:pStyle w:val="BodyText"/>
      </w:pPr>
      <w:r>
        <w:rPr>
          <w:iCs/>
          <w:i/>
        </w:rPr>
        <w:t xml:space="preserve">诉讼驱动的自我审查（Chilling Effect）。</w:t>
      </w:r>
      <w:r>
        <w:t xml:space="preserve"> </w:t>
      </w:r>
      <w:r>
        <w:t xml:space="preserve">AI时代的媒体诉讼风险急剧上升，原因在于：深度调查的规模扩大了潜在的误报面积；AI辅助内容生成使错误可以在质量控制介入之前大规模传播；原告可以在任何有连接点的州提起诉讼，地方诽谤法的多样性产生了法律套利空间。结果是媒体开展的自我审查往往超出法律实际要求的范围——不是因为相关报道违法，而是因为应诉成本本身已经构成惩罚。2072年最典型的形态是：涉及有资源发起诉讼的强势主体（大型企业、政治人物、外国政府关联实体）的报道，经历了系统性的法律风险过滤，深度调查对象向诉讼成本较低的弱势群体倾斜。这与A2体系的外部审查不同，但在部分领域产生了功能上相似的效果：有权力的人更少受到有效的媒体监督。2072年的两个差异仍然重要：A2的审查是明确的制度设计，A1的寒蝉效应是商业和法律逻辑的副产品；A1的寒蝉效应可以通过资金、法律改革、诉讼支持被部分对抗，A2的审查没有合法的对抗渠道。</w:t>
      </w:r>
    </w:p>
    <w:p>
      <w:pPr>
        <w:pStyle w:val="BodyText"/>
      </w:pPr>
      <w:r>
        <w:rPr>
          <w:iCs/>
          <w:i/>
        </w:rPr>
        <w:t xml:space="preserve">应对A2宣传机器的国家审查机制。</w:t>
      </w:r>
      <w:r>
        <w:t xml:space="preserve"> </w:t>
      </w:r>
      <w:r>
        <w:t xml:space="preserve">当A2体系通过国家资本运作的媒体实体、本地化社交账号、算法采购等方式在A1信息环境内大规模投放有利叙事，第一修正案划定了国家可以使用的工具边界，同时产生了工具有效性的结构性约束。</w:t>
      </w:r>
    </w:p>
    <w:p>
      <w:pPr>
        <w:pStyle w:val="BodyText"/>
      </w:pPr>
      <w:r>
        <w:t xml:space="preserve">国家可以合法使用的机制包括：强化外国代理人注册要求（FARA升级版），要求所有接受外国政府资金的内容生产者进行强制披露，受众看到内容时能看到其资金来源标注；平台透明度强制令，要求平台公开算法对外国政府关联账号的分发模式，并对经认定的协调虚假信息网络实施分发限制（不是删除内容，而是限制放大）；国家安全框架下对已知外国情报操作的定向干预，需要司法授权，范围受严格限制。</w:t>
      </w:r>
    </w:p>
    <w:p>
      <w:pPr>
        <w:pStyle w:val="BodyText"/>
      </w:pPr>
      <w:r>
        <w:t xml:space="preserve">国家不能合法使用的机制包括：基于内容立场（而非资金来源）的预先审查；要求平台删除”不利于美国利益”的内容（内容中性原则）；建立涵盖普通外国媒体的通用访问限制（等同于防火墙，在第一修正案下不可能实施）。</w:t>
      </w:r>
    </w:p>
    <w:p>
      <w:pPr>
        <w:pStyle w:val="BodyText"/>
      </w:pPr>
      <w:r>
        <w:t xml:space="preserve">这个边界产生的现实困境是：A2的信息影响操作刻意设计为绕过FARA要求——通过本地公民运营的账号，通过表面独立的研究机构，通过娱乐内容嵌入叙事框架，而不是通过可识别的外国政府媒体。国家只能应对已被证明与外国政府存在协调关系的操作，对更广泛的影响渗透几乎没有工具。这不是法律执行的失败，而是第一修正案在信息战语境下的结构性局限：它保护的恰恰是攻击者最容易利用的那部分空间。</w:t>
      </w:r>
    </w:p>
    <w:p>
      <w:pPr>
        <w:pStyle w:val="BodyText"/>
      </w:pPr>
      <w:r>
        <w:rPr>
          <w:iCs/>
          <w:i/>
        </w:rPr>
        <w:t xml:space="preserve">国家力量支持专业媒体进行反宣传：一个制度性悖论。</w:t>
      </w:r>
      <w:r>
        <w:t xml:space="preserve"> </w:t>
      </w:r>
      <w:r>
        <w:t xml:space="preserve">A1体系国家能否在不违背第一修正案的情况下，主动支持专业媒体对抗A2的信息渗透？这是2072年尚未有完整共识的制度问题，实践中已有若干不同形态的探索。</w:t>
      </w:r>
    </w:p>
    <w:p>
      <w:pPr>
        <w:pStyle w:val="BodyText"/>
      </w:pPr>
      <w:r>
        <w:t xml:space="preserve">资金支持模式：参照美国之音（VOA）和国家公共广播电台（NPR）的历史先例，联邦资金可以流向编辑独立的媒体机构，前提是资金与内容决策之间存在法律隔离。2072年的扩展版本是”民主媒体基金”——联邦专项拨款流向经独立审计认证、编辑政策不受资金影响的调查性媒体机构，覆盖A2信息渗透最密集的地理和语言群体（华语社区、俄语社区、中东语言社区）。第一修正案允许这个模式，但前提是资金不附带内容指令。实践中这个隔离是脆弱的——政治上依赖联邦资金的媒体机构，在报道涉及资金来源机构的议题时，自我审查压力以非正式方式传导。</w:t>
      </w:r>
    </w:p>
    <w:p>
      <w:pPr>
        <w:pStyle w:val="BodyText"/>
      </w:pPr>
      <w:r>
        <w:t xml:space="preserve">技术基础设施支持：政府可以资助密码学签名链的公共基础设施，使专业媒体可以对内容真实性进行可验证的公共认证，降低受众辨别深度伪造的认知成本。这不涉及内容，只涉及真实性验证工具，在第一修正案下没有争议。2072年这个基础设施已部分建立，但普通受众使用率仍然偏低。</w:t>
      </w:r>
    </w:p>
    <w:p>
      <w:pPr>
        <w:pStyle w:val="BodyText"/>
      </w:pPr>
      <w:r>
        <w:t xml:space="preserve">媒体素养课程的公共资金：政府资助K12媒体素养教育，教授学生识别算法操纵、来源核查、签名链验证。这是防御性的公民基础设施建设，在宪法上没有障碍，效果存在但周期长——代际教育变化需要二十年以上才能在成人受众中体现。</w:t>
      </w:r>
    </w:p>
    <w:p>
      <w:pPr>
        <w:pStyle w:val="BodyText"/>
      </w:pPr>
      <w:r>
        <w:t xml:space="preserve">直接反叙事内容的边界：政府本身生产并投放”纠正性内容”（counter-narrative）是第一修正案最模糊的地带。政府作为言论主体有权发声，但当政府言论通过算法渠道被放大到与私人媒体竞争，实质上是在用公共资源干预信息市场。2072年联邦政府在这个边界上的实践是保守的——主要通过国务院和国防部（针对境外受众）发布反叙事内容，针对国内受众的政府主导叙事干预在政治上争议极大，尚无稳定的制度形态。</w:t>
      </w:r>
    </w:p>
    <w:p>
      <w:pPr>
        <w:pStyle w:val="BodyText"/>
      </w:pPr>
      <w:r>
        <w:t xml:space="preserve">这个悖论的深层是：第一修正案假设信息市场是平等的竞争场域，国家对信息生产的干预会破坏这种平等。但当信息市场的实际参与者包括了具有国家资源的外国行为者，</w:t>
      </w:r>
      <w:r>
        <w:t xml:space="preserve">“</w:t>
      </w:r>
      <w:r>
        <w:t xml:space="preserve">平等竞争</w:t>
      </w:r>
      <w:r>
        <w:t xml:space="preserve">”</w:t>
      </w:r>
      <w:r>
        <w:t xml:space="preserve">已经是虚假的前提——A2体系的信息渗透本身就是不平等的。第一修正案提供的框架没有好的答案，因为它被设计用来对抗的敌人是本国政府，而不是外国政府以市场参与者身份进行的信息渗透。</w:t>
      </w:r>
    </w:p>
    <w:bookmarkEnd w:id="177"/>
    <w:bookmarkStart w:id="178" w:name="a2体系媒体作为治理组件"/>
    <w:p>
      <w:pPr>
        <w:pStyle w:val="Heading3"/>
      </w:pPr>
      <w:r>
        <w:t xml:space="preserve">3.20.3　A2体系：媒体作为治理组件</w:t>
      </w:r>
    </w:p>
    <w:p>
      <w:pPr>
        <w:pStyle w:val="FirstParagraph"/>
      </w:pPr>
      <w:r>
        <w:rPr>
          <w:bCs/>
          <w:b/>
        </w:rPr>
        <w:t xml:space="preserve">专业媒体的制度定位。</w:t>
      </w:r>
      <w:r>
        <w:t xml:space="preserve"> </w:t>
      </w:r>
      <w:r>
        <w:t xml:space="preserve">A2体系的专业媒体不是独立的第四权力，而是治理体系的一个组成部分。国家媒体承担正向叙事建构的职能——传递政策方向、塑造事件解读框架、维护社会稳定叙事。这个定位不妨碍这些媒体在技术质量上做到很高的水平：制作精良的纪录片、数据可视化报道、国际新闻的专业覆盖，都是A2体系官方媒体的真实能力。但它们的职能约束决定了它们在政治敏感内容上的系统性失语。商业媒体在非政治领域有较大的运营空间：娱乐、体育、科技、财经的媒体市场在A2体系是真实的商业竞争市场，这部分市场的运作逻辑与A1体系的商业媒体接近。</w:t>
      </w:r>
    </w:p>
    <w:p>
      <w:pPr>
        <w:pStyle w:val="BodyText"/>
      </w:pPr>
      <w:r>
        <w:rPr>
          <w:bCs/>
          <w:b/>
        </w:rPr>
        <w:t xml:space="preserve">自媒体的双重空间。</w:t>
      </w:r>
      <w:r>
        <w:t xml:space="preserve"> </w:t>
      </w:r>
      <w:r>
        <w:t xml:space="preserve">A2体系的自媒体生态存在清晰的双层结构。合规层：海量的娱乐、生活、科技、历史、学术自媒体在平台上合法运营，是创作者经济的真实组成部分。管控层：政治敏感内容的自媒体生存空间极为有限，AI内容审核系统实现了规模化的实时内容过滤——不只是删除已发布内容，而是在发布前预审，高风险内容不能触达受众。创作者在长期实践中形成了内容边界的精确感知，大量有能力的创作者把创作能量投入政治边界之内的领域，A2体系在非政治性内容上拥有非常活跃的自媒体生态，在政治性内容上是结构性的沉默。</w:t>
      </w:r>
    </w:p>
    <w:p>
      <w:pPr>
        <w:pStyle w:val="BodyText"/>
      </w:pPr>
      <w:r>
        <w:rPr>
          <w:bCs/>
          <w:b/>
        </w:rPr>
        <w:t xml:space="preserve">叙事管理的技术升级。</w:t>
      </w:r>
      <w:r>
        <w:t xml:space="preserve"> </w:t>
      </w:r>
      <w:r>
        <w:t xml:space="preserve">A2体系的叙事管理在2072年已从”删除不利内容”升级为”塑造信息环境”：与其删除批评声音，不如确保批评声音在算法分发中被稀释，正向内容被系统性放大。用户可以发布批评性内容，但算法会限制其传播范围；情绪激活的正向叙事内容会被算法优先推送。这个机制比直接删除更难感知，因为用户看到的是”我的内容有人看，只是没那么多人”，而不是内容消失。</w:t>
      </w:r>
    </w:p>
    <w:bookmarkEnd w:id="178"/>
    <w:bookmarkStart w:id="179" w:name="跨体系信息流动"/>
    <w:p>
      <w:pPr>
        <w:pStyle w:val="Heading3"/>
      </w:pPr>
      <w:r>
        <w:t xml:space="preserve">3.20.4　跨体系信息流动</w:t>
      </w:r>
    </w:p>
    <w:p>
      <w:pPr>
        <w:pStyle w:val="FirstParagraph"/>
      </w:pPr>
      <w:r>
        <w:t xml:space="preserve">两套体系的信息环境并非完全隔绝。A2体系用户通过VPN访问A1体系内容的行为持续存在，且在受过高等教育的城市人口中相当普遍。A2体系对此的管理态度是”高压线以外的选择性容忍”：日常的外网访问不被主动追究，但涉及政治敏感内容的跨境信息流动会被重点监控。</w:t>
      </w:r>
    </w:p>
    <w:p>
      <w:pPr>
        <w:pStyle w:val="BodyText"/>
      </w:pPr>
      <w:r>
        <w:t xml:space="preserve">A1体系内的A2叙事渗透（详见3.20节信息战部分）在结构上依赖A1的开放信息环境：正是因为A1不能像A2那样管控内容来源，有国家资源支持的外部叙事渗透才能在A1信息环境中持续运作。这个悖论没有在不损害第一修正案原则的前提下可以彻底解决的方案，是2072年A1体系信息安全的最深结构性弱点。</w:t>
      </w:r>
    </w:p>
    <w:p>
      <w:pPr>
        <w:pStyle w:val="BodyText"/>
      </w:pPr>
      <w:r>
        <w:rPr>
          <w:iCs/>
          <w:i/>
        </w:rPr>
        <w:t xml:space="preserve">两套体系的媒体生态是各自制度逻辑在信息层面的投影。A1体系的信息多元性真实但混乱，注意力经济的商业逻辑和诉讼风险双重过滤使多元性的功能效果打折；A2体系的信息环境有序但范围受限，秩序是通过系统性约束实现的，不是通过自发共识实现的。两种信息环境都在制造各自的认知问题：A1制造的是信息过载与真实性辨别困难；A2制造的是特定维度上的信息稀缺与叙事单一性。</w:t>
      </w:r>
    </w:p>
    <w:bookmarkEnd w:id="179"/>
    <w:bookmarkEnd w:id="180"/>
    <w:bookmarkStart w:id="184" w:name="信息战与认知战争"/>
    <w:p>
      <w:pPr>
        <w:pStyle w:val="Heading2"/>
      </w:pPr>
      <w:r>
        <w:t xml:space="preserve">3.21　信息战与认知战争</w:t>
      </w:r>
    </w:p>
    <w:p>
      <w:pPr>
        <w:pStyle w:val="FirstParagraph"/>
      </w:pPr>
      <w:r>
        <w:rPr>
          <w:iCs/>
          <w:i/>
        </w:rPr>
        <w:t xml:space="preserve">本节从技术与战术层面分析2072年信息战的攻防逻辑，关注点是工具、手法和技术条件。动荡期（2026—2044）意识形态战争的宏观叙事框架、阵营叙事体系及其历史后果，见7.4节；信息战赖以运作的媒体生态基础设施，见3.20节；数据基础设施，见3.19节。</w:t>
      </w:r>
    </w:p>
    <w:p>
      <w:pPr>
        <w:pStyle w:val="BodyText"/>
      </w:pPr>
      <w:r>
        <w:t xml:space="preserve">信息战在2072年已经不是国家机器的专属工具，而是各种规模行为者——国家、公司、社区、个人——普遍可及的干预手段。这个民主化（或无政府化）的结果不是信息战的弱化，而是其全面渗透到日常生活的每个层面。3.18节描述的数据基础设施和3.19节描述的媒体生态，共同构成了信息战攻防的物质条件；本节专注于攻防的逻辑本身。</w:t>
      </w:r>
    </w:p>
    <w:bookmarkStart w:id="181" w:name="主要战法"/>
    <w:p>
      <w:pPr>
        <w:pStyle w:val="Heading3"/>
      </w:pPr>
      <w:r>
        <w:t xml:space="preserve">3.21.1　主要战法</w:t>
      </w:r>
    </w:p>
    <w:p>
      <w:pPr>
        <w:pStyle w:val="FirstParagraph"/>
      </w:pPr>
      <w:r>
        <w:t xml:space="preserve">叙事框架投射：不攻击具体事实，而是建立解释框架。同样的经济数据在不同框架下产生完全相反的政治含义。框架一旦建立，它会自动处理未来进入的信息——这是框架战的长期价值，也是为什么信息战投资的回报周期以年计而非以次计。</w:t>
      </w:r>
    </w:p>
    <w:p>
      <w:pPr>
        <w:pStyle w:val="BodyText"/>
      </w:pPr>
      <w:r>
        <w:t xml:space="preserve">社会撕裂放大：识别目标社会内部已存在的张力，通过算法投放精准地对不同群体呈现强化其偏见的内容，加速社会内部的极化而不暴露干预者的存在。这比传统宣传更有效，因为内容来自目标社会内部，外部干预只是放大器。在A1体系的信息开放环境下，这个战法的进入成本接近于零。</w:t>
      </w:r>
    </w:p>
    <w:p>
      <w:pPr>
        <w:pStyle w:val="BodyText"/>
      </w:pPr>
      <w:r>
        <w:t xml:space="preserve">信任基础设施攻击：攻击目标社会的制度信任基础——媒体、科学机构、选举系统——使人们对任何集体判断来源产生普遍怀疑。当没有任何权威可信，动员和集体行动的认知基础瓦解。这是比具体叙事投放更深层的战略目标：不是让人相信某件事，而是让人不相信任何事。</w:t>
      </w:r>
    </w:p>
    <w:p>
      <w:pPr>
        <w:pStyle w:val="BodyText"/>
      </w:pPr>
      <w:r>
        <w:t xml:space="preserve">认知超载：以远超处理能力的信息量轰炸，使理性分析成本无限上升，人们默认依赖情绪反应和群体认同进行判断。这不需要信息是假的，大量真实信息的碎片化本身就可以产生认知麻痹。</w:t>
      </w:r>
    </w:p>
    <w:bookmarkEnd w:id="181"/>
    <w:bookmarkStart w:id="182" w:name="防御困境"/>
    <w:p>
      <w:pPr>
        <w:pStyle w:val="Heading3"/>
      </w:pPr>
      <w:r>
        <w:t xml:space="preserve">3.21.2　防御困境</w:t>
      </w:r>
    </w:p>
    <w:p>
      <w:pPr>
        <w:pStyle w:val="FirstParagraph"/>
      </w:pPr>
      <w:r>
        <w:t xml:space="preserve">信息战防御面临根本性的不对称困境：进攻成本接近零，防御成本极高；进攻可以匿名，防御必须公开；进攻利用人类心理的已知弱点（确认偏误、情绪捷径），防御需要改变这些弱点。</w:t>
      </w:r>
    </w:p>
    <w:p>
      <w:pPr>
        <w:pStyle w:val="BodyText"/>
      </w:pPr>
      <w:r>
        <w:t xml:space="preserve">A2体系通过防火墙和正向叙事建构实现最高的信息环境控制度，代价是减少了信息多样性和创新驱动的认知自由。在应对外部信息战时，A2的内向封闭恰好构成防御优势：外部叙事渗透的渠道被防火墙大幅收窄，A1体系在A2信息环境内的影响力远弱于A2在A1信息环境内的影响力。这个不对称是结构性的，不是战术上的。</w:t>
      </w:r>
    </w:p>
    <w:p>
      <w:pPr>
        <w:pStyle w:val="BodyText"/>
      </w:pPr>
      <w:r>
        <w:t xml:space="preserve">欧洲路径通过媒体素养教育和平台监管实现中等防御效果，执行速度慢于攻击技术演化速度，但制度正当性高于A1的各类应对措施——欧洲的平台监管（DSA类框架）可以要求平台主动对协调虚假信息网络采取行动，不受类似第一修正案的宪法约束。</w:t>
      </w:r>
    </w:p>
    <w:p>
      <w:pPr>
        <w:pStyle w:val="BodyText"/>
      </w:pPr>
      <w:r>
        <w:t xml:space="preserve">A1体系因第一修正案的宪法约束，制度层面对信息战攻击的防御能力最弱。这个弱点在3.19节的第一修正案讨论中已经详述：国家可以使用的工具在宪法框架内十分有限，而攻击者刻意设计为绕过这些工具的射程范围之外。</w:t>
      </w:r>
    </w:p>
    <w:p>
      <w:pPr>
        <w:pStyle w:val="BodyText"/>
      </w:pPr>
      <w:r>
        <w:t xml:space="preserve">2072年，没有任何路径找到满意的信息战解决方案。最稳定的信息环境来自真正的社区封闭——不是国家强制的封闭，而是社区成员自发选择的信息边界。这是多态社会信息生态最悖论性的特征：真正的认知安全来自主动的不知道，来自选择不接触令人焦虑的外部信息。这是自由，也是逃避。</w:t>
      </w:r>
    </w:p>
    <w:bookmarkEnd w:id="182"/>
    <w:bookmarkStart w:id="183" w:name="信息战的不对称现实与a1体系的防御资产"/>
    <w:p>
      <w:pPr>
        <w:pStyle w:val="Heading3"/>
      </w:pPr>
      <w:r>
        <w:t xml:space="preserve">3.21.3　信息战的不对称现实与A1体系的防御资产</w:t>
      </w:r>
    </w:p>
    <w:p>
      <w:pPr>
        <w:pStyle w:val="FirstParagraph"/>
      </w:pPr>
      <w:r>
        <w:t xml:space="preserve">2072年信息战的全局格局是高度不对称的，这种不对称是制度性的而非能力性的。A2体系对A1体系的信息渗透能力，在规模和持续性上远超A1体系对A2体系的影响力——原因不是A2拥有更好的技术或更高的投入，而是A1的开放信息环境为渗透提供了结构性机会，而A2的防火墙对A1的信息投放构成了物理屏障。这不是某次战役的胜负，而是两种制度设计在信息战场上的长期结构性结果。</w:t>
      </w:r>
    </w:p>
    <w:p>
      <w:pPr>
        <w:pStyle w:val="BodyText"/>
      </w:pPr>
      <w:r>
        <w:t xml:space="preserve">A1体系的某些社会特征也放大了这个不对称：高度政治极化使社会内部张力丰富，撕裂放大战法的目标丰沛；注意力经济使情绪激活内容自然获得更高传播，渗透性叙事只需沿着既有的商业推荐逻辑运作；地方媒体空白使大量地方议题缺乏权威信息来源，留下了叙事真空供外部填充。</w:t>
      </w:r>
    </w:p>
    <w:p>
      <w:pPr>
        <w:pStyle w:val="BodyText"/>
      </w:pPr>
      <w:r>
        <w:t xml:space="preserve">然而，把这幅图景理解为A1体系在信息战中单方面被动挨打是失真的。A1体系拥有若干A2体系无法复制的防御资产，这些资产分散在国家力量之外，是整个民主体系的信息韧性来源。</w:t>
      </w:r>
    </w:p>
    <w:p>
      <w:pPr>
        <w:pStyle w:val="BodyText"/>
      </w:pPr>
      <w:r>
        <w:rPr>
          <w:bCs/>
          <w:b/>
        </w:rPr>
        <w:t xml:space="preserve">盟友媒体生态的覆盖厚度。</w:t>
      </w:r>
      <w:r>
        <w:t xml:space="preserve"> </w:t>
      </w:r>
      <w:r>
        <w:t xml:space="preserve">A1体系不只是美国。B1类民主国家（英国BBC、德国之声、法国国际广播电台、日本NHK国际频道等）构成了相互独立、互为补充的多语言专业媒体矩阵，覆盖A2信息渗透最密集的语言区（华语、波斯语、阿拉伯语、俄语、东南亚语言群）。这个矩阵的优势不在于资金规模，而在于公信力的多元来源：即使美国媒体在特定受众中被视为有国家立场，英国、德国、日本的同类媒体往往被同一受众接受为更中立的参照。A2体系难以同时在所有语言区和所有盟友媒体上部署系统性的信任攻击，多元来源构成了去中心化的信息韧性。</w:t>
      </w:r>
    </w:p>
    <w:p>
      <w:pPr>
        <w:pStyle w:val="BodyText"/>
      </w:pPr>
      <w:r>
        <w:rPr>
          <w:bCs/>
          <w:b/>
        </w:rPr>
        <w:t xml:space="preserve">自媒体的双向作用。</w:t>
      </w:r>
      <w:r>
        <w:t xml:space="preserve"> </w:t>
      </w:r>
      <w:r>
        <w:t xml:space="preserve">自媒体在信息战中并非单纯的漏洞，也是A1体系的非对称防御资源。A2体系的叙事渗透依赖规模化、协调化的操作，本质上是中心化的；而A1自媒体生态中大量真实的个人创作者——公民记者、领域专家、社区观察者——以非中心化的方式持续生产和核查信息，是AI批量内容操作最难模拟的部分。一个真实的人在特定社区中长期积累的信任，比任何算法分发的匿名账号更难被替代。动荡期最有效的信息战防御案例，往往不是国家行动，而是自媒体社群对特定渗透操作的自发识别和曝光——这类社群行动的响应速度和社会可信度，在许多情况下超过了官方的辟谣渠道。自媒体同时也是A2叙事渗透的载体，两者并行存在于同一个生态中，不能被简化为单一方向的力量。</w:t>
      </w:r>
    </w:p>
    <w:p>
      <w:pPr>
        <w:pStyle w:val="BodyText"/>
      </w:pPr>
      <w:r>
        <w:rPr>
          <w:bCs/>
          <w:b/>
        </w:rPr>
        <w:t xml:space="preserve">公民价值观：最深层的防御，也是最大的不确定性。</w:t>
      </w:r>
      <w:r>
        <w:t xml:space="preserve"> </w:t>
      </w:r>
      <w:r>
        <w:t xml:space="preserve">A1体系信息战韧性的最终基础不是媒体机构，不是法律工具，而是大量普通公民对自由主义核心价值——个人权利、程序正义、反对威权——的内化程度。当这种内化足够深，外部叙事攻击对自由主义制度的解构效力有天花板：即使人们对具体政府行为高度不满，对制度框架本身的认同仍然构成抵抗力。动荡期大国冲突引发的全球反战情绪、对技术官僚威权主义的系统性厌倦，都曾在历史节点上以公民判断的形式抵消了叙事操作的预期效果。</w:t>
      </w:r>
    </w:p>
    <w:p>
      <w:pPr>
        <w:pStyle w:val="BodyText"/>
      </w:pPr>
      <w:r>
        <w:t xml:space="preserve">然而这个变量是真正的不确定性。价值观不是静止的存量，是在每一代人的生活经历中被重新激活或侵蚀的过程。当AI时代的经济冲击使大量人口在物质上依赖国家配给、在意义上失去劳动锚点，自由主义的价值前提——个体自主、努力有回报、法律面前平等——的可信度在日常经验中受到挑战。一个觉得”系统对我不公平”的人，对关于该系统价值的叙事的抵抗力会下降。攻击者真正想攻击的不是具体的媒体内容，而是让人们相信自由主义承诺是真实的那个经验基础。公民价值观的韧性，最终取决于制度是否仍在绝大多数人的生活中以可感知的方式兑现它的承诺。</w:t>
      </w:r>
    </w:p>
    <w:p>
      <w:pPr>
        <w:pStyle w:val="BodyText"/>
      </w:pPr>
      <w:r>
        <w:t xml:space="preserve">这个结构性不对称在2072年是承认但未解决的现实。A1体系的防御力量真实存在，但分散、非对称、高度依赖无法被计划的公民自主行动。这或许是A1体系在信息战时代最准确的自我定位：不是坚不可摧的防线，而是韧性充沛但边界模糊的生态。</w:t>
      </w:r>
    </w:p>
    <w:bookmarkEnd w:id="183"/>
    <w:bookmarkEnd w:id="184"/>
    <w:bookmarkEnd w:id="185"/>
    <w:bookmarkStart w:id="296" w:name="第四部分-经济图景技术进展的分配后果"/>
    <w:p>
      <w:pPr>
        <w:pStyle w:val="Heading1"/>
      </w:pPr>
      <w:r>
        <w:t xml:space="preserve">第四部分　经济图景：技术进展的分配后果</w:t>
      </w:r>
    </w:p>
    <w:p>
      <w:pPr>
        <w:pStyle w:val="FirstParagraph"/>
      </w:pPr>
      <w:r>
        <w:t xml:space="preserve">技术线描述了什么变了，社会线描述了人如何响应，经济线处理两者之间的传导机制——变化通过什么经济逻辑从技术层传到社会层。AI、聚变、原材料、新农业这四个重大进展，对不同类型的经济体产生截然不同的冲击，金融体系随实体经济重组而演化。</w:t>
      </w:r>
    </w:p>
    <w:p>
      <w:pPr>
        <w:pStyle w:val="BodyText"/>
      </w:pPr>
      <w:r>
        <w:rPr>
          <w:bCs/>
          <w:b/>
        </w:rPr>
        <w:t xml:space="preserve">本部分的时间结构。</w:t>
      </w:r>
      <w:r>
        <w:t xml:space="preserve">第四部分以2072年为主要观察截面，同时追溯技术红利的传导过程（约2027—2072）。4.1节包含角色分类总表与A1、A2体系的经济社会逻辑；4.2—4.5节描述AI、聚变、原材料与新农业的实体经济后果；4.6—4.7节处理人口与就业的结构性重写；4.9—4.12节处理财政、A1货币政策、A2货币政策与国际金融四个制度层；4.13—4.15节为文化、医疗与非正式经济专题；4.16节回到2072年稳态作综合收束，时间坐标以2072年为准，必要时标注历史节点。</w:t>
      </w:r>
    </w:p>
    <w:p>
      <w:pPr>
        <w:pStyle w:val="BodyText"/>
      </w:pPr>
      <w:r>
        <w:rPr>
          <w:bCs/>
          <w:b/>
        </w:rPr>
        <w:t xml:space="preserve">关于本部分的分析视角。</w:t>
      </w:r>
      <w:r>
        <w:t xml:space="preserve">第四部分的制度层分析（4.9—4.12节）以A1体系（美国为代表的民主市场路径）为主要推演对象，除非明确标注为A2或A1/A2对比。这一选择有三个理由：A1体系的制度逻辑（税收立法、央行独立性、联邦-州分权、市场传导）可以从已有的现实机制推演，推演链条相对可验证；A2体系的政策过程不透明，逻辑更难从外部验证，相关推演在各节A2专段中单独呈现，读者阅读时应持更审慎态度；文化、医疗、非正式经济各节则以跨体系视角呈现，不限于A1。各节在标题或导言中会明确说明分析范围，无特别标注时默认为A1视角。</w:t>
      </w:r>
    </w:p>
    <w:p>
      <w:pPr>
        <w:pStyle w:val="BodyText"/>
      </w:pPr>
      <w:r>
        <w:rPr>
          <w:bCs/>
          <w:b/>
        </w:rPr>
        <w:t xml:space="preserve">方法论说明。</w:t>
      </w:r>
      <w:r>
        <w:t xml:space="preserve"> </w:t>
      </w:r>
      <w:r>
        <w:t xml:space="preserve">第四部分的经济推演存在若干固有局限，阅读时应予注意。</w:t>
      </w:r>
    </w:p>
    <w:p>
      <w:pPr>
        <w:pStyle w:val="BodyText"/>
      </w:pPr>
      <w:r>
        <w:t xml:space="preserve">第一，经济变量是关系性的。价格、成本、供给、需求都以特定经济体内部的参照系为基准，不存在跨体系通用的绝对量。</w:t>
      </w:r>
      <w:r>
        <w:t xml:space="preserve">“</w:t>
      </w:r>
      <w:r>
        <w:t xml:space="preserve">聚变使能源成本下降</w:t>
      </w:r>
      <w:r>
        <w:t xml:space="preserve">”</w:t>
      </w:r>
      <w:r>
        <w:t xml:space="preserve">这类命题，在A1核心区、制造业主导型C/B2类经济体E类被遗忘地带，指向的是完全不同量级的现实，甚至对后者根本不适用。正文中使用无限定主语的趋势性陈述，默认参照系是A1/A2体系内部，跨体系阅读时需注意基准差异。</w:t>
      </w:r>
    </w:p>
    <w:p>
      <w:pPr>
        <w:pStyle w:val="BodyText"/>
      </w:pPr>
      <w:r>
        <w:t xml:space="preserve">第二，技术扩散高度异质。同一技术在不同地域和人群中的渗透速度可相差十至二十年，覆盖范围对某些群体可能永久不及。第四部分的分类框架（A1/A2/B1/B2/C/D/E类）能够捕捉路径差异，但框架内部的人群异质性——城乡、代际、正式与非正式经济——仍然被大幅压缩。</w:t>
      </w:r>
    </w:p>
    <w:p>
      <w:pPr>
        <w:pStyle w:val="BodyText"/>
      </w:pPr>
      <w:r>
        <w:t xml:space="preserve">第三，结构性推演的代表性有限。以A1/A2为主轴的制度逻辑推演，会系统性地低估非正式经济、过渡态和内部分化。C类和E类的处境在这个框架里只能粗线条呈现，不构成对其真实复杂性的完整描述。</w:t>
      </w:r>
    </w:p>
    <w:p>
      <w:pPr>
        <w:pStyle w:val="BodyText"/>
      </w:pPr>
      <w:r>
        <w:t xml:space="preserve">第四，数据丰度改变决策失败的来源，而非消除决策失败。2072年的AI全丰度数据环境使可量化的已知风险得到更精确的管理——政策操作从事后反应推向事前干预，已知偏差在积累到临界之前得到响应，经济运行的平滑性因此系统性提升。但数据丰度没有消灭不确定性，而是改变了其构成：随着可量化风险被管理至接近极限，残余的不确定性越来越集中于反身性（AI预测被广泛采用后市场围绕预测本身重新定价）、新型系统性风险（隐性关联在爆发前不可见）和政治性约束（方向决策层面的价值判断，数据工具触及不到）。第四部分的推演在可量化领域相对可信，在上述三类残余不确定性领域应视为方向性判断而非结论。</w:t>
      </w:r>
    </w:p>
    <w:bookmarkStart w:id="189" w:name="产业冲击时间线ai与聚变的叠加展开"/>
    <w:p>
      <w:pPr>
        <w:pStyle w:val="Heading2"/>
      </w:pPr>
      <w:r>
        <w:t xml:space="preserve">4.1　产业冲击时间线：AI与聚变的叠加展开</w:t>
      </w:r>
    </w:p>
    <w:p>
      <w:pPr>
        <w:pStyle w:val="FirstParagraph"/>
      </w:pPr>
      <w:r>
        <w:t xml:space="preserve">本节以年份为主轴，整合AI与聚变两条技术线对产业结构的影响，呈现两者如何在不同阶段分别主导、相互支撑，最终共同构成2072年的产业图景。产业影响的详细推演见4.4—4.5节（原材料与新农业）、4.9—4.12节（财政货币国际金融）；本节的功能是提供时序总纲，建立后续各节的时间坐标系。</w:t>
      </w:r>
    </w:p>
    <w:bookmarkStart w:id="186" w:name="第一阶段ai主导聚变尚在研发20272040"/>
    <w:p>
      <w:pPr>
        <w:pStyle w:val="Heading3"/>
      </w:pPr>
      <w:r>
        <w:t xml:space="preserve">4.1.1　第一阶段：AI主导，聚变尚在研发（2027—2040）</w:t>
      </w:r>
    </w:p>
    <w:p>
      <w:pPr>
        <w:pStyle w:val="FirstParagraph"/>
      </w:pPr>
      <w:r>
        <w:t xml:space="preserve">这一阶段的产业冲击完全由AI驱动，聚变对产业的影响几乎为零。聚变研发（2037年净能量突破）发生在这一阶段末尾，但商业部署要到2044年以后才开始。</w:t>
      </w:r>
    </w:p>
    <w:p>
      <w:pPr>
        <w:pStyle w:val="BodyText"/>
      </w:pPr>
      <w:r>
        <w:rPr>
          <w:bCs/>
          <w:b/>
        </w:rPr>
        <w:t xml:space="preserve">AI的产业影响</w:t>
      </w:r>
      <w:r>
        <w:t xml:space="preserve">在这一阶段分两波展开。第一波（2027—2035）是工具性AI普及：知识密集型服务业（法律、金融、医疗影像、初级研发）生产率提升30—60%，但行业规模并未相应扩张——需求弹性低的行业（法律服务、会计）将效率提升转化为人员缩减，需求弹性较高的行业（内容生产、数据分析）产出扩张但就业净增量低于生产率增速。制造业此阶段受AI冲击有限，AI主要渗透设计、质检、供应链管理等辅助流程，生产线自动化速度慢于认知工作替代速度。</w:t>
      </w:r>
    </w:p>
    <w:p>
      <w:pPr>
        <w:pStyle w:val="BodyText"/>
      </w:pPr>
      <w:r>
        <w:t xml:space="preserve">第二波（2035—2040）是智能体AI开始进入跨行业部署：物流和仓储自动化超过经济临界点，制造业具身机器人成本开始系统性下降（但尚未完成大规模替代），金融交易和合规分析接近全面AI化。这一阶段的关键变化是制造业开始感受到直接冲击，不只是流程辅助层面的渗透。</w:t>
      </w:r>
    </w:p>
    <w:p>
      <w:pPr>
        <w:pStyle w:val="BodyText"/>
      </w:pPr>
      <w:r>
        <w:rPr>
          <w:bCs/>
          <w:b/>
        </w:rPr>
        <w:t xml:space="preserve">对产业格局的结构性含义</w:t>
      </w:r>
      <w:r>
        <w:t xml:space="preserve">：这一阶段确立了一个将在之后持续的分配逻辑——AI技术上游的利润（模型、算力、平台）集中在A1和A2核心体系，中游应用层（部署AI工具的企业）在各类经济体中均可获益但程度不一，下游只承受替代冲击的经济体（制造业主导型C/B2类经济体和E类）几乎无法参与红利分配。这个上中下游结构在聚变进入之后不会消失，而是成为两条技术线分配逻辑的共同底层。</w:t>
      </w:r>
    </w:p>
    <w:p>
      <w:pPr>
        <w:pStyle w:val="BodyText"/>
      </w:pPr>
      <w:r>
        <w:rPr>
          <w:bCs/>
          <w:b/>
        </w:rPr>
        <w:t xml:space="preserve">聚变的预期效应已开始影响产业决策</w:t>
      </w:r>
      <w:r>
        <w:t xml:space="preserve">：即使商业堆尚未上线，聚变研发加速（2033年后）改变了能源密集型产业的长期投资逻辑。铝冶炼、合成氨、绿氢等行业的新增产能投资在2037年后开始以”等待聚变电价”为由放缓——宁可维持旧设备、推迟更新，而不是在化石电价下建设将在10年内折旧的新产能。这个”产能投资冻结”是聚变还未上线就开始产生的产业效应，在能源密集型行业表现最明显。</w:t>
      </w:r>
    </w:p>
    <w:bookmarkEnd w:id="186"/>
    <w:bookmarkStart w:id="187" w:name="第二阶段ai加速与聚变上线20402055"/>
    <w:p>
      <w:pPr>
        <w:pStyle w:val="Heading3"/>
      </w:pPr>
      <w:r>
        <w:t xml:space="preserve">4.1.2　第二阶段：AI加速与聚变上线（2040—2055）</w:t>
      </w:r>
    </w:p>
    <w:p>
      <w:pPr>
        <w:pStyle w:val="FirstParagraph"/>
      </w:pPr>
      <w:r>
        <w:t xml:space="preserve">这一阶段是两条主线的第一个真实交汇区间。AI冲击在2040—2053年进入最剧烈的替代阶段；聚变于2044年实现电网上线，2047年起工业侧开始感受到切实的电价变化。两者的叠加在这一阶段制造了产业重组速度有史以来最快的十五年。</w:t>
      </w:r>
    </w:p>
    <w:p>
      <w:pPr>
        <w:pStyle w:val="BodyText"/>
      </w:pPr>
      <w:r>
        <w:rPr>
          <w:bCs/>
          <w:b/>
        </w:rPr>
        <w:t xml:space="preserve">AI的产业影响</w:t>
      </w:r>
      <w:r>
        <w:t xml:space="preserve">进入第三波（2040—2053）：可自动化岗位替代率在2053年前后超过80%。制造业具身机器人完成大规模部署，人工成本优势消失临界点在各行业陆续到来——物流仓储约2040—2043年，离散制造约2043—2048年，流程制造约2046—2052年，非标准化服务业（餐饮、基础护理）约2045—2053年。同期，专业服务业的AI替代从辅助转为主体：中级律师、注册会计师、影像科医师、基础研究助理等岗位的用工需求系统性收缩。</w:t>
      </w:r>
    </w:p>
    <w:p>
      <w:pPr>
        <w:pStyle w:val="BodyText"/>
      </w:pPr>
      <w:r>
        <w:rPr>
          <w:bCs/>
          <w:b/>
        </w:rPr>
        <w:t xml:space="preserve">聚变的产业影响</w:t>
      </w:r>
      <w:r>
        <w:t xml:space="preserve">在这一阶段从预期转变为现实，并与AI冲击在特定行业形成协同效应：</w:t>
      </w:r>
    </w:p>
    <w:p>
      <w:pPr>
        <w:numPr>
          <w:ilvl w:val="0"/>
          <w:numId w:val="1008"/>
        </w:numPr>
      </w:pPr>
      <w:r>
        <w:rPr>
          <w:iCs/>
          <w:i/>
        </w:rPr>
        <w:t xml:space="preserve">能源密集型行业（2047—2052）</w:t>
      </w:r>
      <w:r>
        <w:t xml:space="preserve">：铝冶炼、氯碱化工、合成氨、数据中心在工业电价较2026年下降20—30%后开始系统性扩张。这一扩张不需要更多劳动力——AI和自动化使新增产能以极低的就业密度运行，聚变红利被资本和少数技术工人截取，未能转化为广泛就业增长。</w:t>
      </w:r>
    </w:p>
    <w:p>
      <w:pPr>
        <w:numPr>
          <w:ilvl w:val="0"/>
          <w:numId w:val="1008"/>
        </w:numPr>
      </w:pPr>
      <w:r>
        <w:rPr>
          <w:iCs/>
          <w:i/>
        </w:rPr>
        <w:t xml:space="preserve">合成食品产业链（2052—2057）</w:t>
      </w:r>
      <w:r>
        <w:t xml:space="preserve">：LCOE降至20—35美元/MWh时，生物反应器能耗成本大幅下降，合成蛋白质与传统蛋白质的价格差距收窄至30—40%。2052—2055年前后，大规模配给体系的财政可行性在A1和A2核心区先后成立（A2约2052年，A1约2054—2055年）——这是聚变与AI制度响应叠合的关键节点：AI引发的就业崩塌要求建立基础保障体系，聚变提供的廉价能源使这个体系的物资成本变得可承受。</w:t>
      </w:r>
    </w:p>
    <w:p>
      <w:pPr>
        <w:numPr>
          <w:ilvl w:val="0"/>
          <w:numId w:val="1008"/>
        </w:numPr>
      </w:pPr>
      <w:r>
        <w:rPr>
          <w:iCs/>
          <w:i/>
        </w:rPr>
        <w:t xml:space="preserve">化石能源产业（2050—2058）</w:t>
      </w:r>
      <w:r>
        <w:t xml:space="preserve">：化石燃料边际需求开始持续下降，D类化石能源出口国进入财政压力期。这不只是化石能源行业的内部问题，而是通过大宗商品定价、石油美元结算体系和资源依赖型财政的传导，在全球产业和金融层面都留下印记。</w:t>
      </w:r>
    </w:p>
    <w:p>
      <w:pPr>
        <w:pStyle w:val="FirstParagraph"/>
      </w:pPr>
      <w:r>
        <w:rPr>
          <w:bCs/>
          <w:b/>
        </w:rPr>
        <w:t xml:space="preserve">两条主线的因果关联在此阶段最密集</w:t>
      </w:r>
      <w:r>
        <w:t xml:space="preserve">。聚变电力廉价化加速了数据中心算力扩张（AI的物理基础设施），AI工程优化工具反过来压缩了聚变电站建设成本与运维成本——两条主线在这一阶段形成相互支撑的正反馈。但这个正反馈是技术层面的，分配层面的结果是红利高度集中：掌握AI技术平台和聚变建设能力的少数经济体，同时从两条主线的协同中获益。</w:t>
      </w:r>
    </w:p>
    <w:bookmarkEnd w:id="187"/>
    <w:bookmarkStart w:id="188" w:name="第三阶段两线收束产业稳态形成20552072"/>
    <w:p>
      <w:pPr>
        <w:pStyle w:val="Heading3"/>
      </w:pPr>
      <w:r>
        <w:t xml:space="preserve">4.1.3　第三阶段：两线收束，产业稳态形成（2055—2072）</w:t>
      </w:r>
    </w:p>
    <w:p>
      <w:pPr>
        <w:pStyle w:val="FirstParagraph"/>
      </w:pPr>
      <w:r>
        <w:t xml:space="preserve">这一阶段的产业重组从剧烈调整转向结构性稳定：AI替代完成了大多数可替代岗位的替代，聚变电价进入第三阶段（LCOE约8—15美元/MWh），主要的产业重组已经发生，各路径开始在新的成本和就业结构下寻求均衡。</w:t>
      </w:r>
    </w:p>
    <w:p>
      <w:pPr>
        <w:pStyle w:val="BodyText"/>
      </w:pPr>
      <w:r>
        <w:rPr>
          <w:bCs/>
          <w:b/>
        </w:rPr>
        <w:t xml:space="preserve">能源约束的根本转变</w:t>
      </w:r>
      <w:r>
        <w:t xml:space="preserve">：2060年代以后，能源从”竞争优势的来源”变为”背景性基础设施成本”。这使竞争优势的来源向技术能力、资本规模和物流网络集中，进一步强化了A1/A2核心体系与其他路径之间的结构性差距——拥有AI技术平台的经济体，在能源从限制性约束转为背景性基础设施成本之后，其技术优势在更多产业中变得更加决定性。</w:t>
      </w:r>
    </w:p>
    <w:p>
      <w:pPr>
        <w:pStyle w:val="BodyText"/>
      </w:pPr>
      <w:r>
        <w:rPr>
          <w:bCs/>
          <w:b/>
        </w:rPr>
        <w:t xml:space="preserve">聚变在新兴产业的持续渗透</w:t>
      </w:r>
      <w:r>
        <w:t xml:space="preserve">：绿氢生产规模化（2052年后经济可行，2060年代进入大规模建设），合成燃料（SAF）替代约30—40%的航空燃油，垂直农业在城市地区越过成本临界点，城市矿山（回收冶炼）效率大幅提升。这些产业在2055—2072年间持续扩张，但同样以极低的就业密度运行——廉价能源+AI运维的组合使新产业增长与劳动就业完全解耦。</w:t>
      </w:r>
    </w:p>
    <w:p>
      <w:pPr>
        <w:pStyle w:val="BodyText"/>
      </w:pPr>
      <w:r>
        <w:rPr>
          <w:bCs/>
          <w:b/>
        </w:rPr>
        <w:t xml:space="preserve">产业格局的2072年截面</w:t>
      </w:r>
      <w:r>
        <w:t xml:space="preserve">：三个轴线共同定义了2072年的产业结构。第一，能源约束消失使产业布局从”靠近能源”向”靠近技术、资本和物流节点”集中，进一步有利于已有优势的A1/A2核心区。第二，AI使劳动力成本在大多数制造业和服务业中不再是竞争变量，以低成本劳动力为主要比较优势的C/B2类制造业经济体的竞争优势永久消失。第三，配给体系在AI/A2体系和BSC体系在A1体系的全面建立，标志着”分配功能从市场机制转向政治机制”的历史性制度转变完成——不管聚变和AI创造了多少生产率增量，其分配方式已经不再主要由劳动力市场决定。</w:t>
      </w:r>
    </w:p>
    <w:p>
      <w:pPr>
        <w:pStyle w:val="BodyText"/>
      </w:pPr>
      <w:r>
        <w:rPr>
          <w:iCs/>
          <w:i/>
        </w:rPr>
        <w:t xml:space="preserve">两条主线产业影响的详细展开：AI相关见4.7节（就业结构重组）；聚变相关见4.3节（聚变经济后果）；两线交汇对财政体系的含义见4.9节。</w:t>
      </w:r>
    </w:p>
    <w:bookmarkEnd w:id="188"/>
    <w:bookmarkEnd w:id="189"/>
    <w:bookmarkStart w:id="194" w:name="就业冲击时间线替代裸露与制度响应"/>
    <w:p>
      <w:pPr>
        <w:pStyle w:val="Heading2"/>
      </w:pPr>
      <w:r>
        <w:t xml:space="preserve">4.2　就业冲击时间线：替代、裸露与制度响应</w:t>
      </w:r>
    </w:p>
    <w:p>
      <w:pPr>
        <w:pStyle w:val="FirstParagraph"/>
      </w:pPr>
      <w:r>
        <w:t xml:space="preserve">本节以年份为主轴，整合AI与聚变两条主线对就业结构的冲击，追踪替代如何分阶段展开、裸露期如何在各路径中形成和结束、制度响应如何与技术冲击的节奏相互作用。就业影响的行业细节见4.7节；财政传导见4.9节；本节提供就业冲击的时序总纲。</w:t>
      </w:r>
    </w:p>
    <w:bookmarkStart w:id="190" w:name="裸露期的结构财富增长为何不能自动填补制度空白"/>
    <w:p>
      <w:pPr>
        <w:pStyle w:val="Heading3"/>
      </w:pPr>
      <w:r>
        <w:t xml:space="preserve">4.2.1　裸露期的结构：财富增长为何不能自动填补制度空白</w:t>
      </w:r>
    </w:p>
    <w:p>
      <w:pPr>
        <w:pStyle w:val="FirstParagraph"/>
      </w:pPr>
      <w:r>
        <w:t xml:space="preserve">裸露期是第四部分就业叙事的核心概念，指就业已大规模崩塌而制度保障尚未到位的窗口。裸露期的存在不意味着社会变穷——AI替代就业的同时提升了生产率，整体财富在增长。但财富增长与制度能够调动的财富之间，存在结构性的时序落差，这才是裸露期痛苦的真实来源。</w:t>
      </w:r>
    </w:p>
    <w:p>
      <w:pPr>
        <w:pStyle w:val="BodyText"/>
      </w:pPr>
      <w:r>
        <w:rPr>
          <w:bCs/>
          <w:b/>
        </w:rPr>
        <w:t xml:space="preserve">财富的三条流向</w:t>
      </w:r>
    </w:p>
    <w:p>
      <w:pPr>
        <w:pStyle w:val="BodyText"/>
      </w:pPr>
      <w:r>
        <w:t xml:space="preserve">AI生产率增量在裸露期内沿三条路径流动。第一条，持续投入AI基础设施扩张：这是最快的路径，但其财富性质在裸露期内分两个阶段演变（见下）。第二条，通过资本市场向持有金融资产的人口分配：A1体系中约50—60%的人口持有金融资产，但分布极度不均，股市财富效应对中下层实际购买力的改善远小于账面数字，对失业人口几乎没有直接触达。第三条，转化为税基支撑再分配：这是最滞后的路径——工资税税基随就业萎缩而系统性下降，新税源必须通过资本收益税的立法调整才能建立，而这个立法行动本身就是裸露期内阻力最大的政治任务。</w:t>
      </w:r>
    </w:p>
    <w:p>
      <w:pPr>
        <w:pStyle w:val="BodyText"/>
      </w:pPr>
      <w:r>
        <w:rPr>
          <w:bCs/>
          <w:b/>
        </w:rPr>
        <w:t xml:space="preserve">从预期投资到利润再投资：两个阶段</w:t>
      </w:r>
    </w:p>
    <w:p>
      <w:pPr>
        <w:pStyle w:val="BodyText"/>
      </w:pPr>
      <w:r>
        <w:t xml:space="preserve">第一条路径的内部演变对理解裸露期财政动态最为关键。AI产业的盈利结构在裸露期内经历了根本性转变，可以从科技产业发展史的角度分两个阶段来理解——这与互联网产业1990年代末大规模亏损扩张、2000年代中期才陆续进入规模盈利的历史路径在结构上相似，AI产业的周期更为压缩。</w:t>
      </w:r>
    </w:p>
    <w:p>
      <w:pPr>
        <w:pStyle w:val="BodyText"/>
      </w:pPr>
      <w:r>
        <w:t xml:space="preserve">第一阶段（约2027—2032年）是预期资本化主导的阶段。基础模型公司收入高速增长但净亏损同步扩大，盈利尚未实现；算力平台企业（微软Azure、AWS、Google Cloud等）虽已在AI算力供给上盈利，但利润几乎全部再投入下一轮算力扩张。这一时期的财富效应主要是预期资本化：投资者对未来利润的预期折现进股价，账面财富上升，但企业层面的应税利润有限，税基的实际贡献远小于账面数字。这是裸露期财政压力最尖锐的窗口——就业替代已经开始、工资税税基在萎缩，而AI产业尚未产生足以支撑再分配的利润税源。这一阶段的股市财富效应也更为脆弱：它建立在预期之上，一旦盈利预期出现系统性下修便会逆转，消费侧压力可能因此叠加而非缓冲。</w:t>
      </w:r>
    </w:p>
    <w:p>
      <w:pPr>
        <w:pStyle w:val="BodyText"/>
      </w:pPr>
      <w:r>
        <w:t xml:space="preserve">第二阶段（约2032—2055年）是利润实现与再投资并行的阶段。基础模型公司陆续越过盈亏平衡点，算力平台企业的AI算力业务利润扣除再投资后开始产生可观的应税收益。企业所得税和资本利得税有了真实的征收对象，资本收入税立法的实际效果开始显现，股市财富效应也从纯粹的预期资本化逐步叠加真实利润分配。裸露期的财政约束随之松动，BSC等制度的税源基础逐步扩大——尽管制度响应仍在追赶就业冲击已经造成的存量损伤。</w:t>
      </w:r>
    </w:p>
    <w:p>
      <w:pPr>
        <w:pStyle w:val="BodyText"/>
      </w:pPr>
      <w:r>
        <w:rPr>
          <w:bCs/>
          <w:b/>
        </w:rPr>
        <w:t xml:space="preserve">最低保障的政治经济逻辑</w:t>
      </w:r>
    </w:p>
    <w:p>
      <w:pPr>
        <w:pStyle w:val="BodyText"/>
      </w:pPr>
      <w:r>
        <w:t xml:space="preserve">建立基础保障体系是多方利益汇聚的结果，不只是道义选择。大规模失业如果不被兜底，消费萎缩会打击所有企业营收，维持足够的总需求本身就符合整体的经济利益——消费品企业、零售业、服务业有正向动力支持需求侧保障。基础保障同时保障了退出就业者的生存和市场的消费基础，两者并不对立。</w:t>
      </w:r>
    </w:p>
    <w:p>
      <w:pPr>
        <w:pStyle w:val="BodyText"/>
      </w:pPr>
      <w:r>
        <w:t xml:space="preserve">各方真正存在分歧的不是保障是否必要，而是由谁承担成本、以何种形式实现。</w:t>
      </w:r>
    </w:p>
    <w:p>
      <w:pPr>
        <w:pStyle w:val="BodyText"/>
      </w:pPr>
      <w:r>
        <w:t xml:space="preserve">在A1体系，保障形式的核心政治张力在于：政府主导的支出扩张意味着财政收入进入政府后由政治过程支配，分配方向的不确定性是持续阻力的结构来源。BSC积分制的制度特征在这一博弈中形成了较宽的政治容忍区间：规则立法化、积分直达个人自主支配、政府在分配过程中的自由裁量空间相对有限。这些特征使积分制在财政来源、分配方式、行政权力边界等各自存在争议的维度上，都能找到一定的支持立场，逐步在博弈中沉淀为当前形态，而非某一利益集团主导设计的结果。立法的主要摩擦来源，是各方围绕税制结构（谁来加税、加多少、如何评估）的旷日持久争议，这也是裸露期制度滞后的核心政治原因。</w:t>
      </w:r>
    </w:p>
    <w:p>
      <w:pPr>
        <w:pStyle w:val="BodyText"/>
      </w:pPr>
      <w:r>
        <w:t xml:space="preserve">A2体系的保障形式逻辑与此相反：由谁承担成本不是开放的政治博弈议题，而是国家统一调配的行政决定；国有AI资本利润直接转化为配给扩张，无需立法协商。保障形式（供应票据）同样服务于特定的政治功能——精确维持”有单位”与”只有票据”之间的可见物质落差，使进入体制保持为真实的激励目标。票据的额度和品类由国家设定，个人自主支配空间有限，这既是制度效率的来源，也是与A1积分制在治理逻辑上的根本差异。</w:t>
      </w:r>
    </w:p>
    <w:p>
      <w:pPr>
        <w:pStyle w:val="BodyText"/>
      </w:pPr>
      <w:r>
        <w:rPr>
          <w:bCs/>
          <w:b/>
        </w:rPr>
        <w:t xml:space="preserve">应急措施的固化路径</w:t>
      </w:r>
    </w:p>
    <w:p>
      <w:pPr>
        <w:pStyle w:val="BodyText"/>
      </w:pPr>
      <w:r>
        <w:t xml:space="preserve">制度响应在裸露期内不是从零开始的。失业救济扩大、临时补贴等应急措施比系统性立法快得多，在裸露期内先行落地作为缓冲。一旦这些措施覆盖的受益人口规模足够大、持续时间足够长，取消它们的政治成本便会超过维持成本，应急措施由此逐步固化为常设制度。BSC的立法路径正是这个过程的产物：先有失业救济扩大，再有积分制叠加试点，最后系统性立法确立架构。这解释了裸露期为何不会无限延续，也解释了为何它一定会存在一段时间——固化需要受益人口积累到足够的政治分量，无法被压缩到零。</w:t>
      </w:r>
    </w:p>
    <w:p>
      <w:pPr>
        <w:pStyle w:val="BodyText"/>
      </w:pPr>
      <w:r>
        <w:rPr>
          <w:bCs/>
          <w:b/>
        </w:rPr>
        <w:t xml:space="preserve">聚变的角色</w:t>
      </w:r>
    </w:p>
    <w:p>
      <w:pPr>
        <w:pStyle w:val="BodyText"/>
      </w:pPr>
      <w:r>
        <w:t xml:space="preserve">聚变对裸露期的意义不在于创造就业或加速立法，而在于改变物质条件。廉价能源使合成食品生产成本趋近于零，使基础保障体系（配给或BSC）的财政可行性在2052—2059年间陆续成立。裸露期结束需要制度与物质同时到位：制度何时到位取决于政治过程，物质何时到位取决于聚变部署进度，两者都不可省略。</w:t>
      </w:r>
    </w:p>
    <w:bookmarkEnd w:id="190"/>
    <w:bookmarkStart w:id="191" w:name="第一阶段ai裸露期开始聚变尚不提供物质兜底20272047"/>
    <w:p>
      <w:pPr>
        <w:pStyle w:val="Heading3"/>
      </w:pPr>
      <w:r>
        <w:t xml:space="preserve">4.2.2　第一阶段：AI裸露期开始，聚变尚不提供物质兜底（2027—2047）</w:t>
      </w:r>
    </w:p>
    <w:p>
      <w:pPr>
        <w:pStyle w:val="FirstParagraph"/>
      </w:pPr>
      <w:r>
        <w:rPr>
          <w:bCs/>
          <w:b/>
        </w:rPr>
        <w:t xml:space="preserve">AGI临界（2027）与就业替代的系统性开始</w:t>
      </w:r>
      <w:r>
        <w:t xml:space="preserve">：2027年前后AI跨越使标准化认知劳动可以被系统性替代的能力门槛。此后就业替代不再是局部现象，而是跨行业的普遍压力。L2（就业大规模受影响）在各路径分别在3—8年后到来。</w:t>
      </w:r>
    </w:p>
    <w:p>
      <w:pPr>
        <w:pStyle w:val="BodyText"/>
      </w:pPr>
      <w:r>
        <w:t xml:space="preserve">各路径的裸露期开始时间：</w:t>
      </w:r>
    </w:p>
    <w:p>
      <w:pPr>
        <w:numPr>
          <w:ilvl w:val="0"/>
          <w:numId w:val="1009"/>
        </w:numPr>
      </w:pPr>
      <w:r>
        <w:rPr>
          <w:bCs/>
          <w:b/>
        </w:rPr>
        <w:t xml:space="preserve">A1体系（美国）</w:t>
      </w:r>
      <w:r>
        <w:t xml:space="preserve">：L2约2031—37年，裸露期约5—8年，是动荡期政治极化的主要经济驱动力。制度响应需经历立法博弈（资本收入税扩基，BSC立法），L3过程约2036—2055年，完成节点约2052—2055年。</w:t>
      </w:r>
    </w:p>
    <w:p>
      <w:pPr>
        <w:numPr>
          <w:ilvl w:val="0"/>
          <w:numId w:val="1009"/>
        </w:numPr>
      </w:pPr>
      <w:r>
        <w:rPr>
          <w:bCs/>
          <w:b/>
        </w:rPr>
        <w:t xml:space="preserve">A2体系（中国）</w:t>
      </w:r>
      <w:r>
        <w:t xml:space="preserve">：L2约2030—35年到来，国家调配（国企编制吸收、公务员扩张）使裸露期外观被部分掩盖，制度响应在2033—38年无需协商推进，裸露期约3—5年，是所有路径中最短的。</w:t>
      </w:r>
    </w:p>
    <w:p>
      <w:pPr>
        <w:numPr>
          <w:ilvl w:val="0"/>
          <w:numId w:val="1009"/>
        </w:numPr>
      </w:pPr>
      <w:r>
        <w:rPr>
          <w:bCs/>
          <w:b/>
        </w:rPr>
        <w:t xml:space="preserve">欧洲</w:t>
      </w:r>
      <w:r>
        <w:t xml:space="preserve">：福利缓冲使裸露期痛苦低于A1，但L3完成约2038—59年，最长可达10年以上。</w:t>
      </w:r>
    </w:p>
    <w:p>
      <w:pPr>
        <w:numPr>
          <w:ilvl w:val="0"/>
          <w:numId w:val="1009"/>
        </w:numPr>
      </w:pPr>
      <w:r>
        <w:rPr>
          <w:bCs/>
          <w:b/>
        </w:rPr>
        <w:t xml:space="preserve">全球南方（B2/C类）</w:t>
      </w:r>
      <w:r>
        <w:t xml:space="preserve">：L2冲击约2035—2050年分批到来，但制度响应的物质基础（可分配的经济红利）从未建立，裸露期是结构性的，不随时间自动结束。</w:t>
      </w:r>
    </w:p>
    <w:p>
      <w:pPr>
        <w:pStyle w:val="FirstParagraph"/>
      </w:pPr>
      <w:r>
        <w:rPr>
          <w:bCs/>
          <w:b/>
        </w:rPr>
        <w:t xml:space="preserve">这一阶段聚变尚无就业缓冲能力</w:t>
      </w:r>
      <w:r>
        <w:t xml:space="preserve">。2037年净能量突破是技术事件，不是经济事件；2044年首批商业堆电网上线时LCOE约60—100美元/MWh，尚未对大多数产业产生成本冲击；物质兜底条件要到2052—2055年才成立。这意味着2027—2052年的AI就业冲击必须完全依赖已有制度机制（失业救济、临时补贴、形式就业扩张）来缓冲，没有新增的物质资源可以分配。这是动荡期就业压力之所以无法被轻易化解的物质原因。</w:t>
      </w:r>
    </w:p>
    <w:bookmarkEnd w:id="191"/>
    <w:bookmarkStart w:id="192" w:name="第二阶段关键交汇窗口物质兜底与制度需求同时到位20492059"/>
    <w:p>
      <w:pPr>
        <w:pStyle w:val="Heading3"/>
      </w:pPr>
      <w:r>
        <w:t xml:space="preserve">4.2.3　第二阶段：关键交汇窗口——物质兜底与制度需求同时到位（2049—2059）</w:t>
      </w:r>
    </w:p>
    <w:p>
      <w:pPr>
        <w:pStyle w:val="FirstParagraph"/>
      </w:pPr>
      <w:r>
        <w:t xml:space="preserve">这个十年是就业叙事的关键结构性节点，是第四部分各条分析线索汇合的时间坐标。</w:t>
      </w:r>
    </w:p>
    <w:p>
      <w:pPr>
        <w:pStyle w:val="BodyText"/>
      </w:pPr>
      <w:r>
        <w:rPr>
          <w:bCs/>
          <w:b/>
        </w:rPr>
        <w:t xml:space="preserve">AI方面</w:t>
      </w:r>
      <w:r>
        <w:t xml:space="preserve">：制度响应（L3）在A1和A2核心体系内陆续完成——BSC覆盖基本生存（A1 L3完成节点约2052—55年），配给双轨成形（A2 L3完成节点约2049—2052年）。就业替代在可替代的岗位上基本完成。</w:t>
      </w:r>
    </w:p>
    <w:p>
      <w:pPr>
        <w:pStyle w:val="BodyText"/>
      </w:pPr>
      <w:r>
        <w:rPr>
          <w:bCs/>
          <w:b/>
        </w:rPr>
        <w:t xml:space="preserve">聚变方面</w:t>
      </w:r>
      <w:r>
        <w:t xml:space="preserve">：LCOE降至20—35美元/MWh，合成食品生产经济可行，各路径L2（产业渗透）分批完成（中国2049、美国2051—52、欧洲2052—53）。配给体系财政可行性成立是L3的核心节点——廉价能源使合成食品和大规模物资配给的边际成本趋于最小化。</w:t>
      </w:r>
    </w:p>
    <w:p>
      <w:pPr>
        <w:pStyle w:val="BodyText"/>
      </w:pPr>
      <w:r>
        <w:rPr>
          <w:bCs/>
          <w:b/>
        </w:rPr>
        <w:t xml:space="preserve">两条主线在此交汇的因果含义</w:t>
      </w:r>
      <w:r>
        <w:t xml:space="preserve">：AI引发的就业崩塌制造了建立基础保障体系的政治需求，聚变提供了满足这个需求的物质基础。如果聚变L2晚十年到来，AI裸露期的社会压力将面临没有物质支撑的制度响应，大规模基础保障的成本将无法由现有财政承担。反向关联同样真实：AI使聚变工程的设计与运维自动化（材料模拟、等离子体优化、电网调度），加速了聚变的部署规模化。两条主线在这个窗口完成了相互支撑的关键结合。</w:t>
      </w:r>
    </w:p>
    <w:p>
      <w:pPr>
        <w:pStyle w:val="BodyText"/>
      </w:pPr>
      <w:r>
        <w:rPr>
          <w:bCs/>
          <w:b/>
        </w:rPr>
        <w:t xml:space="preserve">就业结构的历史性重组在此阶段固化</w:t>
      </w:r>
      <w:r>
        <w:t xml:space="preserve">：劳动力参与率从工业时代的常规水平（60—70%）向下稳定到新常态（40—50%）。</w:t>
      </w:r>
      <w:r>
        <w:t xml:space="preserve">“</w:t>
      </w:r>
      <w:r>
        <w:t xml:space="preserve">有工作</w:t>
      </w:r>
      <w:r>
        <w:t xml:space="preserve">”</w:t>
      </w:r>
      <w:r>
        <w:t xml:space="preserve">不再是多数成年人的主要生活状态，而是特定阶层（高技能、创造性、关系性工作者和政治性岗位持有者）的身份标志。这个转变不是危机，而是制度已经完成响应后的稳态。</w:t>
      </w:r>
    </w:p>
    <w:bookmarkEnd w:id="192"/>
    <w:bookmarkStart w:id="193" w:name="第三阶段稳态就业结构与意义危机20592072"/>
    <w:p>
      <w:pPr>
        <w:pStyle w:val="Heading3"/>
      </w:pPr>
      <w:r>
        <w:t xml:space="preserve">4.2.4　第三阶段：稳态就业结构与意义危机（2059—2072）</w:t>
      </w:r>
    </w:p>
    <w:p>
      <w:pPr>
        <w:pStyle w:val="FirstParagraph"/>
      </w:pPr>
      <w:r>
        <w:t xml:space="preserve">就业冲击的物质维度在这一阶段基本稳定：AI替代已完成，聚变能源成为背景性基础设施，BSC和配给体系为大多数A1/A2路径下的人口提供基本生存保障。就业的制度问题（如何分配有限的劳动机会、工时如何设定、政治性岗位规模如何维持）取代了就业的生存问题（人们靠什么维生）。</w:t>
      </w:r>
    </w:p>
    <w:p>
      <w:pPr>
        <w:pStyle w:val="BodyText"/>
      </w:pPr>
      <w:r>
        <w:rPr>
          <w:bCs/>
          <w:b/>
        </w:rPr>
        <w:t xml:space="preserve">工时压缩的制度性固化</w:t>
      </w:r>
      <w:r>
        <w:t xml:space="preserve">：A1体系标准工时在2060年代收缩至每周24—28小时（详见4.8.2节），A2体系通过扩展”就业”定义将更多人口纳入名义就业，同时降低每人实际工时要求。两条路径的共同结果是：大量人口的主要时间不再由有偿工作占据。</w:t>
      </w:r>
    </w:p>
    <w:p>
      <w:pPr>
        <w:pStyle w:val="BodyText"/>
      </w:pPr>
      <w:r>
        <w:rPr>
          <w:bCs/>
          <w:b/>
        </w:rPr>
        <w:t xml:space="preserve">聚变对就业的间接影响在此阶段最清晰</w:t>
      </w:r>
      <w:r>
        <w:t xml:space="preserve">：廉价能源使能源密集型新产业（绿氢、垂直农业、城市矿山）持续扩张，但这些产业的就业密度极低——它们增加了GDP，改善了物质供给，但几乎不增加就业岗位。就业与经济增长的解耦在这一阶段成为2072年经济图景的一个基本特征，而不是一个待解决的政策问题。</w:t>
      </w:r>
    </w:p>
    <w:p>
      <w:pPr>
        <w:pStyle w:val="BodyText"/>
      </w:pPr>
      <w:r>
        <w:rPr>
          <w:bCs/>
          <w:b/>
        </w:rPr>
        <w:t xml:space="preserve">意义危机成为就业议题的新主轴</w:t>
      </w:r>
      <w:r>
        <w:t xml:space="preserve">：当生存保障由制度替代就业提供后，</w:t>
      </w:r>
      <w:r>
        <w:t xml:space="preserve">“</w:t>
      </w:r>
      <w:r>
        <w:t xml:space="preserve">为什么工作</w:t>
      </w:r>
      <w:r>
        <w:t xml:space="preserve">”</w:t>
      </w:r>
      <w:r>
        <w:t xml:space="preserve">和”如何组织时间”的问题从经济问题转变为文化和哲学问题。A1体系意义危机约2059—2062年开始被公开命名，A2体系意义危机约2053年开始在制度缝隙中显现但不被命名。聚变冲击对意义危机的贡献是间接的：廉价能源使物质丰度成立，进一步移除了”必须工作以维持生存”的经济理由，加速了意义危机的显现。这一阶段的详细叙事见5.7节（意义危机分化阶段）。</w:t>
      </w:r>
    </w:p>
    <w:p>
      <w:pPr>
        <w:pStyle w:val="BodyText"/>
      </w:pPr>
      <w:r>
        <w:rPr>
          <w:iCs/>
          <w:i/>
        </w:rPr>
        <w:t xml:space="preserve">就业替代的行业细节见4.8.1节；工时演化的制度机制见4.7.2—4.8.3节；BSC与配给体系的建立见4.8节；财政传导见4.9节。</w:t>
      </w:r>
    </w:p>
    <w:bookmarkEnd w:id="193"/>
    <w:bookmarkEnd w:id="194"/>
    <w:bookmarkStart w:id="204" w:name="两大体系的经济逻辑与各类经济体的冲击响应"/>
    <w:p>
      <w:pPr>
        <w:pStyle w:val="Heading2"/>
      </w:pPr>
      <w:r>
        <w:t xml:space="preserve">4.3　两大体系的经济逻辑与各类经济体的冲击响应</w:t>
      </w:r>
    </w:p>
    <w:p>
      <w:pPr>
        <w:pStyle w:val="FirstParagraph"/>
      </w:pPr>
      <w:r>
        <w:t xml:space="preserve">本节分两部分：前半部分分析A1与A2两大体系的经济机制与社会特征；后半部分以经济体类型为单位，分析AI替代与聚变能源两重冲击叠加后各类经济体形成的响应路径。两种冲击的时序不完全同步——AI替代对劳动市场的冲击从2027年开始，聚变对能源成本的重构从2047年开始、2060年代进入成熟期——各体系的财政框架见4.9节，人口与劳动力分析见4.6节。</w:t>
      </w:r>
    </w:p>
    <w:bookmarkStart w:id="195" w:name="a1体系的经济与社会逻辑"/>
    <w:p>
      <w:pPr>
        <w:pStyle w:val="Heading3"/>
      </w:pPr>
      <w:r>
        <w:t xml:space="preserve">4.3.1　A1体系的经济与社会逻辑</w:t>
      </w:r>
    </w:p>
    <w:p>
      <w:pPr>
        <w:pStyle w:val="FirstParagraph"/>
      </w:pPr>
      <w:r>
        <w:rPr>
          <w:bCs/>
          <w:b/>
        </w:rPr>
        <w:t xml:space="preserve">形成路径（2026–2055）。</w:t>
      </w:r>
      <w:r>
        <w:t xml:space="preserve">美国在AI与聚变技术突破期保持技术与资本的双重领导地位。动荡期（美国核心约2027—2044年，欧洲延续至2050年代初，各路径持续时长与烈度不同）经历了严峻的内部压力：AI替代冲击白领就业、民粹政治联盟重塑财政议程、动荡期地缘冲突消耗战略资源。美国核心动荡期在2040年代中期逐步消解，加之聚变电力成本进入快速下行通道，BSC体系在约2052—2055年完成基本架构，A1体系进入以技术红利消化社会张力的阶段。2055年后进入相对稳定期，内部多态格局成熟，对外以技术标准和金融体系维持阵营整合。</w:t>
      </w:r>
    </w:p>
    <w:p>
      <w:pPr>
        <w:pStyle w:val="BodyText"/>
      </w:pPr>
      <w:r>
        <w:rPr>
          <w:bCs/>
          <w:b/>
        </w:rPr>
        <w:t xml:space="preserve">经济机制。</w:t>
      </w:r>
      <w:r>
        <w:t xml:space="preserve">私有资本主导，技术通过市场扩散，盟友购买技术获得聚变电力，用贸易规则和金融体系（美元、SWIFT升级版）整合成员。制裁是主要地缘政治工具。联邦税收以企业所得税扩大+资本收入税调整为主轴，工资税税基萎缩缺口由此填补。最低收入保障采用BSC积分覆盖基本需求（食品、基础医疗、住房、交通）、叠加有限现金补充自由支配空间的双轨设计：积分划定生存底线，现金保留个人对自身需求边界的判断权——政府只保障你不在最基本需求上失去，其余全部交给个人选择。这个设计的前提是自由主义的：人对自己的处境有最好的判断，国家的角色是托底而非替代。K12系统保障儿童，通过税率结构引导而非强制，保留个人选择空间。</w:t>
      </w:r>
    </w:p>
    <w:p>
      <w:pPr>
        <w:pStyle w:val="BodyText"/>
      </w:pPr>
      <w:r>
        <w:rPr>
          <w:bCs/>
          <w:b/>
        </w:rPr>
        <w:t xml:space="preserve">社会特征。</w:t>
      </w:r>
      <w:r>
        <w:t xml:space="preserve">个人选择空间宽，但选择结果差异显著——技术受益者与退出就业者在同一城市，收入差距持续扩大，社会接触减少。意义危机可以被公开讨论和命名，文化产业持续处理这个主题。制度的吸引力来自法治稳定性、产权保护、创新容错性——即使税率较高，风险调整后的投资回报仍然有竞争力。</w:t>
      </w:r>
    </w:p>
    <w:p>
      <w:pPr>
        <w:pStyle w:val="BodyText"/>
      </w:pPr>
      <w:r>
        <w:rPr>
          <w:iCs/>
          <w:i/>
        </w:rPr>
        <w:t xml:space="preserve">A1体系对人才与资本的制度性吸引力及其临界点强化机制，见4.6节人口及跨体系流动分析；财政机制的内在约束（税基张力、收入分配重写、垂直流动性收窄、路径依赖），见4.9节财政框架。</w:t>
      </w:r>
    </w:p>
    <w:bookmarkEnd w:id="195"/>
    <w:bookmarkStart w:id="196" w:name="a2体系的经济与社会逻辑"/>
    <w:p>
      <w:pPr>
        <w:pStyle w:val="Heading3"/>
      </w:pPr>
      <w:r>
        <w:t xml:space="preserve">4.3.2　A2体系的经济与社会逻辑</w:t>
      </w:r>
    </w:p>
    <w:p>
      <w:pPr>
        <w:pStyle w:val="FirstParagraph"/>
      </w:pPr>
      <w:r>
        <w:rPr>
          <w:bCs/>
          <w:b/>
        </w:rPr>
        <w:t xml:space="preserve">形成路径（2030–2055）。</w:t>
      </w:r>
      <w:r>
        <w:t xml:space="preserve">2030–2032年权力过渡完成，技术官僚集体执政。2033–2035年AI辅助治理成熟，社会管理从政治运动驱动转向数据驱动，治理效率提升，政治摩擦降低。2055年后技术官僚体制进入稳定期，意识形态管控从正面压制转向环境塑造——不禁止思想，而是通过信息环境使某些思想自然不会出现。</w:t>
      </w:r>
    </w:p>
    <w:p>
      <w:pPr>
        <w:pStyle w:val="BodyText"/>
      </w:pPr>
      <w:r>
        <w:rPr>
          <w:bCs/>
          <w:b/>
        </w:rPr>
        <w:t xml:space="preserve">经济机制。</w:t>
      </w:r>
      <w:r>
        <w:t xml:space="preserve">国家资本主导，技术通过基础设施援助捆绑扩散，伙伴获得聚变基础设施换取资源权益和政治依附。物资配给（而非现金）是分配的主要工具——国家替个人做了一部分消费决策。效果：减少因个人消费选择导致的生活保障破坏，稳定性较高，行政成本低；代价：创业性自主选择的空间减少，阶级固化倾向增强，个人对国家的日常生存依附程度高。宏观上通过经济计划主导财富分配，物质保障水平与A1体系相近，但分配机制根本不同。</w:t>
      </w:r>
    </w:p>
    <w:p>
      <w:pPr>
        <w:pStyle w:val="BodyText"/>
      </w:pPr>
      <w:r>
        <w:rPr>
          <w:bCs/>
          <w:b/>
        </w:rPr>
        <w:t xml:space="preserve">私营部门：服从换自由度的制度契约。</w:t>
      </w:r>
      <w:r>
        <w:t xml:space="preserve">2072年A2体系内仍然存在相当规模的私营企业——历史上私营部门贡献约60%的GDP、80%的城镇就业和主要的技术应用层创新，这个结构不会在2072年消失。A2体系的实际运作逻辑是分层管控而非全面国有：能源、金融、数据基础设施、AI核心算力由国有资本主导；消费服务、制造配套、AI应用层、内容平台由私营资本在国家框架内竞争。私营部门是A2体系效率和创新的真实来源，这一点不容忽视。</w:t>
      </w:r>
    </w:p>
    <w:p>
      <w:pPr>
        <w:pStyle w:val="BodyText"/>
      </w:pPr>
      <w:r>
        <w:t xml:space="preserve">私营企业与国家的关系是一份隐性契约：在政治上服从（不挑战党的权威、配合数据上报、接受监管）的前提下，享有相当的经营自由度——定价权、用工权、技术路线选择权。这个自由度在不涉及政治敏感领域时是真实的，也是竞争、效率和创新的制度基础。</w:t>
      </w:r>
    </w:p>
    <w:p>
      <w:pPr>
        <w:pStyle w:val="BodyText"/>
      </w:pPr>
      <w:r>
        <w:t xml:space="preserve">但这份契约有一条根本不对称：服从的边界由国家单方面定义，且可以随时重新划定。当国家需要资源——无论是出于反垄断名义、数据安全理由、行业整顿要求，还是纯粹的财政压力——私营部门积累的利润可以通过罚款、强制捐献、股权稀释、政策性亏损等方式被转移。这构成私营资本的隐性可变税：名义税率稳定，实际税负不可预期。滴滴、阿里、教培行业的整顿是这个机制的已有历史先例，2072年这一机制已制度化为私营部门运营的背景条件。</w:t>
      </w:r>
    </w:p>
    <w:p>
      <w:pPr>
        <w:pStyle w:val="BodyText"/>
      </w:pPr>
      <w:r>
        <w:rPr>
          <w:bCs/>
          <w:b/>
        </w:rPr>
        <w:t xml:space="preserve">A2内部的派系分化。</w:t>
      </w:r>
      <w:r>
        <w:t xml:space="preserve">技术官僚体制并非铁板一块。在稳定的集体执政框架下，内部存在若干持续的功能性分歧：</w:t>
      </w:r>
      <w:r>
        <w:rPr>
          <w:bCs/>
          <w:b/>
        </w:rPr>
        <w:t xml:space="preserve">务实效率派</w:t>
      </w:r>
      <w:r>
        <w:t xml:space="preserve">（优先最大化AI治理效率和经济产出，对监管范围持有限扩张倾向，倾向容忍私营部门的非核心边界）与</w:t>
      </w:r>
      <w:r>
        <w:rPr>
          <w:bCs/>
          <w:b/>
        </w:rPr>
        <w:t xml:space="preserve">意识形态管控派</w:t>
      </w:r>
      <w:r>
        <w:t xml:space="preserve">（优先政治安全，倾向将更广泛的数字空间和经济活动纳入国家可见范围）之间的张力，贯穿数据治理、私营平台监管、高教内容方向等具体政策领域。这不是公开可见的路线斗争，而是在人事安排、预算分配、具体法规措辞中持续博弈的内部动态。2072年前后，意识形态管控派的影响力随着社会稳定的延续趋于相对下降，务实效率派的技术官僚在决策层的权重上升——这个方向可以作为判断依据，但不是不可逆的。</w:t>
      </w:r>
    </w:p>
    <w:p>
      <w:pPr>
        <w:pStyle w:val="BodyText"/>
      </w:pPr>
      <w:r>
        <w:rPr>
          <w:bCs/>
          <w:b/>
        </w:rPr>
        <w:t xml:space="preserve">地方执行偏差。</w:t>
      </w:r>
      <w:r>
        <w:t xml:space="preserve">中央设计与地方执行之间的距离，是A2体系在分析上最难追踪的真实变量。在标准配给区，地方官员执行中央政策的方式受到可量化绩效指标的强约束（配送率、覆盖率、投诉量），偏差空间有限。但在低优先级区和战略模糊地带，执行的自由度显著扩大：配给实际覆盖品类、医疗资源的实际分配方式、数据上报的准确程度，都存在真实的地方性差异。重要的是，这种差异不由”腐败意愿”决定，而主要由地方政府的实际行政能力和信息环境决定——人力不足、设施陈旧、数字基础设施薄弱，使执行标准在结构上低于中央设计，而非因为地方官员主动截留。这一执行偏差是A2体系最难被中央AI监测系统完全捕捉的盲区之一（见3.18.3节数据反污染框架）。</w:t>
      </w:r>
    </w:p>
    <w:p>
      <w:pPr>
        <w:pStyle w:val="BodyText"/>
      </w:pPr>
      <w:r>
        <w:rPr>
          <w:bCs/>
          <w:b/>
        </w:rPr>
        <w:t xml:space="preserve">精英层的真实博弈成本。</w:t>
      </w:r>
      <w:r>
        <w:t xml:space="preserve">”换人不换结构”的精英共识是真实的，但不是零成本的。在技术官僚体制内争取更高位置，需要：在可量化绩效指标上持续优于同级竞争者；维护跨部门的人际关系网络（与纯粹的技术能力并行，非替代）；不踩越任何一个当前被定义为政治红线的领域——而红线的位置并非完全透明，是在实践中摸索的。这些成本不体现为金钱支出，而体现为精力的持续分配：技术官僚层花费在政治信号解读和关系网络维护上的认知资源，是其执政效率的真实隐性成本。当这个成本上升（例如在顶层权力更替的窗口期），创新性政策倡议的产出会系统性下降，因为官员的注意力会暂时性地从政策设计转向政治安全评估。</w:t>
      </w:r>
    </w:p>
    <w:p>
      <w:pPr>
        <w:pStyle w:val="BodyText"/>
      </w:pPr>
      <w:r>
        <w:t xml:space="preserve">这种不确定性从根本上改变了私营企业的最优规模策略：做大到触发政治注意的规模是风险边界，在边界以内提供高效率但不追求无上限的规模扩张，或者在规模扩大时主动向国家分配利润以换取政治保护（战略性捐献）。结果是A2体系内私营创新高度集中在应用层和中小规模，不产生A1体系那种规模无上限、持续寻求监管套利的科技巨头。</w:t>
      </w:r>
    </w:p>
    <w:p>
      <w:pPr>
        <w:pStyle w:val="BodyText"/>
      </w:pPr>
      <w:r>
        <w:rPr>
          <w:bCs/>
          <w:b/>
        </w:rPr>
        <w:t xml:space="preserve">垂直流动的实际结构。</w:t>
      </w:r>
      <w:r>
        <w:t xml:space="preserve">类似公务员考试制度的普遍入职考试制度在形式上是开放的竞争性选拔，但备考资源分布不均等；大学之后进入体制（政府、国企、事业单位）的实际通道受关系网络影响显著；AI时代可寻租的资源（AI基础设施控制权、配给分配权）更集中，寻租空间有所扩大。官方叙事强调考试公平，实际流动通道同时受正式选拔和非正式关系网络两套机制影响。</w:t>
      </w:r>
    </w:p>
    <w:p>
      <w:pPr>
        <w:pStyle w:val="BodyText"/>
      </w:pPr>
      <w:r>
        <w:rPr>
          <w:bCs/>
          <w:b/>
        </w:rPr>
        <w:t xml:space="preserve">社会特征。</w:t>
      </w:r>
      <w:r>
        <w:t xml:space="preserve">基本生存需求通过配给体系覆盖，需求边界由国家定义而非个人自主决定——在这个边界内保障有效，边界之外则是制度性的空白。私人领域选择空间在不涉及政治的范围内相当宽泛。意义危机约从2053年开始显现，大多数人在十余年间形成了各自的应对方式。信息环境受管理，政治讨论空间受限。</w:t>
      </w:r>
    </w:p>
    <w:bookmarkEnd w:id="196"/>
    <w:bookmarkStart w:id="197" w:name="阵营格局的形成与边界性质"/>
    <w:p>
      <w:pPr>
        <w:pStyle w:val="Heading3"/>
      </w:pPr>
      <w:r>
        <w:t xml:space="preserve">4.3.3　阵营格局的形成与边界性质</w:t>
      </w:r>
    </w:p>
    <w:p>
      <w:pPr>
        <w:pStyle w:val="FirstParagraph"/>
      </w:pPr>
      <w:r>
        <w:t xml:space="preserve">两大阵营的存在是真实的，但阵营的边界不是明确固定的二元分割。A1与B1类国家的团结，本质上是动荡期民主国家面对A2扩张的意识形态防守姿态，不代表经济利益的完全一致；而两大体系之间持续存在的商业互依（战略技术以外的商品贸易），使完全的经济隔离并未发生。对大多数中小国家而言，公开选边往往不符合自身利益，实际政策是在两大体系之间维持不同程度的工作关系。</w:t>
      </w:r>
    </w:p>
    <w:p>
      <w:pPr>
        <w:pStyle w:val="BodyText"/>
      </w:pPr>
      <w:r>
        <w:rPr>
          <w:bCs/>
          <w:b/>
        </w:rPr>
        <w:t xml:space="preserve">已接入聚变的国家：基础设施债务产生真实切换成本。</w:t>
      </w:r>
      <w:r>
        <w:t xml:space="preserve">一旦某国接受A1或A2体系的融资建成聚变电站，能源安全就依赖该体系的设备供应链、运维支持和技术升级——切换意味着已建成基础设施的部分报废和重建，技术协议（设备认证、并网标准、运维数据接口）随之绑定。对这类国家，基础设施债务和能源依附关系确实构成高切换成本，阵营归属相对稳定，但”稳定”不等于”不可逆”——战略价值发生根本变化时，代价可以被接受。</w:t>
      </w:r>
    </w:p>
    <w:p>
      <w:pPr>
        <w:pStyle w:val="BodyText"/>
      </w:pPr>
      <w:r>
        <w:rPr>
          <w:bCs/>
          <w:b/>
        </w:rPr>
        <w:t xml:space="preserve">未接入聚变的国家：并不存在这个锁定机制。</w:t>
      </w:r>
      <w:r>
        <w:t xml:space="preserve">大量E类、D类国家并无聚变电站接入，对它们而言不存在基础设施意义上的阵营绑定；它们与A1或A2体系的关系取决于贸易结构、援助来源、外债构成和外交惯性，均具有更高的流动性。用”阵营固化”描述这类国家是不准确的。</w:t>
      </w:r>
    </w:p>
    <w:p>
      <w:pPr>
        <w:pStyle w:val="BodyText"/>
      </w:pPr>
      <w:r>
        <w:rPr>
          <w:bCs/>
          <w:b/>
        </w:rPr>
        <w:t xml:space="preserve">真正的竞争节点。</w:t>
      </w:r>
      <w:r>
        <w:t xml:space="preserve">C类（对冲自主体）是两大体系持续争夺的对象，争夺的是基础设施融资入口、技术标准采用和政治对齐——但这些国家中综合实力足够强的（如印度）完全可以要求两个体系竞争，不必选边。2072年的全球格局比两阵营模型复杂：阵营是真实的力场，边界是模糊的渐变带，中小国家各有自己的利益算盘，现实中的选边往往是有条件的、分领域的，而非全面的。</w:t>
      </w:r>
    </w:p>
    <w:bookmarkEnd w:id="197"/>
    <w:bookmarkStart w:id="198" w:name="a1体系与b1类吸收动荡建立制度缓冲"/>
    <w:p>
      <w:pPr>
        <w:pStyle w:val="Heading3"/>
      </w:pPr>
      <w:r>
        <w:t xml:space="preserve">4.3.4　A1体系与B1类：吸收动荡，建立制度缓冲</w:t>
      </w:r>
    </w:p>
    <w:p>
      <w:pPr>
        <w:pStyle w:val="FirstParagraph"/>
      </w:pPr>
      <w:r>
        <w:t xml:space="preserve">A1体系核心（美国）和B1类（欧盟、日本、韩国、澳大利亚等）的共同特点是：技术冲击最早到来，但制度能力最强、可用于缓冲的财政资源最充裕。两类的响应路径相似但有时序和力度差异。</w:t>
      </w:r>
    </w:p>
    <w:p>
      <w:pPr>
        <w:pStyle w:val="BodyText"/>
      </w:pPr>
      <w:r>
        <w:t xml:space="preserve">AI冲击的第一响应是就业结构重组——高技能人才薪资上升，中等收入岗位大量消失，引发政治压力。A1体系的响应路径：民粹政治联盟获得议会权重，推动BSC体系立法；同时资本利得税和企业所得税调整填补工资税税基萎缩的财政缺口。B1类响应路径相同但时序晚5—8年，福利国家传统使动荡期社会稳定性高于A1核心，但财政压力因更完善的福利刚性而更大，专项自动化税立法在政治上阻力更低。</w:t>
      </w:r>
    </w:p>
    <w:p>
      <w:pPr>
        <w:pStyle w:val="BodyText"/>
      </w:pPr>
      <w:r>
        <w:t xml:space="preserve">聚变冲击到来时，A1和B1类均已完成或接近完成动荡期，制度稳定性较高，聚变红利主要表现为工业电价下降（加速产业重组）和消费端能源成本降低（扩大BSC的实际购买力）。聚变对这两类经济体的主要影响是渐进式的成本重构，而非社会动荡的触发器。</w:t>
      </w:r>
    </w:p>
    <w:p>
      <w:pPr>
        <w:pStyle w:val="BodyText"/>
      </w:pPr>
      <w:r>
        <w:t xml:space="preserve">B1类内部的特殊张力：欧盟在技术自主和成本效率之间存在持续博弈——依赖A1标准则主权受限，自建技术栈则代价高昂。这一张力在聚变电网标准（A1主导的IEEE框架与欧盟兼容性策略）和AI治理框架上同时呈现，是B1类与A1核心关系中最持续的结构性摩擦。新加坡、阿联酋等高功能密度B1成员对AI与聚变冲击的吸收速度是所有经济体类型中最快的（2048—2055年接近完全覆盖），民主制度赋予的政策自主性使这类经济体在技术标准选择和对外谈判中保有独立立场，不因体量小而丧失这一优势；其内部持续张力集中在公民与外籍劳工之间，2072年尚无制度性解决。</w:t>
      </w:r>
    </w:p>
    <w:bookmarkEnd w:id="198"/>
    <w:bookmarkStart w:id="199" w:name="a2体系与b2类国家主导吸收配给体系扩张"/>
    <w:p>
      <w:pPr>
        <w:pStyle w:val="Heading3"/>
      </w:pPr>
      <w:r>
        <w:t xml:space="preserve">4.3.5　A2体系与B2类：国家主导吸收，配给体系扩张</w:t>
      </w:r>
    </w:p>
    <w:p>
      <w:pPr>
        <w:pStyle w:val="FirstParagraph"/>
      </w:pPr>
      <w:r>
        <w:t xml:space="preserve">A2体系（中国）和B2类（威权体系整合者）的共同特点是：国家通过对分配机制的直接控制，将技术冲击的社会后果在制度内部消化，不通过市场机制传递给个人。</w:t>
      </w:r>
    </w:p>
    <w:p>
      <w:pPr>
        <w:pStyle w:val="BodyText"/>
      </w:pPr>
      <w:r>
        <w:t xml:space="preserve">AI冲击对A2的劳动市场冲击同样剧烈，但响应机制根本不同：国家扩大配给覆盖范围，将退出就业市场的人口纳入物资保障体系，同时通过政治性岗位创造（基层治理、社区服务、AI监管）维持就业率的统计水平（见4.8.5节）。意义危机的显现时间约为2053年，比A1体系晚，因为物质保障先于意义问题被解决，且意识形态环境管控抑制了危机的公开表达。</w:t>
      </w:r>
    </w:p>
    <w:p>
      <w:pPr>
        <w:pStyle w:val="BodyText"/>
      </w:pPr>
      <w:r>
        <w:t xml:space="preserve">聚变冲击对A2体系的影响：廉价工业电力使合成食品、垂直农业的配给成本在2055年前后降至可行水平，这是配给体系得以大规模扩张的物质基础。A2体系利用国家统筹定价机制，将聚变电力优先引导至工业算力和战略制造，居民端获益晚于工业端5—8年，但国家可以通过补贴机制调节实际到达居民的能源价格。</w:t>
      </w:r>
    </w:p>
    <w:p>
      <w:pPr>
        <w:pStyle w:val="BodyText"/>
      </w:pPr>
      <w:r>
        <w:t xml:space="preserve">B2类国家的响应能力显著弱于A2核心：配给体系质量受行政执行能力约束，聚变技术接入晚于A2核心约5年，资源出口收益大比例流向A2体系资本，留存本地的增量有限。B2类的实际处境是：制度框架从外部引入，执行能力不足以支撑框架承诺的保障水平，形成制度名义上的覆盖与实际覆盖之间的系统性落差。</w:t>
      </w:r>
    </w:p>
    <w:bookmarkEnd w:id="199"/>
    <w:bookmarkStart w:id="200" w:name="d类资源出口国能源需求消失与矿产竞争重构"/>
    <w:p>
      <w:pPr>
        <w:pStyle w:val="Heading3"/>
      </w:pPr>
      <w:r>
        <w:t xml:space="preserve">4.3.6　D类资源出口国：能源需求消失与矿产竞争重构</w:t>
      </w:r>
    </w:p>
    <w:p>
      <w:pPr>
        <w:pStyle w:val="FirstParagraph"/>
      </w:pPr>
      <w:r>
        <w:t xml:space="preserve">D类内部因资源类型不同而分化为两种本质不同的冲击逻辑。</w:t>
      </w:r>
    </w:p>
    <w:p>
      <w:pPr>
        <w:pStyle w:val="BodyText"/>
      </w:pPr>
      <w:r>
        <w:rPr>
          <w:bCs/>
          <w:b/>
        </w:rPr>
        <w:t xml:space="preserve">化石能源出口国</w:t>
      </w:r>
      <w:r>
        <w:t xml:space="preserve">面临的不是竞争重构，而是需求系统性消失——市场本身在萎缩。这是与矿产资源国最根本的区别：矿产的需求在2072年依然存在，只是生产方式和竞争格局改变了；石油和天然气的能源需求本身在萎缩，不是等待周期结束的问题，而是物质基础永久性的移位。</w:t>
      </w:r>
    </w:p>
    <w:p>
      <w:pPr>
        <w:pStyle w:val="BodyText"/>
      </w:pPr>
      <w:r>
        <w:t xml:space="preserve">需求消失的过程分三个阶段。2050—2058年：量减价撑。聚变电力成本进入竞争区间，总需求开始下降，但主要产油国通过OPEC机制协调减产，维持每桶50—60美元的价格。财政压力已经显现，各国尚能通过消耗主权财富基金或削减公共支出维持运转，政治上普遍拒绝承认这是结构性转变。2058—2065年：量价双杀。减产能力耗尽，低成本产油国为争夺萎缩的市场份额争相增产，OPEC协调机制事实崩溃。财政储备薄弱的国家越过财政危机临界点，社会服务崩溃，政治动荡急剧上升。2065—2072年：残余需求稳定。航空燃油（合成燃料成本仍高于化石航煤）、化工原料以及聚变覆盖尚未到达的E类地区维持低水平的化石需求，由最低成本产油国主导供给。</w:t>
      </w:r>
    </w:p>
    <w:p>
      <w:pPr>
        <w:pStyle w:val="BodyText"/>
      </w:pPr>
      <w:r>
        <w:t xml:space="preserve">响应路径取决于主权财富基金厚度、经济转型政治空间和体系整合深度三个变量，形成三种结局。与A1体系深度整合的海湾产油国（沙特、UAE、卡塔尔）通过石油美元历史与A1绑定，收入下降不等于倒向A2，转型压力下维持A1轨道；UAE转型最成功，已建立金融、旅游、物流替代经济，具备向C类移动的基础。动荡期与A1决裂的制裁国（俄罗斯）——已移入C类，其以资源换取A2基础设施与技术的路径，是C类成员中能力来源最特殊的案例。财政储备薄弱的中小产油国（撒哈拉以南非洲多数产油国）是2058—2065年政治动荡最集中的来源，最终滑向E类。</w:t>
      </w:r>
    </w:p>
    <w:p>
      <w:pPr>
        <w:pStyle w:val="BodyText"/>
      </w:pPr>
      <w:r>
        <w:t xml:space="preserve">天然气退出速度慢于石油：工业过渡燃料功能（化工、冶金）和部分区域供暖需求使残余需求曲线更平缓，卡塔尔、阿尔及利亚等以天然气为主的国家拥有约3—5年的额外缓冲时间，但最终结局无本质差别。</w:t>
      </w:r>
    </w:p>
    <w:p>
      <w:pPr>
        <w:pStyle w:val="BodyText"/>
      </w:pPr>
      <w:r>
        <w:rPr>
          <w:bCs/>
          <w:b/>
        </w:rPr>
        <w:t xml:space="preserve">矿产资源国</w:t>
      </w:r>
      <w:r>
        <w:t xml:space="preserve">面临的是竞争结构重写而非需求消失。聚变使采矿业的能耗约束从生产成本的核心变量退出。深海采矿（CCZ锰结核区等）在聚变电力规模化之前受制于极高能耗成本，2050—2055年随LCOE降至20—35美元/MWh越过经济临界点，开始系统性压低陆地矿产价格，边际陆地矿山陆续关闭——不是因为矿石耗尽，而是竞争者的成本门槛消失。</w:t>
      </w:r>
    </w:p>
    <w:p>
      <w:pPr>
        <w:pStyle w:val="BodyText"/>
      </w:pPr>
      <w:r>
        <w:t xml:space="preserve">更深层的处境转变是价值链截取点的移动。聚变之前，截取点是能源成本，资源国通过控制矿山土地获得谈判筹码。聚变之后，截取点转移到设备（深海采矿设备由少数A1体系企业主导）和数据（矿体建模与开采优化的AI系统）——资源仍在地下，但获取资源的技术和资本越来越集中在外部。本地居民参与采矿产业链的比例因自动化提升而持续下降，矿产收益中留存在资源国的部分系统性缩小。</w:t>
      </w:r>
    </w:p>
    <w:p>
      <w:pPr>
        <w:pStyle w:val="BodyText"/>
      </w:pPr>
      <w:r>
        <w:t xml:space="preserve">内部分化显著。有技术谈判能力的国家（智利在锂、澳大利亚在铁矿石和铀）通过主动参与技术合作、要求本地加工环节和股权参与，部分保留价值链位置，具备向C类移动的基础；无谈判筹码的国家（刚果在钴、赞比亚在铜）基本处于被动接受状态。合成材料替代效应进一步分化矿产国命运：钴因电池化学路线向磷酸铁锂和固态电池转型，需求在2055年后系统性下降，刚果等以钴为主的国家面临部分矿种需求侧消失，性质上与化石能源出口国相似。</w:t>
      </w:r>
    </w:p>
    <w:p>
      <w:pPr>
        <w:pStyle w:val="BodyText"/>
      </w:pPr>
      <w:r>
        <w:t xml:space="preserve">两类D类国家的共同困境：技术进步红利由技术和资本拥有方截取，本地居民改善极为有限。有谈判能力者可保留价值链中的部分位置；无谈判筹码者只能被动接受外部定价的条件。</w:t>
      </w:r>
    </w:p>
    <w:bookmarkEnd w:id="200"/>
    <w:bookmarkStart w:id="201" w:name="c类对冲自主体双轨代价与内部分化"/>
    <w:p>
      <w:pPr>
        <w:pStyle w:val="Heading3"/>
      </w:pPr>
      <w:r>
        <w:t xml:space="preserve">4.3.7　C类对冲自主体：双轨代价与内部分化</w:t>
      </w:r>
    </w:p>
    <w:p>
      <w:pPr>
        <w:pStyle w:val="FirstParagraph"/>
      </w:pPr>
      <w:r>
        <w:t xml:space="preserve">C类（对冲自主体）的基本策略是在两大体系间同时维持工作关系，不完全归队于任何一方。维持双轨的代价持续存在：同时运行两套技术标准的工程成本、等距外交在危机时刻急剧上升的维护代价。但这个策略的前提是综合实力足以让两大体系都有争取意愿——没有这个前提，双轨策略无从维持。</w:t>
      </w:r>
    </w:p>
    <w:p>
      <w:pPr>
        <w:pStyle w:val="BodyText"/>
      </w:pPr>
      <w:r>
        <w:t xml:space="preserve">C类内部的实质处境高度异质。各成员维持自主的能力来源不同：俄罗斯依赖军事—政治硬实力，印度依赖技术潜力与市场体量，土耳其依赖地缘位置与北约成员资格，巴西依赖资源禀赋与南美地区影响力，越南、墨西哥依赖供应链嵌入位置。这些来源在AI时代受到不同方向的冲击，吸收能力也各有差异，见5.7节各子类分析。</w:t>
      </w:r>
    </w:p>
    <w:p>
      <w:pPr>
        <w:pStyle w:val="BodyText"/>
      </w:pPr>
      <w:r>
        <w:t xml:space="preserve">C类共同面对的结构性压力是内部技术分化：精英城市接近B1类水平，内陆腹地滞后20—30年，同一国家内部并存两种实质上不同的历史阶段。这不是可通过政策线性解决的问题，而是结构性的二元经济，在2072年没有收敛趋势。AI冲击在精英层与底层产生完全不同的影响：精英层薪资溢价上升，底层受传统产业替代浪潮冲击，却无法进入替代后的就业结构。缺乏BSC等价制度的财政兜底，使这个内部断层直接转化为社会压力。</w:t>
      </w:r>
    </w:p>
    <w:bookmarkEnd w:id="201"/>
    <w:bookmarkStart w:id="202" w:name="b2类成员农业冲击与制造业被越过"/>
    <w:p>
      <w:pPr>
        <w:pStyle w:val="Heading3"/>
      </w:pPr>
      <w:r>
        <w:t xml:space="preserve">4.3.8　B2类成员：农业冲击与制造业被越过</w:t>
      </w:r>
    </w:p>
    <w:p>
      <w:pPr>
        <w:pStyle w:val="FirstParagraph"/>
      </w:pPr>
      <w:r>
        <w:t xml:space="preserve">农业出口比重高的经济体和以廉价劳动力为主要比较优势的制造业经济体，在AI与聚变时代面临共同的处境：传统发展路径被结构性削弱，替代路径所需的人力资本积累存在代际差距。这类冲击主要分散于B2类成员之间，但综合实力较强的B2类成员与较弱成员在吸收能力上存在关键差异。</w:t>
      </w:r>
    </w:p>
    <w:p>
      <w:pPr>
        <w:pStyle w:val="BodyText"/>
      </w:pPr>
      <w:r>
        <w:rPr>
          <w:bCs/>
          <w:b/>
        </w:rPr>
        <w:t xml:space="preserve">农业冲击：出口收入下降与两类不同的就业后果</w:t>
      </w:r>
    </w:p>
    <w:p>
      <w:pPr>
        <w:pStyle w:val="BodyText"/>
      </w:pPr>
      <w:r>
        <w:t xml:space="preserve">合成蛋白质（精准发酵+细胞培养）的商业化与聚变能源高度互补：生物反应器的核心成本是能耗，聚变使这个成本在2050年后趋近于零，合成蛋白质此后比等量传统蛋白质便宜约30—40%，在接受度较高的城市社区市场替代率在2055年前后超过60%。大田粮食（小麦、玉米、水稻）受替代压力较小，消费惯性强，到2072年市场替代率约25—30%。农业出口国出口的主要是蛋白质（大豆、豆粕、肉类），冲击因此高度集中在蛋白质出口上，且来得相对突然。</w:t>
      </w:r>
    </w:p>
    <w:p>
      <w:pPr>
        <w:pStyle w:val="BodyText"/>
      </w:pPr>
      <w:r>
        <w:t xml:space="preserve">农业冲击对不同经济体的后果因农业就业结构而根本不同，需要明确区分两类。</w:t>
      </w:r>
    </w:p>
    <w:p>
      <w:pPr>
        <w:pStyle w:val="BodyText"/>
      </w:pPr>
      <w:r>
        <w:rPr>
          <w:bCs/>
          <w:b/>
        </w:rPr>
        <w:t xml:space="preserve">劳动力密集型农业出口国</w:t>
      </w:r>
      <w:r>
        <w:t xml:space="preserve">（巴西、阿根廷等），农业就业占比仍达10—20%，同时面临出口收入下降和就业冲击两重压力。以大豆和畜禽产品为主的经济体在2040—2055年面临最大冲击，恰好落在动荡期末段，财政与就业的双重压力在政治稳定性最脆弱的时期叠加。农村劳动力因农业自动化加速和出口市场收缩双重挤压，向城市流动的压力在2040—2060年处于历史高位，但城市就业岗位同期因AI替代也在系统性收缩，形成两端同时压缩的困局。土地资产估值系统性重置进一步冲击依赖农地抵押的金融体系，是银行体系的潜在系统性风险来源。</w:t>
      </w:r>
    </w:p>
    <w:p>
      <w:pPr>
        <w:pStyle w:val="BodyText"/>
      </w:pPr>
      <w:r>
        <w:rPr>
          <w:bCs/>
          <w:b/>
        </w:rPr>
        <w:t xml:space="preserve">高度机械化农业出口国</w:t>
      </w:r>
      <w:r>
        <w:t xml:space="preserve">（澳大利亚、加拿大等），农业就业占比本就极低（通常低于3%），农业自动化早已完成，没有大规模农村劳动力转移问题。这类经济体面临的主要是出口收入下降和土地与农业资产估值重置，而非就业冲击。冲击的传导路径是：出口规模收缩→相关产业链（港口、仓储、化肥、农机）需求下降→区域性财政和就业压力。澳大利亚以小麦为主，受蛋白质替代冲击的时序相对滞后，但出口规模收缩的长期趋势相同。这类经济体的综合实力通常属于C类，有能力通过出口结构多元化和主动参与技术链（精准农业技术输出、合成食品原料供应等）部分对冲冲击。</w:t>
      </w:r>
    </w:p>
    <w:p>
      <w:pPr>
        <w:pStyle w:val="BodyText"/>
      </w:pPr>
      <w:r>
        <w:t xml:space="preserve">农业转型带来的生产率增量由技术和资本拥有方截取，两类农业出口国均几乎无法参与核心技术红利分配。</w:t>
      </w:r>
    </w:p>
    <w:p>
      <w:pPr>
        <w:pStyle w:val="BodyText"/>
      </w:pPr>
      <w:r>
        <w:rPr>
          <w:bCs/>
          <w:b/>
        </w:rPr>
        <w:t xml:space="preserve">制造业被越过：廉价劳动力比较优势的终结</w:t>
      </w:r>
    </w:p>
    <w:p>
      <w:pPr>
        <w:pStyle w:val="BodyText"/>
      </w:pPr>
      <w:r>
        <w:t xml:space="preserve">历史上”靠廉价劳动力承接全球制造业转移”是大量发展中经济体进入中等收入水平的标准路径。AI使这条路径关闭：外资不再因廉价劳动力而来，或在进入后迅速以自动化设备替代本地劳工。这不是竞争压力下降，而是竞争规则改变——进入门槛从劳动力成本转向技术能力。</w:t>
      </w:r>
    </w:p>
    <w:p>
      <w:pPr>
        <w:pStyle w:val="BodyText"/>
      </w:pPr>
      <w:r>
        <w:t xml:space="preserve">青年失业率在2035—2055年间极高，政治不稳定是常态。两大体系的争夺在这类经济体中最激烈：A1体系提供技术标准和市场准入，A2体系提供基础设施融资和政治模板。综合实力足够强的C类成员（越南、墨西哥）可以在两体系之间保持一定议价空间；实力较弱的B2类成员只能被动接受条件，议价能力极为有限。</w:t>
      </w:r>
    </w:p>
    <w:p>
      <w:pPr>
        <w:pStyle w:val="BodyText"/>
      </w:pPr>
      <w:r>
        <w:t xml:space="preserve">聚变冲击的到来晚于AI冲击约15—20年。届时就业替代已基本完成，聚变带来的工业电价下降对直接受益有限——制造业已高度自动化，电价下降改善的是资本的成本结构，而非本地劳动力的就业机会。能否在聚变红利到来之前积累足够的技术人力资本，是这类经济体路径的核心分叉点。</w:t>
      </w:r>
    </w:p>
    <w:p>
      <w:pPr>
        <w:pStyle w:val="BodyText"/>
      </w:pPr>
      <w:r>
        <w:rPr>
          <w:bCs/>
          <w:b/>
        </w:rPr>
        <w:t xml:space="preserve">制造业被越过经济体的内部分层</w:t>
      </w:r>
    </w:p>
    <w:p>
      <w:pPr>
        <w:pStyle w:val="BodyText"/>
      </w:pPr>
      <w:r>
        <w:t xml:space="preserve">受制造业被越过冲击的经济体，内部存在相似的地区分层结构：已接入全球体系的城市精英阶层（受过高等教育，与国际资本有连接，AI时代机会有限但真实存在）；接受了部分工业化影响的中间城镇层（工厂务工历史，现面临就业收缩）；大量依赖非正式经济的底层人口（农业、小贩、家庭手工业，与AI时代几乎没有直接接触，主要通过侨汇减少和商品价格变化间接感受全球变化）。这三层在功能性历史时间上处于不同位置，在同一地理边界内并存。</w:t>
      </w:r>
    </w:p>
    <w:bookmarkEnd w:id="202"/>
    <w:bookmarkStart w:id="203" w:name="e类脱嵌与扩大的鸿沟"/>
    <w:p>
      <w:pPr>
        <w:pStyle w:val="Heading3"/>
      </w:pPr>
      <w:r>
        <w:t xml:space="preserve">4.3.9　E类：脱嵌与扩大的鸿沟</w:t>
      </w:r>
    </w:p>
    <w:p>
      <w:pPr>
        <w:pStyle w:val="FirstParagraph"/>
      </w:pPr>
      <w:r>
        <w:t xml:space="preserve">E类（边缘经济体）基本脱嵌于全球体系，对两大体系均无战略价值且无付款能力，不在任何体系的主动覆盖范围内。到2072年仍在使用2020—2030年代技术，差距持续扩大——不是10年滞后，而是可能50年以上，且没有收敛趋势。</w:t>
      </w:r>
    </w:p>
    <w:p>
      <w:pPr>
        <w:pStyle w:val="BodyText"/>
      </w:pPr>
      <w:r>
        <w:t xml:space="preserve">E类内部区分两种脱嵌形态：</w:t>
      </w:r>
      <w:r>
        <w:rPr>
          <w:bCs/>
          <w:b/>
        </w:rPr>
        <w:t xml:space="preserve">结构性脱嵌</w:t>
      </w:r>
      <w:r>
        <w:t xml:space="preserve">（从未真正整合进全球体系，历史上就在边缘，撒哈拉以南非洲大部属于此类）与</w:t>
      </w:r>
      <w:r>
        <w:rPr>
          <w:bCs/>
          <w:b/>
        </w:rPr>
        <w:t xml:space="preserve">冲突性脱嵌</w:t>
      </w:r>
      <w:r>
        <w:t xml:space="preserve">（曾有一定整合程度，因持续冲突或政治崩溃退出，也门、利比亚、苏丹等属于此类）。两者的潜在恢复路径不同：结构性脱嵌需要外部主动整合意愿，冲突性脱嵌需要政治稳定重建；两者的共同困境是整合成本均高于两大体系的预期收益。</w:t>
      </w:r>
    </w:p>
    <w:p>
      <w:pPr>
        <w:pStyle w:val="BodyText"/>
      </w:pPr>
      <w:r>
        <w:t xml:space="preserve">AI和聚变冲击对E类的影响是间接的：AI替代压低了全球制造品价格，使E类本已薄弱的制造业出口竞争力进一步下降；聚变使全球化石燃料需求萎缩，压低了部分E类国家的能源出口收入。两种冲击都是从全球市场传导到E类，而非技术直接进入。</w:t>
      </w:r>
    </w:p>
    <w:p>
      <w:pPr>
        <w:pStyle w:val="BodyText"/>
      </w:pPr>
      <w:r>
        <w:t xml:space="preserve">E类的存在是相互忽视均衡在国际层面的极端表现：整合成本高于收益，忽视比改造更低成本。两大体系在战略计算中不主动整合E类，E类在经济上也缺乏能够改变这个计算的筹码。这个均衡在2072年是稳定的，没有内生的打破机制。</w:t>
      </w:r>
    </w:p>
    <w:bookmarkEnd w:id="203"/>
    <w:bookmarkEnd w:id="204"/>
    <w:bookmarkStart w:id="208" w:name="聚变能源的经济后果"/>
    <w:p>
      <w:pPr>
        <w:pStyle w:val="Heading2"/>
      </w:pPr>
      <w:r>
        <w:t xml:space="preserve">4.4　聚变能源的经济后果</w:t>
      </w:r>
    </w:p>
    <w:p>
      <w:pPr>
        <w:pStyle w:val="FirstParagraph"/>
      </w:pPr>
      <w:r>
        <w:t xml:space="preserve">本节从经济角度分析聚变能源的成本重构过程、地缘杠杆效应与气候规则博弈。聚变对不同类型经济体的具体冲击已在4.3节各子节分散处理；本节处理的是聚变作为系统性力量改变全球经济结构的三个跨类型机制，适用于所有经济体的分析参照。</w:t>
      </w:r>
    </w:p>
    <w:bookmarkStart w:id="205" w:name="聚变能源成本的重构渐进过程而非一步到位"/>
    <w:p>
      <w:pPr>
        <w:pStyle w:val="Heading3"/>
      </w:pPr>
      <w:r>
        <w:t xml:space="preserve">4.4.1　聚变能源成本的重构：渐进过程而非一步到位</w:t>
      </w:r>
    </w:p>
    <w:p>
      <w:pPr>
        <w:pStyle w:val="FirstParagraph"/>
      </w:pPr>
      <w:r>
        <w:t xml:space="preserve">聚变对经济的影响不是一个时刻，而是一个历时约25年（2047—2072）的渐进重构过程。这个过程的核心机制是成本曲线下行与产业重组的相互强化：每一轮规模化建设压低了下一轮的建设成本，更低的电价使更多产业的成本结构发生改变，进而扩大了聚变的需求基础，支撑了更大规模的下一轮建设。但这个正反馈循环是缓慢的——受制于工程建设周期（单座商业堆约5—7年建设）、监管审批、供应链扩张速度和资本回收期。</w:t>
      </w:r>
    </w:p>
    <w:p>
      <w:pPr>
        <w:pStyle w:val="BodyText"/>
      </w:pPr>
      <w:r>
        <w:rPr>
          <w:bCs/>
          <w:b/>
        </w:rPr>
        <w:t xml:space="preserve">2047—2052：工业部门率先受益，居民感受有限。</w:t>
      </w:r>
      <w:r>
        <w:t xml:space="preserve">第一批商业堆LCOE约60—100美元/MWh，高于光伏但提供稳定基荷。直接获益的是能源占成本比例高的行业：铝冶炼（能源占成本约35%）、氯碱化工（约40%）、合成氨（约60%）、数据中心、海水淡化、深海采矿。这个阶段工业电价在先行区域较2026年下降约20—30%，居民端变化不明显。</w:t>
      </w:r>
    </w:p>
    <w:p>
      <w:pPr>
        <w:pStyle w:val="BodyText"/>
      </w:pPr>
      <w:r>
        <w:rPr>
          <w:bCs/>
          <w:b/>
        </w:rPr>
        <w:t xml:space="preserve">2052—2060：LCOE突破竞争力临界，产业重组加速。</w:t>
      </w:r>
      <w:r>
        <w:t xml:space="preserve">量产化使LCOE降至约20—35美元/MWh（较首堆下降50—65%）。工业电价较2026年下降40—55%。绿氢生产首次真正经济可行，合成燃料（SAF）规模化，垂直农业成本与传统农业持平。化石能源需求在核心区开始系统性下滑，产油国收入进入持续下行通道。合成食品进入大规模配给的财政条件在2052—2055年前后先后成立（A2约2052年，A1约2054—2055年）——廉价能源使合成生产链边际成本趋于最小化，配给体系由不可行变为可行（详见第三部分3.2节）。</w:t>
      </w:r>
    </w:p>
    <w:p>
      <w:pPr>
        <w:pStyle w:val="BodyText"/>
      </w:pPr>
      <w:r>
        <w:rPr>
          <w:bCs/>
          <w:b/>
        </w:rPr>
        <w:t xml:space="preserve">2060—2072：能源作为基础设施成本，约束从能源转向资本和物流。</w:t>
      </w:r>
      <w:r>
        <w:t xml:space="preserve">第三代标准化商业堆LCOE约8—15美元/MWh。相当于今天工业电价的约1/8到1/15——相对于任何其他生产要素已可忽略不计，但不是字面意义上的”免费”：仍有资本摊销（约3—5美元/MWh）和运维成本（含中子辐照损伤材料更换，约5—10美元/MWh）。2072年的正确表述是：能源已从生产的限制性约束变为背景性基础设施成本，竞争优势的来源从”靠近能源”转变为”拥有技术、资本和物流网络”。</w:t>
      </w:r>
    </w:p>
    <w:bookmarkEnd w:id="205"/>
    <w:bookmarkStart w:id="206" w:name="聚变技术作为地缘杠杆"/>
    <w:p>
      <w:pPr>
        <w:pStyle w:val="Heading3"/>
      </w:pPr>
      <w:r>
        <w:t xml:space="preserve">4.4.2　聚变技术作为地缘杠杆</w:t>
      </w:r>
    </w:p>
    <w:p>
      <w:pPr>
        <w:pStyle w:val="FirstParagraph"/>
      </w:pPr>
      <w:r>
        <w:t xml:space="preserve">A1体系通过技术许可和标准控制向盟友扩散；A2体系通过基础设施援助向伙伴扩散，捆绑资源权益和政治依附。A1的依赖是市场性的（可以通过支付切换），A2的依赖是结构性的（基础设施物理上锁定）。技术扩散的时序差异（B1类比A1核心晚约5—8年，B2类再晚5年）是2072年路径分化的物质基础之一。</w:t>
      </w:r>
    </w:p>
    <w:p>
      <w:pPr>
        <w:pStyle w:val="BodyText"/>
      </w:pPr>
      <w:r>
        <w:t xml:space="preserve">聚变技术对地缘格局的影响，不只是能源成本的变化，更是依附关系的物质固化。各类经济体在1.2.4节的角色分类，不是技术标准选择的结果，而是政治经济关系通过基础设施投资取得物质形态的结果：国家先确定了依附方向，技术协议随之绑定。理解这个顺序，是理解已接入聚变国家的阵营归属何以相对稳定的前提；而对未接入聚变的大量国家，这个顺序并不适用，它们的对外关系格局流动性更高。</w:t>
      </w:r>
    </w:p>
    <w:p>
      <w:pPr>
        <w:pStyle w:val="BodyText"/>
      </w:pPr>
      <w:r>
        <w:rPr>
          <w:bCs/>
          <w:b/>
        </w:rPr>
        <w:t xml:space="preserve">决定归队方向的三个因素。</w:t>
      </w:r>
      <w:r>
        <w:t xml:space="preserve">第一，谁能提供聚变电站融资。第一代商业聚变电站单座造价在数百亿美元量级，C类、D类国家均无自建能力。A1体系的出资方是私人资本，遵循商业回报逻辑，只进入有付款能力或有资源抵押的市场；A2体系的出资方是政策性银行和国有企业，可以在低于商业回报率的条件下承接项目，代价是资源权益让渡和政治对齐。第二，现有基础设施的历史积累。2026年已在用的电网设备供应商、2030年代AI基础设施的技术来源，形成真实的路径依赖，使某套体系的接入方案在工程上更自然、迁移成本更低。第三，对两大体系的战略价值。有稀土、矿产、航运要道、人口市场的国家，对至少一个体系仍有真实吸引力，能够谈判接入条件；对两体系均无战略价值、且无付款能力的国家，不在任何体系的主动覆盖范围内。</w:t>
      </w:r>
    </w:p>
    <w:p>
      <w:pPr>
        <w:pStyle w:val="BodyText"/>
      </w:pPr>
      <w:r>
        <w:rPr>
          <w:bCs/>
          <w:b/>
        </w:rPr>
        <w:t xml:space="preserve">A1：战略收缩与私人资本主导。</w:t>
      </w:r>
      <w:r>
        <w:t xml:space="preserve">动荡期A1面临财政和政治的双重约束：工资税税基萎缩使结构性赤字成为常态，民粹联盟核心诉求是将财政资源集中于国内，</w:t>
      </w:r>
      <w:r>
        <w:t xml:space="preserve">“</w:t>
      </w:r>
      <w:r>
        <w:t xml:space="preserve">用纳税人的钱给外国建电站</w:t>
      </w:r>
      <w:r>
        <w:t xml:space="preserve">”</w:t>
      </w:r>
      <w:r>
        <w:t xml:space="preserve">在任何选举周期都是有效攻击武器。实际模式因此是：私人资本决定进入哪些市场，政府提供外交背书和标准认证框架，但不提供直接融资。私人资本只进入有商业回报预期的目的地——有付款能力的B1类，以及资源条件可支撑商业回报的部分D类。对战略价值已下降且无付款能力的地区，A1的立场接近”不主动投入，也不主动放弃”。</w:t>
      </w:r>
    </w:p>
    <w:p>
      <w:pPr>
        <w:pStyle w:val="BodyText"/>
      </w:pPr>
      <w:r>
        <w:rPr>
          <w:bCs/>
          <w:b/>
        </w:rPr>
        <w:t xml:space="preserve">A2：资源约束与选择性投入。</w:t>
      </w:r>
      <w:r>
        <w:t xml:space="preserve">A2的政策性贷款模式有边界——坏账由国内财政吸收，这个能力在大规模扩张后面临上限。2050年代之后部分早期贷款进入还款困难阶段，新项目审慎程度上升。A2的选择逻辑趋向资源导向：有矿产、能源或农业资源可还债的国家优先；有战略地缘位置但无资源的次之；两者均无的基本不在主动覆盖范围内。</w:t>
      </w:r>
    </w:p>
    <w:p>
      <w:pPr>
        <w:pStyle w:val="BodyText"/>
      </w:pPr>
      <w:r>
        <w:rPr>
          <w:bCs/>
          <w:b/>
        </w:rPr>
        <w:t xml:space="preserve">战略价值的系统性重估。</w:t>
      </w:r>
      <w:r>
        <w:t xml:space="preserve">聚变使石油依赖消失，廉价能源使采矿业运营成本约束弱化，AI替代使廉价劳动力战略价值下降——三个变化同时重写了国家战略价值评估框架。价值上升的是：关键矿产产地（稀土、锂、钴）、扼守航运要道的国家、可部署大型算力基础设施的地区。价值下降的是：纯化石能源国、纯劳动力输出国、既无资源又无战略位置的人口大国。这解释了E类的实际定义：不是被排斥在外，而是两大体系均未将其纳入主动覆盖。</w:t>
      </w:r>
    </w:p>
    <w:p>
      <w:pPr>
        <w:pStyle w:val="BodyText"/>
      </w:pPr>
      <w:r>
        <w:rPr>
          <w:bCs/>
          <w:b/>
        </w:rPr>
        <w:t xml:space="preserve">技术协议是结果，不是原因。</w:t>
      </w:r>
      <w:r>
        <w:t xml:space="preserve">一旦融资关系确定、设备采购完成，电网控制协议、认证体系、运维数据接口随之绑定，切换成本随运营年限单向上升。对已接入聚变的国家，阵营归属的相对稳定性来源是基础设施债务和能源依附关系，而非技术标准本身的排他性；对未接入聚变的大量国家，这个锁定机制不存在，阵营归属流动性更高。2061年形成的双体系版图反映的是聚变接入格局，不是全球所有国家的固化分割。</w:t>
      </w:r>
    </w:p>
    <w:p>
      <w:pPr>
        <w:pStyle w:val="BodyText"/>
      </w:pPr>
      <w:r>
        <w:rPr>
          <w:bCs/>
          <w:b/>
        </w:rPr>
        <w:t xml:space="preserve">金融子线：金融制裁效力变化。</w:t>
      </w:r>
      <w:r>
        <w:t xml:space="preserve">A2体系的去SWIFT化使制裁对A2成员的效力大幅下降。C类对冲自主体维持双轨金融正是为了保留规避制裁的选项。</w:t>
      </w:r>
    </w:p>
    <w:bookmarkEnd w:id="206"/>
    <w:bookmarkStart w:id="207" w:name="气候环境规则利益道义与渗透"/>
    <w:p>
      <w:pPr>
        <w:pStyle w:val="Heading3"/>
      </w:pPr>
      <w:r>
        <w:t xml:space="preserve">4.4.3　气候环境规则：利益、道义与渗透</w:t>
      </w:r>
    </w:p>
    <w:p>
      <w:pPr>
        <w:pStyle w:val="FirstParagraph"/>
      </w:pPr>
      <w:r>
        <w:t xml:space="preserve">聚变转型完成后，A1和A2的气候利益结构发生根本性转变——两者已经不是化石能源的主要依赖者，而是聚变技术的拥有者。这使两者在气候规则上同时有动机保护既得的技术优势，气候科学提供了道义基础，使垄断保护利益可以用公认的语言表达，反对者在政治上处于不利位置。两个动机同时真实，不需要分出先后。</w:t>
      </w:r>
    </w:p>
    <w:p>
      <w:pPr>
        <w:pStyle w:val="BodyText"/>
      </w:pPr>
      <w:r>
        <w:rPr>
          <w:bCs/>
          <w:b/>
        </w:rPr>
        <w:t xml:space="preserve">A1的气候规则逻辑。</w:t>
      </w:r>
      <w:r>
        <w:t xml:space="preserve">以高标准筑墙为主——碳边境调整机制（CBAM）对高碳进口产品征税，保护已完成聚变转型的本国产业。技术认证体系（绿色标准、碳核查认证）使合规成为进入A1市场的门槛。主要针对D类（化石能源残余出口）和制造业仍依赖高碳能源的经济体。</w:t>
      </w:r>
    </w:p>
    <w:p>
      <w:pPr>
        <w:pStyle w:val="BodyText"/>
      </w:pPr>
      <w:r>
        <w:rPr>
          <w:bCs/>
          <w:b/>
        </w:rPr>
        <w:t xml:space="preserve">A2的气候规则逻辑（三个层次）。</w:t>
      </w:r>
      <w:r>
        <w:t xml:space="preserve">表层：争取国际气候治理的道义地位和话语权，在2058年前后聚变覆盖率达到核心区多数时，从”被要求减排方”转变为”推动严格规则方”，谈判地位根本性改变。中层：对B2类和C类成员维持灵活标准——合规要求宽松，认证容易，绿色融资附加条件少，用”气候灵活性”作为拉拢盟友的竞争工具。深层：通过整套方案（标准+认证机构+MRV数据基础设施+融资）系统性渗透伙伴国工业管理体系，获取其生产数据。绿色援助比传统基础设施贷款的政治阻力更小，依附加深的速度更快。</w:t>
      </w:r>
    </w:p>
    <w:p>
      <w:pPr>
        <w:pStyle w:val="BodyText"/>
      </w:pPr>
      <w:r>
        <w:rPr>
          <w:bCs/>
          <w:b/>
        </w:rPr>
        <w:t xml:space="preserve">A2渗透的内在约束。</w:t>
      </w:r>
      <w:r>
        <w:t xml:space="preserve">过度渗透会触发抵制，失去整套方案的吸引力。A2必须在”渗透足够深”和”不触发抵制”之间维持平衡，这个约束使渗透不是无限度的。</w:t>
      </w:r>
    </w:p>
    <w:p>
      <w:pPr>
        <w:pStyle w:val="BodyText"/>
      </w:pPr>
      <w:r>
        <w:rPr>
          <w:bCs/>
          <w:b/>
        </w:rPr>
        <w:t xml:space="preserve">不对称博弈而非趋同。</w:t>
      </w:r>
      <w:r>
        <w:t xml:space="preserve">A1推高标准壁垒，A2提供灵活豁免，C类在两者之间寻找最优选择。随着气候规则持续收紧，制造业仍依赖高碳能源的经济体的选择空间实际上在收窄，不管选哪套标准，合规成本都在上升。</w:t>
      </w:r>
    </w:p>
    <w:p>
      <w:pPr>
        <w:pStyle w:val="BodyText"/>
      </w:pPr>
      <w:r>
        <w:rPr>
          <w:bCs/>
          <w:b/>
        </w:rPr>
        <w:t xml:space="preserve">深海采矿环境规则的特殊性。</w:t>
      </w:r>
      <w:r>
        <w:t xml:space="preserve">CCZ采矿规则的形成逻辑是公地悲剧——无规则竞争使所有人受损，有规则竞争至少保护了先行者的投资。规则的客观效果是排斥了技术能力弱的小国，但这是结构性结果而非设计意图。A1和A2在深海资源上是竞争关系，有限合作的基础是公地保护而非联合垄断。</w:t>
      </w:r>
    </w:p>
    <w:bookmarkEnd w:id="207"/>
    <w:bookmarkEnd w:id="208"/>
    <w:bookmarkStart w:id="211" w:name="原材料的经济后果"/>
    <w:p>
      <w:pPr>
        <w:pStyle w:val="Heading2"/>
      </w:pPr>
      <w:r>
        <w:t xml:space="preserve">4.5　原材料的经济后果</w:t>
      </w:r>
    </w:p>
    <w:p>
      <w:pPr>
        <w:pStyle w:val="FirstParagraph"/>
      </w:pPr>
      <w:r>
        <w:t xml:space="preserve">AI与自动化、聚变能源的叠加，从技术层面重写了原材料的生产经济学；这一变化在战略层面产生了矿产供给格局的结构性重组。4.4.1从经济角度分析新技术如何改变采矿、合成与回收三个环节；4.4.2从战略角度分析这些变化对矿产地缘格局的影响。</w:t>
      </w:r>
    </w:p>
    <w:bookmarkStart w:id="209" w:name="新技术对原材料生产经济学的重写"/>
    <w:p>
      <w:pPr>
        <w:pStyle w:val="Heading3"/>
      </w:pPr>
      <w:r>
        <w:t xml:space="preserve">4.5.1　新技术对原材料生产经济学的重写</w:t>
      </w:r>
    </w:p>
    <w:p>
      <w:pPr>
        <w:pStyle w:val="FirstParagraph"/>
      </w:pPr>
      <w:r>
        <w:t xml:space="preserve">工业时代原材料的生产成本由三个要素主导：劳动力、能源、设备。AI与自动化压缩了劳动力成本，聚变压缩了能源成本，两者叠加使原材料生产的边际成本结构在2050年代后发生根本性改变。变化沿采矿、合成、回收三条路径展开，各有不同的经济逻辑。</w:t>
      </w:r>
    </w:p>
    <w:p>
      <w:pPr>
        <w:pStyle w:val="BodyText"/>
      </w:pPr>
      <w:r>
        <w:rPr>
          <w:bCs/>
          <w:b/>
        </w:rPr>
        <w:t xml:space="preserve">采矿：从人工密集到资本密集，边界扩展</w:t>
      </w:r>
    </w:p>
    <w:p>
      <w:pPr>
        <w:pStyle w:val="BodyText"/>
      </w:pPr>
      <w:r>
        <w:t xml:space="preserve">AI驱动的自动化使采矿业完成了从劳动密集到资本密集的彻底转型。地下矿山的采掘、运输、选矿环节已高度自动化，人员主要集中在设备维护和远程监控；露天矿的无人驾驶卡车、AI矿体建模、精准爆破系统的组合，使单位产量的人工成本在2050年代压缩至工业时代的一小部分。</w:t>
      </w:r>
    </w:p>
    <w:p>
      <w:pPr>
        <w:pStyle w:val="BodyText"/>
      </w:pPr>
      <w:r>
        <w:t xml:space="preserve">更重要的是聚变带来的经济边界扩展。能耗曾是决定矿山是否有开采价值的关键门槛之一——品位低于临界值的矿床，开采所耗的能源成本超过产出价值，属于经济上的”死矿”。聚变将能耗成本从采矿成本结构中实质性移除后，这条边界系统性外移：原本因品位不足被放弃的陆地矿床重新进入可行区间，深海矿床（此前受制于极高的水下作业能耗）在2050—2055年前后越过经济临界点。深海锰结核、富钴结壳、热液喷口多金属硫化物等矿床，其元素组成与陆地矿山并无本质差异——同样含有镍、钴、铜、锌以及伴生的稀散元素——廉价能源使它们从理论上存在变为经济上可采。可开采矿产资源的地理范围因此显著扩展，单一陆地产区的垄断地位受到来自海底的系统性稀释。</w:t>
      </w:r>
    </w:p>
    <w:p>
      <w:pPr>
        <w:pStyle w:val="BodyText"/>
      </w:pPr>
      <w:r>
        <w:rPr>
          <w:bCs/>
          <w:b/>
        </w:rPr>
        <w:t xml:space="preserve">合成：能耗壁垒消除，新材料规模化</w:t>
      </w:r>
    </w:p>
    <w:p>
      <w:pPr>
        <w:pStyle w:val="BodyText"/>
      </w:pPr>
      <w:r>
        <w:t xml:space="preserve">许多具有优越性能的合成材料，此前受制于极高的生产能耗而无法大规模推广。聚变移除这道壁垒后，三类合成材料在2072年已完成规模化替代。</w:t>
      </w:r>
    </w:p>
    <w:p>
      <w:pPr>
        <w:pStyle w:val="BodyText"/>
      </w:pPr>
      <w:r>
        <w:t xml:space="preserve">碳纤维的生产链依赖高温碳化过程，能耗是其价格居高不下的核心原因。廉价能源使碳纤维成本大幅下降，在交通工具结构件、基础设施、深海设备外壳等领域广泛替代传统金属，对铝、钢等金属的需求产生结构性压缩。工程陶瓷的高温烧结同样高能耗，成本下降后在高强度结构部件中替代部分稀有金属。合成建材（碱激发材料、地质聚合物等）在建筑业大规模普及，降低对天然石材和传统骨料的依赖。</w:t>
      </w:r>
    </w:p>
    <w:p>
      <w:pPr>
        <w:pStyle w:val="BodyText"/>
      </w:pPr>
      <w:r>
        <w:t xml:space="preserve">合成工艺的局限在于：它可以替代物理形态，但无法替代元素属性本身。半导体需要特定的电学特性，电池电化学依赖特定元素的离子行为，精密光学器件依赖特定折射率——这些需求无法被”能耗更低的等效合成材料”替代，只能通过减少单位用量或寻找具有相近属性的替代元素来对冲。合成革命在大宗材料领域影响深远，在精密电子材料领域作用有限。</w:t>
      </w:r>
    </w:p>
    <w:p>
      <w:pPr>
        <w:pStyle w:val="BodyText"/>
      </w:pPr>
      <w:r>
        <w:rPr>
          <w:bCs/>
          <w:b/>
        </w:rPr>
        <w:t xml:space="preserve">回收：城市矿山从补充变为主力</w:t>
      </w:r>
    </w:p>
    <w:p>
      <w:pPr>
        <w:pStyle w:val="BodyText"/>
      </w:pPr>
      <w:r>
        <w:t xml:space="preserve">工业时代的金属回收受制于分离能耗——将合金中的各种金属精确分离，能耗往往不亚于从矿石中一次提取。聚变移除这道成本后，城市矿山的经济性发生根本转变：退役电子产品、废旧电池、报废工业设备中的金属不再是”难以经济性回收的废料”，而是比原矿更容易处理的富集原料（城市矿山的金属富集度通常高于天然矿石数倍）。</w:t>
      </w:r>
    </w:p>
    <w:p>
      <w:pPr>
        <w:pStyle w:val="BodyText"/>
      </w:pPr>
      <w:r>
        <w:t xml:space="preserve">AI在回收环节的作用同样关键：自动化拆解系统识别并分离不同材料的能力，在2040年代后已远超人工操作的速度和精度；废料流的成分分析和回收流程优化，由AI实时完成。两者叠加使城市矿山的单位处理成本持续下降，回收率持续提升。</w:t>
      </w:r>
    </w:p>
    <w:p>
      <w:pPr>
        <w:pStyle w:val="BodyText"/>
      </w:pPr>
      <w:r>
        <w:t xml:space="preserve">对原材料经济的宏观影响是：新增采矿需求的增长速度系统性低于材料使用总量的增长速度，因为一部分增量需求由回收供给填补。这进一步压低了一次矿产的长期价格预期，使矿产资源国的资产估值面临持续的下行压力，同时也使城市密集、工业存量大的经济体（A1和B1类核心区）获得了相对于资源国的结构性优势——它们拥有密度最高的城市矿山，且掌握高效开采这座矿山所需的AI和自动化技术。</w:t>
      </w:r>
    </w:p>
    <w:bookmarkEnd w:id="209"/>
    <w:bookmarkStart w:id="210" w:name="矿产供给格局的战略重组"/>
    <w:p>
      <w:pPr>
        <w:pStyle w:val="Heading3"/>
      </w:pPr>
      <w:r>
        <w:t xml:space="preserve">4.5.2　矿产供给格局的战略重组</w:t>
      </w:r>
    </w:p>
    <w:p>
      <w:pPr>
        <w:pStyle w:val="FirstParagraph"/>
      </w:pPr>
      <w:r>
        <w:t xml:space="preserve">4.4.1描述的经济机制——采矿边界扩展、合成替代和城市矿山崛起——在战略层面产生了原材料供给格局的结构性重组。谁控制这三条路径的技术和资本，决定了2072年矿产地缘格局的实质走向。</w:t>
      </w:r>
    </w:p>
    <w:p>
      <w:pPr>
        <w:pStyle w:val="BodyText"/>
      </w:pPr>
      <w:r>
        <w:t xml:space="preserve">聚变使金属回收和深海采矿的能耗成本趋近于零，同时从供给侧重写了矿产资源的地理分布逻辑。工业时代”谁控制陆地矿山谁控制供应链”的垄断结构，在2072年已发生系统性松动——但垄断的性质从地理垄断转向技术垄断，而非消失。</w:t>
      </w:r>
    </w:p>
    <w:p>
      <w:pPr>
        <w:pStyle w:val="BodyText"/>
      </w:pPr>
      <w:r>
        <w:rPr>
          <w:bCs/>
          <w:b/>
        </w:rPr>
        <w:t xml:space="preserve">电力驱动的交通与机器人：锂需求的长期基础</w:t>
      </w:r>
    </w:p>
    <w:p>
      <w:pPr>
        <w:pStyle w:val="BodyText"/>
      </w:pPr>
      <w:r>
        <w:t xml:space="preserve">聚变时代的锂需求并未随核电扩张（氚增殖需要锂-6）而饱和，反而因两个平行趋势保持增长：公路交通全面电动化（个人交通工具、城市物流、长途货运）和工业及服务机器人的大规模部署。两者都依赖固态锂电池作为核心储能介质，且机器人数量在AI深化阶段呈持续上升趋势。锂因此从”电动车过渡期的短暂瓶颈”变成多态社会的永久性基础材料，资源国（智利、澳大利亚、玻利维亚）在聚变时代获得相对稳定的战略地位——这是D类资源出口国中少数未受聚变冲击显著压缩的子类。</w:t>
      </w:r>
    </w:p>
    <w:p>
      <w:pPr>
        <w:pStyle w:val="BodyText"/>
      </w:pPr>
      <w:r>
        <w:rPr>
          <w:bCs/>
          <w:b/>
        </w:rPr>
        <w:t xml:space="preserve">钴与镍：深海与城市矿山的双重压制</w:t>
      </w:r>
    </w:p>
    <w:p>
      <w:pPr>
        <w:pStyle w:val="BodyText"/>
      </w:pPr>
      <w:r>
        <w:t xml:space="preserve">钴和镍的供给格局被两个方向同时重写。供给侧：深海锰结核和富钴结壳规模化开采，将定价权从陆地资源国（刚果、菲律宾）转向掌握深海采矿技术和资本的A1体系企业。回收侧：聚变使电池冶金能耗趋近于零，城市矿山经济性大幅提升，退役电池的金属回收率持续提高，到2072年钴和镍的二次回收已超过一次采矿的贡献，形成相对闭合的城市矿山循环。两个方向叠加，陆地矿山产量收缩至维持储量缓冲的规模。矿产资源国的战略地位因此下降——资源仍有价值，但边际矿山关闭，价格天花板被深海和回收双重压制。</w:t>
      </w:r>
    </w:p>
    <w:p>
      <w:pPr>
        <w:pStyle w:val="BodyText"/>
      </w:pPr>
      <w:r>
        <w:rPr>
          <w:bCs/>
          <w:b/>
        </w:rPr>
        <w:t xml:space="preserve">稀散元素垄断的松动与残余</w:t>
      </w:r>
    </w:p>
    <w:p>
      <w:pPr>
        <w:pStyle w:val="BodyText"/>
      </w:pPr>
      <w:r>
        <w:t xml:space="preserve">镓、锗、铟等稀散元素的地理垄断在2072年有所松动，但未被根本打破，机制需要分层理解。</w:t>
      </w:r>
    </w:p>
    <w:p>
      <w:pPr>
        <w:pStyle w:val="BodyText"/>
      </w:pPr>
      <w:r>
        <w:t xml:space="preserve">松动的来源有两条。其一，深海热液喷口区的多金属硫化物矿床含锌、铜，镓、铟等稀散元素以伴生形式赋存其中；聚变使低品位矿化带的附带开采在经济上可行，原本因品位不足放弃的矿化带成为可开采对象，稀散元素的供给地理分布因此扩展。其二，城市矿山对电子废料的系统性回收，使芯片、显示屏、光伏组件中的稀散元素进入再生循环，部分减少对原矿供应的依赖。</w:t>
      </w:r>
    </w:p>
    <w:p>
      <w:pPr>
        <w:pStyle w:val="BodyText"/>
      </w:pPr>
      <w:r>
        <w:t xml:space="preserve">但残余垄断依然存在。A2体系通过B2类整合者网络控制的陆地锌铝矿山，仍是镓、锗产量的最大单一来源；深海热液区开采技术的成熟度在2072年尚未完全赶上锰结核，附带开采的实际贡献仍有不确定性；A1体系的对冲主要通过技术路线（减少单位用量、替代材料研发）实现，而非供给侧完全替代。稀散元素的供应链脆弱性在过渡期前段是真实的战略风险，2072年稳态下已有所改善，但没有彻底消除。</w:t>
      </w:r>
    </w:p>
    <w:p>
      <w:pPr>
        <w:pStyle w:val="BodyText"/>
      </w:pPr>
      <w:r>
        <w:rPr>
          <w:bCs/>
          <w:b/>
        </w:rPr>
        <w:t xml:space="preserve">垄断性质的根本转变</w:t>
      </w:r>
    </w:p>
    <w:p>
      <w:pPr>
        <w:pStyle w:val="BodyText"/>
      </w:pPr>
      <w:r>
        <w:t xml:space="preserve">深海采矿与城市矿山共同产生的结构性效果，是将矿产垄断的性质从地理垄断转向技术垄断。工业时代，矿产资源的地理分布本身就是垄断的物质基础；聚变之后，深海矿床的普遍存在和城市矿山的规模化回收，使”谁拥有土地谁控制资源”的逻辑系统性弱化。取而代之的是：谁掌握深海采矿技术、谁拥有大规模电池冶金能力、谁建立了覆盖足够密度的回收网络，谁就在新的矿产供给格局中占据优势。这个优势仍然高度集中在A1体系的技术企业一侧，垄断结构本身没有消失，只是从自然禀赋转向人造能力。</w:t>
      </w:r>
    </w:p>
    <w:p>
      <w:pPr>
        <w:pStyle w:val="BodyText"/>
      </w:pPr>
      <w:r>
        <w:rPr>
          <w:bCs/>
          <w:b/>
        </w:rPr>
        <w:t xml:space="preserve">合成材料：对传统采矿的结构性替代</w:t>
      </w:r>
    </w:p>
    <w:p>
      <w:pPr>
        <w:pStyle w:val="BodyText"/>
      </w:pPr>
      <w:r>
        <w:t xml:space="preserve">聚变使高能耗合成工艺成本骤降，三类材料改变了对传统矿产的依赖程度。碳纤维前驱体合成不再依赖石油化工，高温碳化炉能耗趋近于零，在交通工具、基础设施、深海设备中大规模替代金属结构件。工程陶瓷高温烧结成本下降，用于高强度结构部件，替代部分稀有金属。合成建材（碱激发材料、地质聚合物）在建筑业大规模普及，降低对天然石材和传统骨料的依赖。综合效果：传统采矿业在建材和结构材料领域的市场持续收缩；精密电子材料领域的采矿需求保持稳定——合成工艺可以替代物理形态，但无法替代元素属性本身。</w:t>
      </w:r>
    </w:p>
    <w:bookmarkEnd w:id="210"/>
    <w:bookmarkEnd w:id="211"/>
    <w:bookmarkStart w:id="214" w:name="新农业的经济后果"/>
    <w:p>
      <w:pPr>
        <w:pStyle w:val="Heading2"/>
      </w:pPr>
      <w:r>
        <w:t xml:space="preserve">4.6　新农业的经济后果</w:t>
      </w:r>
    </w:p>
    <w:p>
      <w:pPr>
        <w:pStyle w:val="FirstParagraph"/>
      </w:pPr>
      <w:r>
        <w:t xml:space="preserve">AI与聚变从生产成本和技术门槛两个方向重写了农业经济学。4.5.1从经济角度分析新技术如何改变粮食与蛋白质的生产逻辑；4.5.2从战略角度分析这些变化对粮食安全格局和农业出口国的影响。</w:t>
      </w:r>
    </w:p>
    <w:bookmarkStart w:id="212" w:name="新技术对农业生产经济学的重写"/>
    <w:p>
      <w:pPr>
        <w:pStyle w:val="Heading3"/>
      </w:pPr>
      <w:r>
        <w:t xml:space="preserve">4.6.1　新技术对农业生产经济学的重写</w:t>
      </w:r>
    </w:p>
    <w:p>
      <w:pPr>
        <w:pStyle w:val="FirstParagraph"/>
      </w:pPr>
      <w:r>
        <w:t xml:space="preserve">工业时代农业的成本结构由土地、劳动力、水与能源投入主导。AI与自动化压缩了劳动力成本，聚变压缩了能源成本并使水资源约束部分松动（廉价能源使海水淡化和远程调水经济可行），两者叠加对农业生产经济学的改变沿三条路径展开：精准农业、合成食品生产链、以及食物系统的闭环化。</w:t>
      </w:r>
    </w:p>
    <w:p>
      <w:pPr>
        <w:pStyle w:val="BodyText"/>
      </w:pPr>
      <w:r>
        <w:rPr>
          <w:bCs/>
          <w:b/>
        </w:rPr>
        <w:t xml:space="preserve">精准农业：AI驱动的传统农业转型</w:t>
      </w:r>
    </w:p>
    <w:p>
      <w:pPr>
        <w:pStyle w:val="BodyText"/>
      </w:pPr>
      <w:r>
        <w:t xml:space="preserve">AI使农业生产从粗放式投入转向精准干预。无人机和地面传感器网络实现对土壤、作物、气候的实时监测，AI系统据此精确调配水、肥、农药的施用时机和量级，单位面积产量提升同时减少资源浪费。无人驾驶农机在大田作业中的渗透率在2050年代后超过大农场作业的主体，小农户因资本门槛被系统性排除在精准农业红利之外。</w:t>
      </w:r>
    </w:p>
    <w:p>
      <w:pPr>
        <w:pStyle w:val="BodyText"/>
      </w:pPr>
      <w:r>
        <w:t xml:space="preserve">聚变能源使垂直农业（室内多层种植）的成本约束从根本上改变。垂直农业此前受制于人工光照和环境控制的高能耗，在商业上只适用于高价值蔬菜和香草；廉价能源使其向主粮和饲料作物延伸成为可能，且不受气候、土地、水资源地理分布的约束。垂直农业不会在2072年取代传统大田农业，但已在城市周边和气候极端地区形成可观的补充供给，压低了传统农产品价格的波动性。</w:t>
      </w:r>
    </w:p>
    <w:p>
      <w:pPr>
        <w:pStyle w:val="BodyText"/>
      </w:pPr>
      <w:r>
        <w:rPr>
          <w:bCs/>
          <w:b/>
        </w:rPr>
        <w:t xml:space="preserve">合成食品：生物反应器替代土地和畜牧</w:t>
      </w:r>
    </w:p>
    <w:p>
      <w:pPr>
        <w:pStyle w:val="BodyText"/>
      </w:pPr>
      <w:r>
        <w:t xml:space="preserve">合成蛋白质（精准发酵和细胞培养肉）的商业化路径与聚变能源高度互补。精准发酵利用微生物生产特定蛋白质分子，细胞培养肉在生物反应器中直接培育动物肌肉组织，两者共同的核心成本是生物反应器的能耗。2030年代商业化初期，合成蛋白质成本显著高于传统产品；2040年代大规模制造压缩设备成本；2050年代后聚变使能耗趋近于零，合成蛋白质在价格上越过竞争临界点，市场替代加速。</w:t>
      </w:r>
    </w:p>
    <w:p>
      <w:pPr>
        <w:pStyle w:val="BodyText"/>
      </w:pPr>
      <w:r>
        <w:t xml:space="preserve">替代的不均匀性来自消费端的惯性差异。大豆蛋白和畜禽蛋白受替代最早，因为精准发酵可以直接生产功能等效的蛋白分子，消费者的感知差异较小；牛肉的口感复制难度更高，替代完成更晚。大田粮食（小麦、水稻、玉米）受替代压力最小——主食的消费心理惯性强，合成淀粉的口感差距更难弥合，且单位产值低使合成替代的经济动力不足。这个不均匀性直接决定了农业出口国的内部分化格局（见4.5.2）。</w:t>
      </w:r>
    </w:p>
    <w:p>
      <w:pPr>
        <w:pStyle w:val="BodyText"/>
      </w:pPr>
      <w:r>
        <w:rPr>
          <w:bCs/>
          <w:b/>
        </w:rPr>
        <w:t xml:space="preserve">食物系统的闭环化：有机废料与养分回路</w:t>
      </w:r>
    </w:p>
    <w:p>
      <w:pPr>
        <w:pStyle w:val="BodyText"/>
      </w:pPr>
      <w:r>
        <w:t xml:space="preserve">AI与聚变的组合使食物生产系统向闭环方向演化。城市有机废料（餐厨垃圾、污水污泥中的氮磷）通过AI优化的厌氧消化和养分提取系统，转化为精准发酵的底物和农业肥料；合成食品生产链中的废热和副产品同样进入循环利用。这使城市从纯粹的食物消费节点，变为具有一定食物生产能力的闭环系统。城市农业的自给率在2072年仍然有限，但对传统农业腹地的依赖程度系统性下降，长途农产品运输需求收缩对大宗农产品贸易格局产生持续压力。</w:t>
      </w:r>
    </w:p>
    <w:p>
      <w:pPr>
        <w:pStyle w:val="BodyText"/>
      </w:pPr>
      <w:r>
        <w:rPr>
          <w:bCs/>
          <w:b/>
        </w:rPr>
        <w:t xml:space="preserve">金融子线：农业资产估值重置</w:t>
      </w:r>
    </w:p>
    <w:p>
      <w:pPr>
        <w:pStyle w:val="BodyText"/>
      </w:pPr>
      <w:r>
        <w:t xml:space="preserve">上述变化在金融层面集中体现为农业资产的系统性重估。合成食品替代压低耕地（尤其是大豆和牧场用地）的预期收益，农业资产估值在冲击最集中的2040—2055年间系统性缩水；农业信贷、土地抵押、收成保险等金融工具的定价基础随之动摇，是部分农业出口国银行体系的潜在系统性风险来源。大宗农产品期货市场同步萎缩：大豆、豆粕、饲料粮等品种的期货流动性持续下降，定价权从交易所转向少数控制生产技术的合成食品企业内部；大田粮食期货相对稳定，但总交易量收缩。</w:t>
      </w:r>
    </w:p>
    <w:bookmarkEnd w:id="212"/>
    <w:bookmarkStart w:id="213" w:name="粮食安全格局的战略重组"/>
    <w:p>
      <w:pPr>
        <w:pStyle w:val="Heading3"/>
      </w:pPr>
      <w:r>
        <w:t xml:space="preserve">4.6.2　粮食安全格局的战略重组</w:t>
      </w:r>
    </w:p>
    <w:p>
      <w:pPr>
        <w:pStyle w:val="FirstParagraph"/>
      </w:pPr>
      <w:r>
        <w:t xml:space="preserve">4.5.1描述的经济机制——合成食品对传统蛋白质的替代、垂直农业对地理约束的松动、食物系统的闭环化——在战略层面产生了粮食安全逻辑的根本转移，以及围绕新粮食技术的体系竞争。</w:t>
      </w:r>
    </w:p>
    <w:p>
      <w:pPr>
        <w:pStyle w:val="BodyText"/>
      </w:pPr>
      <w:r>
        <w:rPr>
          <w:bCs/>
          <w:b/>
        </w:rPr>
        <w:t xml:space="preserve">粮食安全的定义转移</w:t>
      </w:r>
    </w:p>
    <w:p>
      <w:pPr>
        <w:pStyle w:val="BodyText"/>
      </w:pPr>
      <w:r>
        <w:t xml:space="preserve">工业时代的粮食安全是地理问题：谁控制足够的可耕地、水资源和适宜气候，谁就掌握粮食生产能力。合成食品和垂直农业切断了这个逻辑链：只要拥有廉价能源、生物反应器技术许可和配方知识产权，可以在任何地方生产食物，与土地和气候无关。粮食安全因此变成技术获取问题——拥有聚变能源和合成食品技术的国家，在理论上已经不需要依赖任何特定地区的农业出口。</w:t>
      </w:r>
    </w:p>
    <w:p>
      <w:pPr>
        <w:pStyle w:val="BodyText"/>
      </w:pPr>
      <w:r>
        <w:t xml:space="preserve">这个转移对不同类型国家的含义截然不同。A1和A2体系核心国家获得粮食自给的技术条件，历史上的粮食进口依赖可以通过合成食品技术在国内解决；E类农业出口国失去了”土地是稀缺资源”的谈判基础；E类国家面临”技术充裕但获取障碍”的矛盾处境——聚变+合成食品在理论上可以彻底解决饥饿，但技术门槛和知识产权壁垒使这个红利无法到达最需要的地方。</w:t>
      </w:r>
    </w:p>
    <w:p>
      <w:pPr>
        <w:pStyle w:val="BodyText"/>
      </w:pPr>
      <w:r>
        <w:rPr>
          <w:bCs/>
          <w:b/>
        </w:rPr>
        <w:t xml:space="preserve">两大体系的粮食依附网络竞争</w:t>
      </w:r>
    </w:p>
    <w:p>
      <w:pPr>
        <w:pStyle w:val="BodyText"/>
      </w:pPr>
      <w:r>
        <w:t xml:space="preserve">A1和A2体系通过技术许可和能源援助分别构建粮食依附网络，是两套体系地缘竞争的隐性战线之一。A1体系：合成食品核心技术（精准发酵平台、细胞培养基配方、生物反应器设计）集中在少数私营企业，通过专利和许可费形成技术门槛；援助国获得技术许可，但核心知识产权保留在A1体系企业一侧。A2体系：通过国家主导的生物技术研发形成独立技术路线，对B2类整合者国家提供技术转让和设备援助，换取政治依附和资源权益；技术依赖的结构与聚变基础设施援助模式一致。</w:t>
      </w:r>
    </w:p>
    <w:p>
      <w:pPr>
        <w:pStyle w:val="BodyText"/>
      </w:pPr>
      <w:r>
        <w:rPr>
          <w:bCs/>
          <w:b/>
        </w:rPr>
        <w:t xml:space="preserve">农业出口国的路径分化</w:t>
      </w:r>
    </w:p>
    <w:p>
      <w:pPr>
        <w:pStyle w:val="BodyText"/>
      </w:pPr>
      <w:r>
        <w:t xml:space="preserve">农业出口比重高的经济体（多属C类或B2类成员）的处境在4.3.3节已有概述，此处从战略角度补充：出口结构决定冲击时序，但最终的路径分化取决于各国能否完成向价值链上游的移动——从出口初级农产品，转向出口合成食品技术、生物原料或精深加工品。少数拥有足够农业科研基础和资本的国家（澳大利亚、巴西部分转型路径）可能完成这个转型；更多国家则面临传统农业就业系统性消失、城镇化压力超过城市吸收能力的结构性困境，农村劳动力的大规模失根是这类国家社会危机的物质来源。</w:t>
      </w:r>
    </w:p>
    <w:p>
      <w:pPr>
        <w:pStyle w:val="BodyText"/>
      </w:pPr>
      <w:r>
        <w:rPr>
          <w:bCs/>
          <w:b/>
        </w:rPr>
        <w:t xml:space="preserve">食物价值梯度与意义感分层</w:t>
      </w:r>
    </w:p>
    <w:p>
      <w:pPr>
        <w:pStyle w:val="BodyText"/>
      </w:pPr>
      <w:r>
        <w:t xml:space="preserve">2072年的食物体系形成了一条清晰的价值梯度：配给的合成食品（最低成本，营养完整但体验单一）→城市工厂蔬菜水果（真实植物，但人造光下的栽培，没有季节感）→内陆真实土地上的农产品（有季节、有气候、有地方性，是文化意义上的食物）。这个梯度在多态社会里不只是价格分层，也是意义感分层——越接近真实土地的食物，在意义感危机背景下价值越高，不是因为营养更好，而是因为它带有城市工厂无法复制的地方性和不确定性。城市工厂化农业的地理形态见6.3节。</w:t>
      </w:r>
    </w:p>
    <w:bookmarkEnd w:id="213"/>
    <w:bookmarkEnd w:id="214"/>
    <w:bookmarkStart w:id="221" w:name="人口劳动力与经济ai时代的结构性重写"/>
    <w:p>
      <w:pPr>
        <w:pStyle w:val="Heading2"/>
      </w:pPr>
      <w:r>
        <w:t xml:space="preserve">4.7　人口、劳动力与经济：AI时代的结构性重写</w:t>
      </w:r>
    </w:p>
    <w:bookmarkStart w:id="215" w:name="ai时代人口经济逻辑的根本断裂"/>
    <w:p>
      <w:pPr>
        <w:pStyle w:val="Heading3"/>
      </w:pPr>
      <w:r>
        <w:t xml:space="preserve">4.7.1　AI时代人口经济逻辑的根本断裂</w:t>
      </w:r>
    </w:p>
    <w:p>
      <w:pPr>
        <w:pStyle w:val="FirstParagraph"/>
      </w:pPr>
      <w:r>
        <w:t xml:space="preserve">工业时代的人口经济逻辑建立在一个现在已不再成立的假设上：新增人口在进入劳动年龄后会找到工作，缴纳工资税和社保费，支撑养老和公共支出体系。AI替代打断了这个逻辑链的中间环节——新增人口进入劳动市场时，AI已占据了本应属于他们的岗位，劳动力供给增加但岗位需求提前收缩。结果是新增人口不再自动转化为财政贡献者，而可能直接成为BSC等保障体系的财政依赖人口。</w:t>
      </w:r>
    </w:p>
    <w:p>
      <w:pPr>
        <w:pStyle w:val="BodyText"/>
      </w:pPr>
      <w:r>
        <w:t xml:space="preserve">这个断裂产生一个重要推论：传统”鼓励生育以补充养老税基”的财政逻辑在AI时代失效。真正的养老危机不来自人口少了，而来自有产出的人口比例太低，以及支撑体系的税基从稳定的工资税转向波动的资本收入税。</w:t>
      </w:r>
      <w:r>
        <w:t xml:space="preserve">“</w:t>
      </w:r>
      <w:r>
        <w:t xml:space="preserve">有产出的劳动人口</w:t>
      </w:r>
      <w:r>
        <w:t xml:space="preserve">”</w:t>
      </w:r>
      <w:r>
        <w:t xml:space="preserve">——即其劳动能替代AI、或在AI无法完成的稀缺岗位上提供真实输出的人——到2072年可能只占成年人口的三分之一左右，其余依赖BSC、资本收入或政策性就业。</w:t>
      </w:r>
    </w:p>
    <w:p>
      <w:pPr>
        <w:pStyle w:val="BodyText"/>
      </w:pPr>
      <w:r>
        <w:rPr>
          <w:bCs/>
          <w:b/>
        </w:rPr>
        <w:t xml:space="preserve">2072年各路径人口基本状态。</w:t>
      </w:r>
      <w:r>
        <w:t xml:space="preserve">A1/A2核心地区（美国、欧洲、中国）的人口下降在2072年已是进行中的现实，生育率约1.4—1.6，低于替代水平；全球人口峰值预计在2050年代出现（约85—88亿），低于联合国中位预测，因为AI时代加速了城市化、高等教育普及和劳动收入中位数下降三个生育率抑制因子；被遗忘地带仍在增长（生育率约2.5—3.0），但增速因卫星互联网带来的信息连通而低于纯马尔萨斯预测。</w:t>
      </w:r>
    </w:p>
    <w:p>
      <w:pPr>
        <w:pStyle w:val="BodyText"/>
      </w:pPr>
      <w:r>
        <w:rPr>
          <w:bCs/>
          <w:b/>
        </w:rPr>
        <w:t xml:space="preserve">劳动力需求转型驱动的全球移民筛选收紧。</w:t>
      </w:r>
      <w:r>
        <w:t xml:space="preserve">AI替代从根本上重写了各国对移民的需求结构，这是一个横跨所有路径的全局性转变，直接影响4.6.2—4.6.6各类型国家的人口演化轨迹。</w:t>
      </w:r>
    </w:p>
    <w:p>
      <w:pPr>
        <w:pStyle w:val="BodyText"/>
      </w:pPr>
      <w:r>
        <w:t xml:space="preserve">经济逻辑的转变：工业时代各国接收移民的主要动机是填补劳动力短缺，低技能移民承担本地人不愿做的工作（建筑、农业、清洁、餐饮），中技能移民填补制造业和服务业缺口。2040年代AI替代系统性消灭这些需求之前，发达经济体经历了一个加速自动化的前置阶段，其驱动力部分来自2020—2030年代的民粹主义政策。民粹联盟在政治上成功收紧移民管制，但这一政策并未有效增加本国公民的就业——被限制的岗位（建筑、农业、低端服务）本国劳动力大规模回避，供给缺口转化为成本上涨，相关产品和服务价格系统性抬升。劳动力价格上升反而加速了这些行业的自动化替代：在移民供给收紧之前，建筑机器人、农业自动化设备的经济回报率不足以触发大规模投资；移民政策收紧使劳动力成本越过经济可行性门槛，加速了2040年代相关技术在发达经济体的商业部署。民粹政策的实质效果，是在政治上排斥了移民，在经济上为自动化加速铺了路。发展中国家的路径与此相反：劳动力价格持续维持低位，本地自动化的经济动机长期薄弱；叠加资本密集型自动化设备的高前期投入门槛和外资主导的技术转移结构，使大量发展中国家到2072年仍处于前自动化的工业时代——不是因为缺乏技术意愿，而是自动化在当地的经济逻辑尚未成立。AI替代最终系统性消灭了低技能劳动力的需求——2040年代之后，建筑机器人、农业自动化、服务业AI使低技能劳动力在发达经济体的经济理由几乎归零；中技能制造业和标准化服务业同步被替代。各国真正需要的只剩AI无法替代的特定能力：医护、护理、教育、工程维护、手工高端技艺、现场判断类岗位。移民需求的结构从”量”的逻辑转向”类型”的逻辑，技术积分制在2030年代逐步取代历史上的配额制成为各国主流筛选工具。</w:t>
      </w:r>
    </w:p>
    <w:p>
      <w:pPr>
        <w:pStyle w:val="BodyText"/>
      </w:pPr>
      <w:r>
        <w:t xml:space="preserve">政治逻辑的转变：经济上不再需要低技能移民，使政治上限制移民的阻力消失——过去反对限制移民的最有力论点是”经济需要他们”，这个论点在AI时代失效。与此同时，AI替代导致就业市场整体收缩，低技能劳动力广泛转入福利依赖，财政压力上升，为民粹反移民叙事提供了新的政治燃料。两个方向叠加：反移民政策的政治成本下降，支持限制移民的政治联盟扩大，各国政策向收紧端漂移的速度在2030年代后显著加快。</w:t>
      </w:r>
    </w:p>
    <w:p>
      <w:pPr>
        <w:pStyle w:val="BodyText"/>
      </w:pPr>
      <w:r>
        <w:t xml:space="preserve">对人口持续增长国家的冲击：历史上通过体力劳动输出换取汇款是E类和部分D类国家的核心外汇来源——撒哈拉以南非洲大量家庭依赖在欧洲、中东打工的亲属汇款维持生计，这个渠道在2072年已系统性收窄。即使经济需求消失，人道主义和地缘政治压力（战乱难民、气候难民）使各国无法完全关门，形成”经济上不需要但政治上无法拒绝”的持续张力，是欧洲和部分A1成员最难化解的长期政治压力来源之一。</w:t>
      </w:r>
    </w:p>
    <w:p>
      <w:pPr>
        <w:pStyle w:val="BodyText"/>
      </w:pPr>
      <w:r>
        <w:t xml:space="preserve">以下按五类路径分别推演人口、劳动力与经济的交互逻辑：</w:t>
      </w:r>
    </w:p>
    <w:bookmarkEnd w:id="215"/>
    <w:bookmarkStart w:id="216" w:name="a1体系老龄化管理与州际人口竞争"/>
    <w:p>
      <w:pPr>
        <w:pStyle w:val="Heading3"/>
      </w:pPr>
      <w:r>
        <w:t xml:space="preserve">4.7.2　A1体系：老龄化管理与州际人口竞争</w:t>
      </w:r>
    </w:p>
    <w:p>
      <w:pPr>
        <w:pStyle w:val="FirstParagraph"/>
      </w:pPr>
      <w:r>
        <w:rPr>
          <w:bCs/>
          <w:b/>
        </w:rPr>
        <w:t xml:space="preserve">财政结构的核心压力。</w:t>
      </w:r>
      <w:r>
        <w:t xml:space="preserve">A1核心地区（美国为代表）65岁以上人口比例从2025年约17%升至2072年约27—30%，老龄化带来的养老和医疗刚性支出压力显著增大，但这个压力被聚变红利和资本收入税替代工资税的财政重组部分对冲。真正的脆弱性在于：资本收入税基与资产周期高度相关，衰退期税收暴跌恰好是BSC支出需求最大的时刻，双向挤压使财政在最需要时最脆弱。</w:t>
      </w:r>
    </w:p>
    <w:p>
      <w:pPr>
        <w:pStyle w:val="BodyText"/>
      </w:pPr>
      <w:r>
        <w:rPr>
          <w:bCs/>
          <w:b/>
        </w:rPr>
        <w:t xml:space="preserve">州际人口竞争的两个阶段。</w:t>
      </w:r>
      <w:r>
        <w:t xml:space="preserve">BSC覆盖基本生存（2052—2055年完成）后，人口流动动力从“跟着工作走”转向“按偏好选”，内陆农业州第一次有可能通过生活环境竞争人口，而非就业机会。但竞争的真实驱动力是政治代表性（众议院席位按人口重新分配），而非财政收入。</w:t>
      </w:r>
    </w:p>
    <w:p>
      <w:pPr>
        <w:pStyle w:val="BodyText"/>
      </w:pPr>
      <w:r>
        <w:t xml:space="preserve">第一阶段（2027—2055）税源竞争：各州争夺高资本收入者的税务登记地址，结果是税务地址与实际居住地分离，高税基州流失税收但不流失经济活力，内陆州所得税趋零但也无法吸引资本。第二阶段（2055后）人口竞争：手段集中在边际成本低而定居效果强的教育和医疗——联邦设定基准、地方有差异化空间的罕见领域。人口竞争能力最强的不是最需要人口的地方（最贫困的县），而是工业时代公共投资质量最好的中等城市，这加剧了慢生活社区内部的分化。</w:t>
      </w:r>
    </w:p>
    <w:p>
      <w:pPr>
        <w:pStyle w:val="BodyText"/>
      </w:pPr>
      <w:r>
        <w:rPr>
          <w:bCs/>
          <w:b/>
        </w:rPr>
        <w:t xml:space="preserve">政策滞后的制度性困境。</w:t>
      </w:r>
      <w:r>
        <w:t xml:space="preserve">人口政策的效果需要一代人才能显现：2055年的教育投资对出生率的影响要到2070年后才体现，再经过15—20年才改变就学人口规模。这对民主选举政治是极高要求——各州在资源有限时倾向于把资金集中在医疗（对现有老龄选民有即时可见效果），而非教育（效果需等待未来选民）。民主政治周期与长期人口投资之间存在永久性的制度错配。</w:t>
      </w:r>
    </w:p>
    <w:p>
      <w:pPr>
        <w:pStyle w:val="BodyText"/>
      </w:pPr>
      <w:r>
        <w:rPr>
          <w:bCs/>
          <w:b/>
        </w:rPr>
        <w:t xml:space="preserve">2072年A1人口分布图景</w:t>
      </w:r>
    </w:p>
    <w:p>
      <w:pPr>
        <w:pStyle w:val="BodyText"/>
      </w:pPr>
      <w:r>
        <w:t xml:space="preserve">BSC覆盖基本生存和聚变能源普及共同重塑了A1的人口地理，形成三类并行存在、各有内部逻辑的居住形态。</w:t>
      </w:r>
    </w:p>
    <w:p>
      <w:pPr>
        <w:pStyle w:val="BodyText"/>
      </w:pPr>
      <w:r>
        <w:rPr>
          <w:iCs/>
          <w:i/>
        </w:rPr>
        <w:t xml:space="preserve">高密度技术集群</w:t>
      </w:r>
      <w:r>
        <w:t xml:space="preserve">：以大都市区为核心，集中了AI资本持有者、高技能劳动者和为其服务的各类服务岗位人口。这类区域人口规模在2072年仍在缓慢增长，但增长来源已从工业时代的就业吸引转为资本和网络效应——高技能人口聚集产生协同，协同吸引更多资本，资本再吸引高技能人口。住房成本是阻止大规模社会保障依赖人口流入的自然屏障：高成本城市的租金水平远超社会保障可以覆盖的部分，其余缺口必须由市场收入填补，使真正的基础保障覆盖者难以长期居住。</w:t>
      </w:r>
    </w:p>
    <w:p>
      <w:pPr>
        <w:pStyle w:val="BodyText"/>
      </w:pPr>
      <w:r>
        <w:rPr>
          <w:iCs/>
          <w:i/>
        </w:rPr>
        <w:t xml:space="preserve">中等城市与郊区带</w:t>
      </w:r>
      <w:r>
        <w:t xml:space="preserve">：这是2072年A1人口分布的主体区域，也是BSC制度效果最充分发挥的地带。中低成本地区的住房市价与社会保障覆盖额度之间的差距相对可控，叠加聚变能源带来的生活成本下降，使基础保障覆盖人口在此维持可接受的物质生活成为真实可能。这类地区吸纳了从高成本城市因住房压力外溢的BSC人口，也接收了从更小社区因公共服务不足而流出的人口，形成工业时代称为“郊区”但已根本性质变的居住带——不再以通勤为组织逻辑，而以生活成本可及性和公共服务基准水平为筛选机制。内部分化显著：工业时代有良好公共投资遗产的中等城市（大学城、前制造业中心）在人口竞争中占优，而历史投资不足的小城市趋向空心化。</w:t>
      </w:r>
    </w:p>
    <w:p>
      <w:pPr>
        <w:pStyle w:val="BodyText"/>
      </w:pPr>
      <w:r>
        <w:rPr>
          <w:iCs/>
          <w:i/>
        </w:rPr>
        <w:t xml:space="preserve">慢生活社区与后退出地带</w:t>
      </w:r>
      <w:r>
        <w:t xml:space="preserve">：人口持续净流出，留守人口以老龄化为主，BSC覆盖基本生存使这类社区不再因贫困而瓦解，但缺乏自我再生能力。联邦政治中的“被遗忘者”叙事主要来自这类社区，民粹政治在此有稳固的选民基础。部分慢生活社区因低速生活方式的文化吸引力（见5.4节）接收了主动选择低速度的人口，形成与老龄化留守并存的双重人口结构——前者是自愿的，后者是历史的，两者在BSC的物质托底下共存，但彼此的社区认同几乎没有交集。</w:t>
      </w:r>
    </w:p>
    <w:p>
      <w:pPr>
        <w:pStyle w:val="BodyText"/>
      </w:pPr>
      <w:r>
        <w:rPr>
          <w:bCs/>
          <w:b/>
        </w:rPr>
        <w:t xml:space="preserve">BSC人口的地理集中效应</w:t>
      </w:r>
    </w:p>
    <w:p>
      <w:pPr>
        <w:pStyle w:val="BodyText"/>
      </w:pPr>
      <w:r>
        <w:t xml:space="preserve">一个值得单独指出的现象是：BSC制度在无意中制造了人口地理的适度集中效应。基础保障覆盖人口倾向于聚居在生活成本可及、公共服务有基准保障的中等城市带，而非分散在广袤的农村地区——不是政策强制，而是社会保障覆盖额度与生活成本之间匹配程度最优的自然选择。农村地区住房成本虽低，但医疗、教育、交通等公共服务的实际可及质量更低（供给侧萎缩），综合权衡后社会保障依赖人口的居住重心系统性地向中等城市带集中。这与A2的行政性人口集中化方向相同，但驱动机制完全不同：一个是家庭对负担能力与生活成本匹配度的自主判断，一个是国家配给差异化的制度引导。</w:t>
      </w:r>
    </w:p>
    <w:bookmarkEnd w:id="216"/>
    <w:bookmarkStart w:id="217" w:name="a2体系配给差异化管理与人口集中化"/>
    <w:p>
      <w:pPr>
        <w:pStyle w:val="Heading3"/>
      </w:pPr>
      <w:r>
        <w:t xml:space="preserve">4.7.3　A2体系：配给差异化管理与人口集中化</w:t>
      </w:r>
    </w:p>
    <w:p>
      <w:pPr>
        <w:pStyle w:val="FirstParagraph"/>
      </w:pPr>
      <w:r>
        <w:rPr>
          <w:bCs/>
          <w:b/>
        </w:rPr>
        <w:t xml:space="preserve">人口流动的制度工具。</w:t>
      </w:r>
      <w:r>
        <w:t xml:space="preserve">A2体系的人口流动被纳入治理目标，核心工具是配给差异化而非行政强制：城市配给齐全但住房空间更小，农村有额外粮食补贴和更大住房面积，边疆补贴最丰厚。没有人被强制迁移，但结构性激励系统性地引导流向。城市落户依赖积分制（工作贡献、技术等级、居住年限），大量农村移民处于“半市民”状态，只获得部分城市配给。</w:t>
      </w:r>
    </w:p>
    <w:p>
      <w:pPr>
        <w:pStyle w:val="BodyText"/>
      </w:pPr>
      <w:r>
        <w:rPr>
          <w:bCs/>
          <w:b/>
        </w:rPr>
        <w:t xml:space="preserve">技术官僚数据导向的人口集中化。</w:t>
      </w:r>
      <w:r>
        <w:t xml:space="preserve">AI优化的基础设施成本计算使“最优人口分布图”成为政策工具——人均基础设施维护成本在稀疏人口条件下极高，集中居住显著降低公共服务成本。推进集中化的工具是配给差异化、医疗资源集中化（乡镇卫生院缩编）、撤点并校2.0，政治上包装为“新型城镇化”。这个过程有非线性正反馈：低于临界密度→配送效率下降→资源撤出→进一步流失，一旦触发自动加速至区域实质清空。2072年大量行政村实质消亡。农村土地在制度上大概率以国有农业集团承接为主要形式——这符合技术官僚体系效率优先的逻辑，规模化机械农业和精准配给的稳定供应都需要集中管理的土地单元。但私营农业经济并不会完全消失：在国有农业框架下仍会存在承包经营、合同种植、配套加工等形式的私营参与，提供灵活性和效率补充。土地所有权的国有化与生产组织的部分私营化并行，是A2体系在农业领域分层管控逻辑的延伸。</w:t>
      </w:r>
    </w:p>
    <w:p>
      <w:pPr>
        <w:pStyle w:val="BodyText"/>
      </w:pPr>
      <w:r>
        <w:rPr>
          <w:bCs/>
          <w:b/>
        </w:rPr>
        <w:t xml:space="preserve">人口流动的双轨分化。</w:t>
      </w:r>
      <w:r>
        <w:t xml:space="preserve">有技能者获真正地理自由（全国配给通用），单向流向高价值城市集群；无议价能力的多数人因原居地非正式资源归零的迁移成本而被软性锁定。财政贡献省税基随技术人才集聚而强健，财政消费省人口外流但在政治上需要维持人口统计数字（人大代表名额和转移支付公式均与人口挂钩）。</w:t>
      </w:r>
    </w:p>
    <w:p>
      <w:pPr>
        <w:pStyle w:val="BodyText"/>
      </w:pPr>
      <w:r>
        <w:rPr>
          <w:bCs/>
          <w:b/>
        </w:rPr>
        <w:t xml:space="preserve">2072年A2人口分布图景：三层结构</w:t>
      </w:r>
    </w:p>
    <w:p>
      <w:pPr>
        <w:pStyle w:val="BodyText"/>
      </w:pPr>
      <w:r>
        <w:t xml:space="preserve">到2072年，A2人口在地理上形成功能清晰的三层结构，各层之间的物质条件和社会身份差异是A2多态社区的主要形态来源。</w:t>
      </w:r>
    </w:p>
    <w:p>
      <w:pPr>
        <w:pStyle w:val="BodyText"/>
      </w:pPr>
      <w:r>
        <w:rPr>
          <w:iCs/>
          <w:i/>
        </w:rPr>
        <w:t xml:space="preserve">第一层：超大城市与区域中心城市集群</w:t>
      </w:r>
    </w:p>
    <w:p>
      <w:pPr>
        <w:pStyle w:val="BodyText"/>
      </w:pPr>
      <w:r>
        <w:t xml:space="preserve">北上广深及区域中心城市（成渝、武汉、郑州等枢纽）承接了技术人才、体制精英和高技能制造业人口的持续集聚。这类城市配给体系最完整，货币薪资人口比例最高，聚变能源最早接入，生活成本下降红利最先体现。城市内部存在深度分化：货币薪资人口与票据依赖人口在物理空间上可能毗邻，日常接触持续发生，社会的有机联结并未消失——改变的是双方的消费能力和制度性权利，前者有完整的薪资加配给双轨，后者受基础票据品类约束，在医疗、教育、储蓄等维度面临实质性不同的约束条件。城市的高生活成本本身构成对低保障人口的经济门槛——不需要行政许可，生活成本基数与家庭负担能力的差距已足以完成筛选。</w:t>
      </w:r>
    </w:p>
    <w:p>
      <w:pPr>
        <w:pStyle w:val="BodyText"/>
      </w:pPr>
      <w:r>
        <w:rPr>
          <w:iCs/>
          <w:i/>
        </w:rPr>
        <w:t xml:space="preserve">第二层：县城承接带——农业户籍人口的实际聚居地</w:t>
      </w:r>
    </w:p>
    <w:p>
      <w:pPr>
        <w:pStyle w:val="BodyText"/>
      </w:pPr>
      <w:r>
        <w:t xml:space="preserve">这是理解2072年A2人口分布的关键层级，也是最容易被概念化表述遮蔽的现实。</w:t>
      </w:r>
    </w:p>
    <w:p>
      <w:pPr>
        <w:pStyle w:val="BodyText"/>
      </w:pPr>
      <w:r>
        <w:t xml:space="preserve">农业户籍制度在2072年以功能性保留的形式存在：字面上仍区分“城镇户籍”与“农业户籍”，农业户籍是获取农村配给（额外粮食补贴、宅基地权利）的身份凭证，但并不要求持有者实际居住在农村。这产生了一个大规模的人口现象：农业户籍人口实际居住在县城，依靠农业户籍的粮食补贴配给维持基本生活，同时在县城从事非正式劳动或依赖家庭转移收入。他们不是城市落户人口（没有城市积分制落户资格或无意申请），也不是真正的乡村居民（不实际务农，不住在行政村），而是悬置于城乡户籍二元结构之间的县城聚居人口。</w:t>
      </w:r>
    </w:p>
    <w:p>
      <w:pPr>
        <w:pStyle w:val="BodyText"/>
      </w:pPr>
      <w:r>
        <w:t xml:space="preserve">县城因此成为A2人口结构的最大蓄水池，功能上类似于A1中等城市郊区带的角色，但形成机制完全不同：A1的郊区集聚是家庭对社会保障覆盖额度与生活成本匹配度的个体理性选择，A2的县城聚居是户籍制度、配给差异化和城市落户门槛共同作用下的制度性沉积。</w:t>
      </w:r>
    </w:p>
    <w:p>
      <w:pPr>
        <w:pStyle w:val="BodyText"/>
      </w:pPr>
      <w:r>
        <w:t xml:space="preserve">县城人口的配给状态是双重的：农业户籍的粮食补贴配给通过数字系统直达个人（不依赖实际居住地），但县城的医疗、教育等公共服务覆盖质量显著低于大城市，形成“粮食有保障、其他配给劣质”的特定生活状态。这个群体在官方统计中处于灰色地带：户籍统计计入农村人口，实际居住统计计入城镇人口，两套数字的差值在2072年估计达到1—1.5亿人，是A2人口统计中最大的系统性偏差来源之一。</w:t>
      </w:r>
    </w:p>
    <w:p>
      <w:pPr>
        <w:pStyle w:val="BodyText"/>
      </w:pPr>
      <w:r>
        <w:rPr>
          <w:iCs/>
          <w:i/>
        </w:rPr>
        <w:t xml:space="preserve">第三层：实质空心的行政村与国有农业区</w:t>
      </w:r>
    </w:p>
    <w:p>
      <w:pPr>
        <w:pStyle w:val="BodyText"/>
      </w:pPr>
      <w:r>
        <w:t xml:space="preserve">大量行政村在2072年已实质消亡：户籍仍在，但常住人口寥寥，主要是无力或无意迁离的老龄人口。配给直达系统使这批人的基本生存得到保障，但医疗可及性极低——乡镇卫生院缩编后，覆盖半径扩大但密度下降，依赖低速交通的老龄人口实际可及率远低于统计值。土地已大规模转入国有农业集团或规模化承包经营，无人农机和精准农业在地理上替代了以村庄为单位组织的传统农业生产。这类区域在AI监控体系中可见度低——配给使用记录存在，但位置数据稀疏，行为模式单一，是第三层管控体系（行为模式识别）覆盖最弱的地带。</w:t>
      </w:r>
    </w:p>
    <w:p>
      <w:pPr>
        <w:pStyle w:val="BodyText"/>
      </w:pPr>
      <w:r>
        <w:rPr>
          <w:bCs/>
          <w:b/>
        </w:rPr>
        <w:t xml:space="preserve">户籍制度的功能性演化</w:t>
      </w:r>
    </w:p>
    <w:p>
      <w:pPr>
        <w:pStyle w:val="BodyText"/>
      </w:pPr>
      <w:r>
        <w:t xml:space="preserve">2072年的农业户籍制度已从“限制人口流动的行政工具”演化为“基础配给权利的身份凭证”。其核心功能转变为两点：一是确认农村配给的受益资格（粮食补贴、宅基地权利），二是在政治上维持农村人口统计数字（转移支付和代表名额的计算基础）。字面上的城乡区分保留，但区分的实质内容已从“你能去哪里”变为“你能领哪类配给”。</w:t>
      </w:r>
    </w:p>
    <w:p>
      <w:pPr>
        <w:pStyle w:val="BodyText"/>
      </w:pPr>
      <w:r>
        <w:t xml:space="preserve">这个演化没有经过正式的立法废除——没有哪一届政府宣布“废除户籍制度”，因为那意味着承认此前的制度性不公，政治成本极高。实际上发生的是功能的渐进萎缩：每一次技术升级（配给直达、居住证扩权、积分制落户）都在边际上削弱户籍的限制功能，但从未正式宣告废除。到2072年，</w:t>
      </w:r>
      <w:r>
        <w:t xml:space="preserve">“</w:t>
      </w:r>
      <w:r>
        <w:t xml:space="preserve">农业户籍</w:t>
      </w:r>
      <w:r>
        <w:t xml:space="preserve">”</w:t>
      </w:r>
      <w:r>
        <w:t xml:space="preserve">的实质意义已接近一张“基础配给资格证”，但名称和制度形式完整保留。</w:t>
      </w:r>
    </w:p>
    <w:p>
      <w:pPr>
        <w:pStyle w:val="BodyText"/>
      </w:pPr>
      <w:r>
        <w:rPr>
          <w:bCs/>
          <w:b/>
        </w:rPr>
        <w:t xml:space="preserve">A2多态社区的图景</w:t>
      </w:r>
    </w:p>
    <w:p>
      <w:pPr>
        <w:pStyle w:val="BodyText"/>
      </w:pPr>
      <w:r>
        <w:t xml:space="preserve">三层结构产生了功能各异的社区形态，共同构成A2的多态社会现实。超大城市的“有单位”与“只有票据”人口毗邻共存，共享同一街道和公共空间，社会接触是日常事实——不同的是双方在消费能力和制度性权利上的差距，而非彼此的社会隔绝；县城是大量无名的中间人口的聚居地，既无城市的活力也无乡村的传统，是A2社会最大的叙事盲区——票据依赖、非正式就业、对体制既无融入也无对抗，是沉默而非满足的稳定；实质空心村庄中，配给维持着最后一批老龄人口的生存，传统社区结构已不复存在，但也没有城市社区替代它。</w:t>
      </w:r>
    </w:p>
    <w:p>
      <w:pPr>
        <w:pStyle w:val="BodyText"/>
      </w:pPr>
      <w:r>
        <w:rPr>
          <w:iCs/>
          <w:i/>
        </w:rPr>
        <w:t xml:space="preserve">这三层结构的并存，是A2多态社会的具体形态：不是均质的“中国”，而是超大城市集群、县城承接带和空心乡村在同一政治体制下各自运行的三个历史时间。中央配给系统覆盖全部三层，但覆盖的深度和质量在三层之间存在系统性差异，这个差异是A2内部最大的隐性不平等来源之一。</w:t>
      </w:r>
    </w:p>
    <w:bookmarkEnd w:id="217"/>
    <w:bookmarkStart w:id="218" w:name="人口持续减少国家制度适应与人口多元化"/>
    <w:p>
      <w:pPr>
        <w:pStyle w:val="Heading3"/>
      </w:pPr>
      <w:r>
        <w:t xml:space="preserve">4.7.4　人口持续减少国家：制度适应与人口多元化</w:t>
      </w:r>
    </w:p>
    <w:p>
      <w:pPr>
        <w:pStyle w:val="FirstParagraph"/>
      </w:pPr>
      <w:r>
        <w:t xml:space="preserve">这一类别内部存在两个差异显著的子类型：以日本、韩国为代表的东亚型，与以西欧（德法意西）和东欧（波兰、罗马尼亚等）为代表的欧洲型。两者同属人口持续减少轨道，但进入路径、制度适应程度和2072年的内部张力根本不同。</w:t>
      </w:r>
    </w:p>
    <w:p>
      <w:pPr>
        <w:pStyle w:val="BodyText"/>
      </w:pPr>
      <w:r>
        <w:rPr>
          <w:bCs/>
          <w:b/>
        </w:rPr>
        <w:t xml:space="preserve">东亚型（日本、韩国）：最早入轨，制度适应最充分。</w:t>
      </w:r>
      <w:r>
        <w:t xml:space="preserve">日本自然人口从2007年起转为负值，总人口从2010年代开始萎缩，到2072年积累了约50—60年的存量收缩经验，2072年人口约9000—9500万（从2025年约1.25亿持续萎缩）。养老体系最早完成从”人口红利模式”向”资本收入税+聚变红利”的切换，城市收缩规划（关闭人口不足以支撑的学校、医院、铁路支线，中小城市向都市圈聚集）已完成制度化。AI和聚变使生产效率提升足以抵消劳动力减少的产出冲击，人均GDP不因人口减少而下降。移民补充规模极小——日本文化同质性压力使政策层面始终抵制大规模移民，2072年移民及后代占总人口比例仍低于5%，但这使人口结构相对均质，内部社区张力极低，是东亚型的结构性优势。2072年65岁以上人口比例约40—42%，是全球最高水平，但已是”经历过最陡峭阶段、正在进入平台期”的状态，制度适应成熟度最高。</w:t>
      </w:r>
    </w:p>
    <w:p>
      <w:pPr>
        <w:pStyle w:val="BodyText"/>
      </w:pPr>
      <w:r>
        <w:rPr>
          <w:bCs/>
          <w:b/>
        </w:rPr>
        <w:t xml:space="preserve">东欧型（波兰、罗马尼亚等）：双重流失，外流减少带来新均衡。</w:t>
      </w:r>
      <w:r>
        <w:t xml:space="preserve">东欧的人口问题是低生育率与大规模人口外流的叠加——2004年入欧后波兰流出约200万、罗马尼亚约300万年轻受教育人口，留守的是老年人口，形成比单纯低生育率更快的老龄化。但AI时代带来了一个关键的结构转变：西欧AI替代消灭了大量低技能就业（波兰水管工、罗马尼亚建筑工人、保加利亚季节农工是历史外流主体），西欧对这类劳动力的需求系统性消失；同时西欧民粹政治收紧移民政策，东欧向西欧的劳动力流动渠道在2035—2045年间大幅收窄。外流减少使东欧保留了更多原本会离开的年轻人口，人口萎缩速度放缓——但留下来的人面对同样被AI替代压缩的本地就业市场，在地理上留了下来，在经济上多数成为保障体系的依赖人口。2072年东欧的人口结构比西欧更老、更均质（移民社区张力接近于零），财政压力类似日韩模式，但制度适应窗口比日本短得多，仍处于调整过程中。</w:t>
      </w:r>
    </w:p>
    <w:p>
      <w:pPr>
        <w:pStyle w:val="BodyText"/>
      </w:pPr>
      <w:r>
        <w:rPr>
          <w:bCs/>
          <w:b/>
        </w:rPr>
        <w:t xml:space="preserve">西欧型（德法意西等B1类）：最复杂，财政与民粹的同步爆发。</w:t>
      </w:r>
      <w:r>
        <w:t xml:space="preserve">西欧的特殊性在于同时承受三个方向的财政压力：老龄化驱动的养老和医疗刚性支出（德、法养老支出占GDP比例已是发达国家最高之一）；AI替代系统性压缩中低技能就业空间，西欧劳动力市场整体承压，低技能劳动力广泛转入福利依赖，财政支出随之扩大；AI替代本身削减工资税税基。三个方向在聚变红利完全到位之前（约2047—2055年）同步施压，西欧是B1类经济体中财政最脆弱的子类型。</w:t>
      </w:r>
    </w:p>
    <w:p>
      <w:pPr>
        <w:pStyle w:val="BodyText"/>
      </w:pPr>
      <w:r>
        <w:t xml:space="preserve">民粹政治的逻辑有内在的自我强化闭环：AI替代冲击中低技能本地就业，政治感知将就业压力归因于移民竞争；高技能人口与移民社区形成另一政治联盟；两个联盟的对立随经济压力深化而激化，中间地带持续萎缩，任何试图维持温和移民政策的政治人物面临选举上的不利处境，政策向限制端漂移，进一步强化民粹叙事。这个闭环不需要外部触发，是经济压力与政治结构相互作用的内生动态。</w:t>
      </w:r>
    </w:p>
    <w:p>
      <w:pPr>
        <w:pStyle w:val="BodyText"/>
      </w:pPr>
      <w:r>
        <w:t xml:space="preserve">前聚变动荡期（2030年代至2040年代）的难民和经济移民潮是这个闭环的最强燃料：气候变化、D类国家经济崩溃、地区冲突驱动大规模人口向欧洲压境，在经济上有人道义务难以完全拒绝，在政治上是民粹的最强动员材料。财政压力最大、聚变红利尚未到位、外部移民压力最强——三者在2030年代至2040年代中期同步到顶，不是分开叠加，是同步爆发。反移民政策的多米诺效应在动荡期初期就开始蔓延：一国收紧触发邻国效仿（否则成为单独承压的流入地），在欧盟框架内形成政策传染，门在2035—2040年代快速收窄。</w:t>
      </w:r>
    </w:p>
    <w:p>
      <w:pPr>
        <w:pStyle w:val="BodyText"/>
      </w:pPr>
      <w:r>
        <w:t xml:space="preserve">2072年西欧的结果：总人口持续萎缩（以德国为例，可能从2025年约8400万降至约7200—7600万），老龄化程度约38—42%——数字上与日本接近，但制度状态根本不同。日本是经历60年磨合后的成熟稳态，西欧是在动荡期政策快速转向后仍在适应中的过渡状态。</w:t>
      </w:r>
    </w:p>
    <w:p>
      <w:pPr>
        <w:pStyle w:val="BodyText"/>
      </w:pPr>
      <w:r>
        <w:t xml:space="preserve">2072年西欧仍然存在规模可观的移民后裔社区（第二代、第三代），他们是西欧社会的正式公民。聚变红利到位后（约2050年代起），财政压力系统性缓解，就业市场结构重组，历史上以经济压力为燃料的社会张力失去了主要驱动力。文化和语言层面的多元性持续存在，但在财政压力消退的条件下，这种多元性更多以社会景观的形式呈现，而非以政治动员的形式持续激化。与日本的均质性相比，西欧的内部异质性更高，但均质性本身并不构成制度优势——差异在于2072年西欧是否完成了从动荡期政治极化向后聚变时代新均衡的过渡，这一过渡在各国进展不一，是西欧内部分化的主要来源。</w:t>
      </w:r>
    </w:p>
    <w:bookmarkEnd w:id="218"/>
    <w:bookmarkStart w:id="219" w:name="人口从增长转为减少的国家转型期的财政脆弱性"/>
    <w:p>
      <w:pPr>
        <w:pStyle w:val="Heading3"/>
      </w:pPr>
      <w:r>
        <w:t xml:space="preserve">4.7.6　人口从增长转为减少的国家：转型期的财政脆弱性</w:t>
      </w:r>
    </w:p>
    <w:p>
      <w:pPr>
        <w:pStyle w:val="FirstParagraph"/>
      </w:pPr>
      <w:r>
        <w:rPr>
          <w:bCs/>
          <w:b/>
        </w:rPr>
        <w:t xml:space="preserve">代表路径：中国（已完成转折）、印度（转折中）、巴西、东南亚部分国家。</w:t>
      </w:r>
    </w:p>
    <w:p>
      <w:pPr>
        <w:pStyle w:val="BodyText"/>
      </w:pPr>
      <w:r>
        <w:t xml:space="preserve">这类国家的特点是：工业时代依赖”人口红利”建立了庞大的劳动密集型经济结构，在AI时代到来前后正好触及人口转折点，新旧逻辑的断层产生最大的制度冲击。</w:t>
      </w:r>
    </w:p>
    <w:p>
      <w:pPr>
        <w:pStyle w:val="BodyText"/>
      </w:pPr>
      <w:r>
        <w:rPr>
          <w:bCs/>
          <w:b/>
        </w:rPr>
        <w:t xml:space="preserve">中国的双重叠加。</w:t>
      </w:r>
      <w:r>
        <w:t xml:space="preserve">中国在2022年已确认人口负增长，2072年人口可能从14亿降至10—11亿。与此同时，AI替代消灭了制造业和服务业大量岗位，旧的”人口红利→出口→财政”逻辑链在两端同时断裂：人口在减少（供给侧）而岗位也在消失（需求侧）。配给体系和直达分配系统接管了基本生存保障，使社会稳定未因此崩溃，但财政消费省的转移支付依赖程度持续加重，中央财政再分配压力在2072年处于历史高位。</w:t>
      </w:r>
    </w:p>
    <w:p>
      <w:pPr>
        <w:pStyle w:val="BodyText"/>
      </w:pPr>
      <w:r>
        <w:rPr>
          <w:bCs/>
          <w:b/>
        </w:rPr>
        <w:t xml:space="preserve">印度的转折临界。</w:t>
      </w:r>
      <w:r>
        <w:t xml:space="preserve">印度2023年成为全球人口最多国家（约14.3亿），但出生率已从1980年的4.8降至约2.0，预计在2040—2060年间触及转折点。AI时代来临时，印度恰好在”人口红利窗口”即将关闭的阶段。制造业替代使传统”复制中国工厂化道路”的发展路径受阻，服务业精英层（IT、金融）接入A1体系，但大多数人口的就业转型方向不清晰。印度的制度多元性（民主制度+联邦结构+宗教张力）使集中化的配给式应对不可行，但去中心化的市场式应对又面临基础设施严重不足的约束。到2072年，印度处于两套逻辑都不完整的”混合困境”中：既没有A2的数据整合能力，也没有A1的成熟市场制度，依靠庞大的非正式经济和C类式战略自主维持运转。</w:t>
      </w:r>
    </w:p>
    <w:p>
      <w:pPr>
        <w:pStyle w:val="BodyText"/>
      </w:pPr>
      <w:r>
        <w:rPr>
          <w:bCs/>
          <w:b/>
        </w:rPr>
        <w:t xml:space="preserve">巴西、东南亚的路径差异。</w:t>
      </w:r>
      <w:r>
        <w:t xml:space="preserve">巴西同样面临人口转折（生育率已降至约1.7），但资源禀赋（大豆、铁矿、石油）和农业出口在聚变时代仍有需求，财政压力相对缓和。东南亚各国分化明显：越南、泰国生育率已低于替代水平，走向与中国相近的路径；菲律宾、印尼仍有人口增长但减速明显，处于转折前夕。这类国家的共同特征是：旧的劳动密集型经济在AI替代下快速侵蚀，新的高技能经济基础薄弱，转型期的财政脆弱性最高，对外部援助（A1或A2体系）的依赖最深。</w:t>
      </w:r>
    </w:p>
    <w:bookmarkEnd w:id="219"/>
    <w:bookmarkStart w:id="220" w:name="人口持续增长国家马尔萨斯约束与体系进入门槛"/>
    <w:p>
      <w:pPr>
        <w:pStyle w:val="Heading3"/>
      </w:pPr>
      <w:r>
        <w:t xml:space="preserve">4.7.7　人口持续增长国家：马尔萨斯约束与体系进入门槛</w:t>
      </w:r>
    </w:p>
    <w:p>
      <w:pPr>
        <w:pStyle w:val="FirstParagraph"/>
      </w:pPr>
      <w:r>
        <w:rPr>
          <w:bCs/>
          <w:b/>
        </w:rPr>
        <w:t xml:space="preserve">代表路径：撒哈拉以南非洲、巴基斯坦、阿富汗、部分中东国家（E类和部分D类）。</w:t>
      </w:r>
    </w:p>
    <w:p>
      <w:pPr>
        <w:pStyle w:val="BodyText"/>
      </w:pPr>
      <w:r>
        <w:t xml:space="preserve">这类国家到2072年仍维持相对较高的生育率（约2.5—3.5），人口绝对数持续增长，但增速因城市化和信息连通的渗透而低于纯马尔萨斯预测。全球人口在2072年约80—82亿（较2050年代峰值约85—88亿已进入下行通道），A1/A2核心区净减少被这类国家的增量部分对冲。</w:t>
      </w:r>
    </w:p>
    <w:p>
      <w:pPr>
        <w:pStyle w:val="BodyText"/>
      </w:pPr>
      <w:r>
        <w:rPr>
          <w:bCs/>
          <w:b/>
        </w:rPr>
        <w:t xml:space="preserve">根本约束：体系进入门槛。</w:t>
      </w:r>
      <w:r>
        <w:t xml:space="preserve">人口增长本身不是问题——在聚变能源使生产效率大幅提升的世界里，原则上可以支撑更多人口。问题是这类国家无法进入产生这个效率提升的技术体系：聚变基础设施本身是进入门槛，没有资本和技术就无法建设，没有建设就无法获得廉价能源，没有廉价能源就无法工业化，这是结构性滞后（E类）而非可逆性滞后。</w:t>
      </w:r>
    </w:p>
    <w:p>
      <w:pPr>
        <w:pStyle w:val="BodyText"/>
      </w:pPr>
      <w:r>
        <w:rPr>
          <w:bCs/>
          <w:b/>
        </w:rPr>
        <w:t xml:space="preserve">人口增长的财政逻辑在这里完全不同。</w:t>
      </w:r>
      <w:r>
        <w:t xml:space="preserve">这类国家没有建立工业时代意义上的养老体系，人口增长的主要驱动力是农业社会的”多子多福”逻辑（更多劳动力=更多农业产出=老年保障）。AI替代农业劳动和聚变能源下的合成食品竞争，从外部冲击了这个逻辑基础，但内部制度还没有相应演化。结果是：人口继续增长（因为个体理性仍指向多生育），但经济基础持续侵蚀，形成真正的马尔萨斯压力。</w:t>
      </w:r>
    </w:p>
    <w:p>
      <w:pPr>
        <w:pStyle w:val="BodyText"/>
      </w:pPr>
      <w:r>
        <w:rPr>
          <w:bCs/>
          <w:b/>
        </w:rPr>
        <w:t xml:space="preserve">城市流入压力与A1/A2体系的吸收能力。</w:t>
      </w:r>
      <w:r>
        <w:t xml:space="preserve">这类国家的年轻人口持续向城市集群迁移，一部分进入A1/A2体系的边缘（成为制造业主导型B2/C类经济体的低成本劳动力，或C类城市的非正式服务业），另一部分形成全球性的”流动人口压力”，向欧洲、中东、东亚的城市集群施压。A1体系（特别是欧洲B1类）通过移民政策对冲本体人口萎缩，但文化整合成本和政治阻力使这个对冲总是不足、总是争议不断。A2体系通过援助捆绑将部分人口纳入C类管理框架，但这仅覆盖政治上有价值的国家，不能吸收全部增量。真正无法被任何体系吸收的人口——战乱地区、无资源国家的贫困人口——是2072年”被遗忘地带”的主体，约8—12亿人。</w:t>
      </w:r>
    </w:p>
    <w:p>
      <w:pPr>
        <w:pStyle w:val="BodyText"/>
      </w:pPr>
      <w:r>
        <w:rPr>
          <w:iCs/>
          <w:i/>
        </w:rPr>
        <w:t xml:space="preserve">五类路径的人口逻辑根本不同：人口持续减少国已进入存量管理的后人口时代；从增转减国正处于最脆弱的断层期；A1和A2核心区依靠技术红利管理老龄化压力；持续增长国则面临进入门槛的根本性排斥。这五类路径的人口轨迹，是多态社会在最物质层面的分化——分化不收敛，各路径在各自轨道上独立演化。</w:t>
      </w:r>
    </w:p>
    <w:bookmarkEnd w:id="220"/>
    <w:bookmarkEnd w:id="221"/>
    <w:bookmarkStart w:id="229" w:name="就业结构的重组工时行业分化与制度联动"/>
    <w:p>
      <w:pPr>
        <w:pStyle w:val="Heading2"/>
      </w:pPr>
      <w:r>
        <w:t xml:space="preserve">4.8　就业结构的重组：工时、行业分化与制度联动</w:t>
      </w:r>
    </w:p>
    <w:p>
      <w:pPr>
        <w:pStyle w:val="FirstParagraph"/>
      </w:pPr>
      <w:r>
        <w:t xml:space="preserve">4.7节分析了AI时代人口经济逻辑的根本断裂，本节从就业结构层面展开其直接后果。AI替代劳动的影响不是均匀的，既有岗位大规模消失的领域，也有就业需求实际上升的领域；既有工时缩短带来的分配重组，也有社会制度的连锁联动。两大体系对剩余人口的安置机制截然不同，构成2072年就业格局最重要的制度性分叉之一。</w:t>
      </w:r>
    </w:p>
    <w:bookmarkStart w:id="222" w:name="就业替代的职业特征差异"/>
    <w:p>
      <w:pPr>
        <w:pStyle w:val="Heading3"/>
      </w:pPr>
      <w:r>
        <w:t xml:space="preserve">4.8.1　就业替代的职业特征差异</w:t>
      </w:r>
    </w:p>
    <w:p>
      <w:pPr>
        <w:pStyle w:val="FirstParagraph"/>
      </w:pPr>
      <w:r>
        <w:t xml:space="preserve">AI替代是结构性的，不是均匀的。</w:t>
      </w:r>
      <w:r>
        <w:t xml:space="preserve">“</w:t>
      </w:r>
      <w:r>
        <w:t xml:space="preserve">就业总量下降</w:t>
      </w:r>
      <w:r>
        <w:t xml:space="preserve">”</w:t>
      </w:r>
      <w:r>
        <w:t xml:space="preserve">掩盖了“部分领域就业实际增加”的真实图景。替代程度的差异不沿行业边界分布，而是沿职业特征分布——同一行业内部，不同类型的工作面临截然不同的替代压力。理解这个特征维度，是避免把AI时代就业图景简化为单向崩塌的前提。</w:t>
      </w:r>
    </w:p>
    <w:p>
      <w:pPr>
        <w:pStyle w:val="BodyText"/>
      </w:pPr>
      <w:r>
        <w:rPr>
          <w:bCs/>
          <w:b/>
        </w:rPr>
        <w:t xml:space="preserve">规则密集型：替代最彻底</w:t>
      </w:r>
    </w:p>
    <w:p>
      <w:pPr>
        <w:pStyle w:val="BodyText"/>
      </w:pPr>
      <w:r>
        <w:t xml:space="preserve">任务边界清晰、评判标准明确、输出可量化验证的工作，是AI替代最集中的类别。白领认知劳动的主体——法律检索、财务核算、基础编程、客服、数据分析、标准化写作——属于此类。AI在这些维度上不只是“够用”，而是系统性优于人类，替代在特定能力门槛被跨越后快速完成，不是渐进过程。制造业标准化体力劳动随具身机器人成熟同步受冲击，但物理世界的不确定性使机器人泛化能力的提升比语言模型更费时，进度略慢。这个特征类别横跨金融、法律、行政、制造等多个行业，共同点是工作内容可被规则完整描述。</w:t>
      </w:r>
    </w:p>
    <w:p>
      <w:pPr>
        <w:pStyle w:val="BodyText"/>
      </w:pPr>
      <w:r>
        <w:rPr>
          <w:bCs/>
          <w:b/>
        </w:rPr>
        <w:t xml:space="preserve">情境判断密集型：部分替代，需求端分化</w:t>
      </w:r>
    </w:p>
    <w:p>
      <w:pPr>
        <w:pStyle w:val="BodyText"/>
      </w:pPr>
      <w:r>
        <w:t xml:space="preserve">高度非标准化的现场工作——复杂基础设施维护、灾难响应、深海巡检、复杂手术的术中决策——要求在物理现场对不确定情境作出实时判断，AI泛化能力尚不足以完全替代。这类工作的替代边界不是能力门槛，而是环境的非结构化程度：越是现场条件多变、例外情况频繁、后果不可逆的工作，人类判断的不可替代性越高。就业量相对有限，但在AI时代维持高薪溢价地位。</w:t>
      </w:r>
    </w:p>
    <w:p>
      <w:pPr>
        <w:pStyle w:val="BodyText"/>
      </w:pPr>
      <w:r>
        <w:rPr>
          <w:bCs/>
          <w:b/>
        </w:rPr>
        <w:t xml:space="preserve">关系与在场密集型：结构性不可替代，需求端扩张</w:t>
      </w:r>
    </w:p>
    <w:p>
      <w:pPr>
        <w:pStyle w:val="BodyText"/>
      </w:pPr>
      <w:r>
        <w:t xml:space="preserve">价值来自真实人际连接的工作，AI的介入会降低而非提升效果，不是技术能力问题，而是这类工作的核心产出本身要求人类在场。护理、陪伴、临终关怀、心理支持、社区组织、危机干预——患者或服务对象对照护关系有真实的人类归属需求，这个需求无法被技术能力更强的AI满足，因为满足它的条件是“有人在这里”而非“有能力在这里”。需求端因两股力量同步扩张：老龄化产生大量照护需求，AI替代制造了大量在意义上失锚、需要心理支持的人口。综合效果是这类就业在AI时代需求端主动增长，是少数逆势扩张的就业类别。医疗产业的具体就业结构见4.15节。</w:t>
      </w:r>
    </w:p>
    <w:p>
      <w:pPr>
        <w:pStyle w:val="BodyText"/>
      </w:pPr>
      <w:r>
        <w:rPr>
          <w:bCs/>
          <w:b/>
        </w:rPr>
        <w:t xml:space="preserve">社会性塑造密集型：知识传授可替代，塑造功能不可替代</w:t>
      </w:r>
    </w:p>
    <w:p>
      <w:pPr>
        <w:pStyle w:val="BodyText"/>
      </w:pPr>
      <w:r>
        <w:t xml:space="preserve">教育是这个特征类别最典型的案例。知识与技能传授AI确实能做，且在个性化进度、即时反馈、知识覆盖广度上可能优于人类教师；但人的社会性塑造——在同伴群体中建立自我认知、经历冲突与协商的真实代价、习得共处能力——要求真实的社会压力，AI不构成这个压力，因为学习者知道AI不会真的拒绝他、评判他、或与他竞争稀缺资源。这个边界使K12阶段的集体教育结构性不可替代，其核心产出不是知识，是社会化的人。就业量不因AI替代而系统性下降，但工作性质从知识传授转向社会情境的组织与引导，职业门槛提高。教育产业的具体就业结构与薪资走向见4.16节。</w:t>
      </w:r>
    </w:p>
    <w:p>
      <w:pPr>
        <w:pStyle w:val="BodyText"/>
      </w:pPr>
      <w:r>
        <w:rPr>
          <w:bCs/>
          <w:b/>
        </w:rPr>
        <w:t xml:space="preserve">真实性溢价型：稀缺化而非替代</w:t>
      </w:r>
    </w:p>
    <w:p>
      <w:pPr>
        <w:pStyle w:val="BodyText"/>
      </w:pPr>
      <w:r>
        <w:t xml:space="preserve">当AI内容成为绝对主流，</w:t>
      </w:r>
      <w:r>
        <w:t xml:space="preserve">“</w:t>
      </w:r>
      <w:r>
        <w:t xml:space="preserve">人类制造</w:t>
      </w:r>
      <w:r>
        <w:t xml:space="preserve">”</w:t>
      </w:r>
      <w:r>
        <w:t xml:space="preserve">本身成为可验证的稀缺属性，在市场上形成溢价而非被替代。文化与创意领域的顶端人类原创内容、有人类故事的手工制品、认证人类创作的收藏市场，都属于这个类别。就业量有限，但溢价结构稳固。这类岗位的经济逻辑与创作社区化的社会功能详见4.14节。</w:t>
      </w:r>
    </w:p>
    <w:bookmarkEnd w:id="222"/>
    <w:bookmarkStart w:id="223" w:name="标准工时的历史收缩路径与2072年均衡"/>
    <w:p>
      <w:pPr>
        <w:pStyle w:val="Heading3"/>
      </w:pPr>
      <w:r>
        <w:t xml:space="preserve">4.8.2　标准工时的历史收缩路径与2072年均衡</w:t>
      </w:r>
    </w:p>
    <w:p>
      <w:pPr>
        <w:pStyle w:val="FirstParagraph"/>
      </w:pPr>
      <w:r>
        <w:t xml:space="preserve">理解24小时工时标准的现实性，需要先厘清一个统计问题。主要发达国家全职雇员的名义周工时约为34至37小时，但这掩盖了巨大的结构差异。更有意义的指标是全体成年人口（含非就业人口）的平均周劳动小时——包含大量不工作的成年人后，这个均值在今天已接近24小时。也就是说，24小时周工时在全人口均值层面已接近实现，但原因是大量人口不工作，而非工作者本身工时缩短。2072年的目标是把这个均值转化为法定基准，让剩余工作在更多人之间更均匀地分配。</w:t>
      </w:r>
    </w:p>
    <w:p>
      <w:pPr>
        <w:pStyle w:val="BodyText"/>
      </w:pPr>
      <w:r>
        <w:t xml:space="preserve">历史上每次工时缩短都是在严重就业压力下通过政治博弈实现的。24小时是这条路径的下一步，在AI替代冲击最严重的时间窗口到来时，政治条件成熟。</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时期</w:t>
            </w:r>
          </w:p>
        </w:tc>
        <w:tc>
          <w:tcPr/>
          <w:p>
            <w:pPr>
              <w:pStyle w:val="Compact"/>
              <w:jc w:val="left"/>
            </w:pPr>
            <w:r>
              <w:rPr>
                <w:bCs/>
                <w:b/>
              </w:rPr>
              <w:t xml:space="preserve">标准周工时</w:t>
            </w:r>
          </w:p>
        </w:tc>
        <w:tc>
          <w:tcPr/>
          <w:p>
            <w:pPr>
              <w:pStyle w:val="Compact"/>
              <w:jc w:val="left"/>
            </w:pPr>
            <w:r>
              <w:rPr>
                <w:bCs/>
                <w:b/>
              </w:rPr>
              <w:t xml:space="preserve">驱动机制</w:t>
            </w:r>
          </w:p>
        </w:tc>
      </w:tr>
      <w:tr>
        <w:tc>
          <w:tcPr/>
          <w:p>
            <w:pPr>
              <w:pStyle w:val="Compact"/>
              <w:jc w:val="left"/>
            </w:pPr>
            <w:r>
              <w:t xml:space="preserve">工业化前期</w:t>
            </w:r>
          </w:p>
        </w:tc>
        <w:tc>
          <w:tcPr/>
          <w:p>
            <w:pPr>
              <w:pStyle w:val="Compact"/>
              <w:jc w:val="left"/>
            </w:pPr>
            <w:r>
              <w:t xml:space="preserve">70—80小时</w:t>
            </w:r>
          </w:p>
        </w:tc>
        <w:tc>
          <w:tcPr/>
          <w:p>
            <w:pPr>
              <w:pStyle w:val="Compact"/>
              <w:jc w:val="left"/>
            </w:pPr>
            <w:r>
              <w:t xml:space="preserve">生存压力，无法律保护</w:t>
            </w:r>
          </w:p>
        </w:tc>
      </w:tr>
      <w:tr>
        <w:tc>
          <w:tcPr/>
          <w:p>
            <w:pPr>
              <w:pStyle w:val="Compact"/>
              <w:jc w:val="left"/>
            </w:pPr>
            <w:r>
              <w:t xml:space="preserve">20世纪中期</w:t>
            </w:r>
          </w:p>
        </w:tc>
        <w:tc>
          <w:tcPr/>
          <w:p>
            <w:pPr>
              <w:pStyle w:val="Compact"/>
              <w:jc w:val="left"/>
            </w:pPr>
            <w:r>
              <w:t xml:space="preserve">40小时</w:t>
            </w:r>
          </w:p>
        </w:tc>
        <w:tc>
          <w:tcPr/>
          <w:p>
            <w:pPr>
              <w:pStyle w:val="Compact"/>
              <w:jc w:val="left"/>
            </w:pPr>
            <w:r>
              <w:t xml:space="preserve">工会运动、新政立法</w:t>
            </w:r>
          </w:p>
        </w:tc>
      </w:tr>
      <w:tr>
        <w:tc>
          <w:tcPr/>
          <w:p>
            <w:pPr>
              <w:pStyle w:val="Compact"/>
              <w:jc w:val="left"/>
            </w:pPr>
            <w:r>
              <w:t xml:space="preserve">21世纪初</w:t>
            </w:r>
          </w:p>
        </w:tc>
        <w:tc>
          <w:tcPr/>
          <w:p>
            <w:pPr>
              <w:pStyle w:val="Compact"/>
              <w:jc w:val="left"/>
            </w:pPr>
            <w:r>
              <w:t xml:space="preserve">32—40小时（试验）</w:t>
            </w:r>
          </w:p>
        </w:tc>
        <w:tc>
          <w:tcPr/>
          <w:p>
            <w:pPr>
              <w:pStyle w:val="Compact"/>
              <w:jc w:val="left"/>
            </w:pPr>
            <w:r>
              <w:t xml:space="preserve">四天工作制试验，北欧先行</w:t>
            </w:r>
          </w:p>
        </w:tc>
      </w:tr>
      <w:tr>
        <w:tc>
          <w:tcPr/>
          <w:p>
            <w:pPr>
              <w:pStyle w:val="Compact"/>
              <w:jc w:val="left"/>
            </w:pPr>
            <w:r>
              <w:t xml:space="preserve">2040—2044</w:t>
            </w:r>
          </w:p>
        </w:tc>
        <w:tc>
          <w:tcPr/>
          <w:p>
            <w:pPr>
              <w:pStyle w:val="Compact"/>
              <w:jc w:val="left"/>
            </w:pPr>
            <w:r>
              <w:t xml:space="preserve">32小时</w:t>
            </w:r>
          </w:p>
        </w:tc>
        <w:tc>
          <w:tcPr/>
          <w:p>
            <w:pPr>
              <w:pStyle w:val="Compact"/>
              <w:jc w:val="left"/>
            </w:pPr>
            <w:r>
              <w:t xml:space="preserve">AI替代冲击高峰，民粹就业压力触发”分享工作”立法</w:t>
            </w:r>
          </w:p>
        </w:tc>
      </w:tr>
      <w:tr>
        <w:tc>
          <w:tcPr/>
          <w:p>
            <w:pPr>
              <w:pStyle w:val="Compact"/>
              <w:jc w:val="left"/>
            </w:pPr>
            <w:r>
              <w:t xml:space="preserve">2050—2058</w:t>
            </w:r>
          </w:p>
        </w:tc>
        <w:tc>
          <w:tcPr/>
          <w:p>
            <w:pPr>
              <w:pStyle w:val="Compact"/>
              <w:jc w:val="left"/>
            </w:pPr>
            <w:r>
              <w:t xml:space="preserve">28小时</w:t>
            </w:r>
          </w:p>
        </w:tc>
        <w:tc>
          <w:tcPr/>
          <w:p>
            <w:pPr>
              <w:pStyle w:val="Compact"/>
              <w:jc w:val="left"/>
            </w:pPr>
            <w:r>
              <w:t xml:space="preserve">BSC覆盖基本生存，劳动者谈判地位上升</w:t>
            </w:r>
          </w:p>
        </w:tc>
      </w:tr>
      <w:tr>
        <w:tc>
          <w:tcPr/>
          <w:p>
            <w:pPr>
              <w:pStyle w:val="Compact"/>
              <w:jc w:val="left"/>
            </w:pPr>
            <w:r>
              <w:t xml:space="preserve">2058—2065</w:t>
            </w:r>
          </w:p>
        </w:tc>
        <w:tc>
          <w:tcPr/>
          <w:p>
            <w:pPr>
              <w:pStyle w:val="Compact"/>
              <w:jc w:val="left"/>
            </w:pPr>
            <w:r>
              <w:t xml:space="preserve">24小时（逐步确立）</w:t>
            </w:r>
          </w:p>
        </w:tc>
        <w:tc>
          <w:tcPr/>
          <w:p>
            <w:pPr>
              <w:pStyle w:val="Compact"/>
              <w:jc w:val="left"/>
            </w:pPr>
            <w:r>
              <w:t xml:space="preserve">自动化饱和，标准工时从约束性规范转为社会计量单位</w:t>
            </w:r>
          </w:p>
        </w:tc>
      </w:tr>
      <w:tr>
        <w:tc>
          <w:tcPr/>
          <w:p>
            <w:pPr>
              <w:pStyle w:val="Compact"/>
              <w:jc w:val="left"/>
            </w:pPr>
            <w:r>
              <w:t xml:space="preserve">2072年</w:t>
            </w:r>
          </w:p>
        </w:tc>
        <w:tc>
          <w:tcPr/>
          <w:p>
            <w:pPr>
              <w:pStyle w:val="Compact"/>
              <w:jc w:val="left"/>
            </w:pPr>
            <w:r>
              <w:t xml:space="preserve">24小时（法定基准）</w:t>
            </w:r>
          </w:p>
        </w:tc>
        <w:tc>
          <w:tcPr/>
          <w:p>
            <w:pPr>
              <w:pStyle w:val="Compact"/>
              <w:jc w:val="left"/>
            </w:pPr>
            <w:r>
              <w:t xml:space="preserve">超时薪酬系数2倍；稀缺岗位市场溢价自愿超时</w:t>
            </w:r>
          </w:p>
        </w:tc>
      </w:tr>
    </w:tbl>
    <w:p>
      <w:pPr>
        <w:pStyle w:val="BodyText"/>
      </w:pPr>
      <w:r>
        <w:t xml:space="preserve">AI替代通过两条路径影响工时统计，性质截然不同。第一条是岗位消失路径：AI直接把人推出劳动市场，全人口均值工时下降，但在职者工时不变甚至上升，制造的是工时分配的极化，是2030—2050年代的主要现象。第二条是立法压缩路径：把剩余工作更广泛地分配给更多人，是政治回应而非自然结果，触发条件在2040—2044年动荡末期成熟。两条路径在2044年后进入叠加阶段，24小时标准在2058—2065年间经多轮谈判逐步确立。</w:t>
      </w:r>
    </w:p>
    <w:bookmarkEnd w:id="223"/>
    <w:bookmarkStart w:id="224" w:name="工时缩短的社会制度联动"/>
    <w:p>
      <w:pPr>
        <w:pStyle w:val="Heading3"/>
      </w:pPr>
      <w:r>
        <w:t xml:space="preserve">4.8.3　工时缩短的社会制度联动</w:t>
      </w:r>
    </w:p>
    <w:p>
      <w:pPr>
        <w:pStyle w:val="FirstParagraph"/>
      </w:pPr>
      <w:r>
        <w:t xml:space="preserve">标准工时降至24小时不是孤立的劳动市场现象，而是一组社会制度的连锁重组。工时标准是整个工业时代社会时间轴的基准刻度，这个刻度改变，以它为参照系的所有制度都面临重新校准。</w:t>
      </w:r>
    </w:p>
    <w:p>
      <w:pPr>
        <w:pStyle w:val="BodyText"/>
      </w:pPr>
      <w:r>
        <w:rPr>
          <w:bCs/>
          <w:b/>
        </w:rPr>
        <w:t xml:space="preserve">育婴假延长</w:t>
      </w:r>
    </w:p>
    <w:p>
      <w:pPr>
        <w:pStyle w:val="BodyText"/>
      </w:pPr>
      <w:r>
        <w:t xml:space="preserve">标准工时从40小时降至24小时，育婴假扩展的制度条件随之成熟。雇主端，工时缩短后替代覆盖更容易安排，承担育婴假的机会成本系统性下降，劳动市场谈判中扩大育婴假的阻力减少；劳动者端，BSC覆盖基本生存后，育婴期离开劳动市场的经济可行性提高。更根本的背景是劳动力过剩的结构性现实：工业时代延长育婴假的主要阻力之一是担心岗位无人覆盖，这个顾虑在AI时代方向逆转——等待填补岗位的人多于岗位本身，育婴假延长在政策逻辑上从需要辩护的例外变为分配有限工作时间的手段之一。A1通过劳资谈判和立法逐步将延长育婴假确立为标准；A2通过配给框架的行政调整直接实施，覆盖范围因配给层级而分层。育婴假延长压低短期劳动参与率，但在已经普遍承认就业率下降是结构性现实的政策框架内，这一效果被视为可接受的再分配而非需要纠正的偏差。</w:t>
      </w:r>
    </w:p>
    <w:p>
      <w:pPr>
        <w:pStyle w:val="BodyText"/>
      </w:pPr>
      <w:r>
        <w:rPr>
          <w:bCs/>
          <w:b/>
        </w:rPr>
        <w:t xml:space="preserve">退休年龄下降</w:t>
      </w:r>
    </w:p>
    <w:p>
      <w:pPr>
        <w:pStyle w:val="BodyText"/>
      </w:pPr>
      <w:r>
        <w:t xml:space="preserve">“</w:t>
      </w:r>
      <w:r>
        <w:t xml:space="preserve">65岁退休</w:t>
      </w:r>
      <w:r>
        <w:t xml:space="preserve">”</w:t>
      </w:r>
      <w:r>
        <w:t xml:space="preserve">的设定建立在40小时工作周对身体消耗的预设上，以及劳动参与是主要收入来源的经济逻辑上。两个前提在2072年都已不成立：24小时工时的物理消耗远低于40小时，BSC已覆盖基本生存使养老金的兜底功能部分被替代。AI替代进一步产生结构性提前退休——大量岗位在60岁之前就已被自动化，强制延迟退休年龄在政治上难以维持。退休年龄向60甚至55岁移动，在财政上因BSC已承担基本生存保障而可行，但对劳动参与率和养老财政的长期影响是第四部分各财政节持续讨论的背景张力之一。</w:t>
      </w:r>
    </w:p>
    <w:p>
      <w:pPr>
        <w:pStyle w:val="BodyText"/>
      </w:pPr>
      <w:r>
        <w:rPr>
          <w:bCs/>
          <w:b/>
        </w:rPr>
        <w:t xml:space="preserve">教育年限重估</w:t>
      </w:r>
    </w:p>
    <w:p>
      <w:pPr>
        <w:pStyle w:val="BodyText"/>
      </w:pPr>
      <w:r>
        <w:t xml:space="preserve">若免费高等教育推行，更多人在20多岁仍在受教育；退休年龄下降意味着劳动生涯在另一端收缩。工业时代约40年的劳动生涯，在2072年可能收缩至25—30年。人生时间轴的整体形态重组：教育段延长，劳动段收缩，晚年休闲段延长，育儿段因育婴假延长而在劳动段内占比上升。这个重组对个人意义建构的影响，是4.7节人口分析和第三部分社会线共同的背景。</w:t>
      </w:r>
    </w:p>
    <w:bookmarkEnd w:id="224"/>
    <w:bookmarkStart w:id="225" w:name="bsc使退出选项真实化谈判地位的结构性转移"/>
    <w:p>
      <w:pPr>
        <w:pStyle w:val="Heading3"/>
      </w:pPr>
      <w:r>
        <w:t xml:space="preserve">4.8.4　BSC使退出选项真实化：谈判地位的结构性转移</w:t>
      </w:r>
    </w:p>
    <w:p>
      <w:pPr>
        <w:pStyle w:val="FirstParagraph"/>
      </w:pPr>
      <w:r>
        <w:t xml:space="preserve">工时立法在历史上的难点不只是通过国会，而是让雇员有真实的能力拒绝加班。在BSC覆盖基本生存之前，无论法律怎么规定，现实的经济依赖使个体谈判地位极弱——拒绝超时的代价是生存压力。</w:t>
      </w:r>
    </w:p>
    <w:p>
      <w:pPr>
        <w:pStyle w:val="BodyText"/>
      </w:pPr>
      <w:r>
        <w:t xml:space="preserve">BSC覆盖基本生存在2052—2055年完成，这是劳动市场结构的真正转折点。退出选项的真实存在，比任何立法都更有效地改变了劳动者的谈判地位——雇主无法再用生存恐惧作为隐性谈判筹码。均衡工时自然比没有退出能力时更短，标准工时的压缩因此不只是立法决定，更是市场均衡重新定位的结果。</w:t>
      </w:r>
    </w:p>
    <w:p>
      <w:pPr>
        <w:pStyle w:val="BodyText"/>
      </w:pPr>
      <w:r>
        <w:t xml:space="preserve">BSC的存在还重写了整个劳动市场的价格下限。所有工资锚定在BSC保障水平之上；低于或接近BSC水平的岗位自然消亡，因为没有人愿意为接近保底水平的工资牺牲时间和自由。这使一类低薪、重复性、无发展前景的工作在2072年从市场上系统性消失——不是因为被AI替代，而是因为没有人接受。</w:t>
      </w:r>
    </w:p>
    <w:p>
      <w:pPr>
        <w:pStyle w:val="BodyText"/>
      </w:pPr>
      <w:r>
        <w:t xml:space="preserve">对AI无法替代的稀缺岗位（深海巡检、复杂护理、现场判断密集型工作），雇主面临劳动力供给不足的市场压力，自然提供更高薪酬换取更长工时。这类工作的实际周工时在2072年可能仍在35—45小时，但这是自愿的市场溢价选择，而非标准工时的强制例外。超时薪酬系数2倍的立法设计，使雇主在标准岗位上有强烈动机把工作分配给更多人而非让少数人超时。</w:t>
      </w:r>
    </w:p>
    <w:bookmarkEnd w:id="225"/>
    <w:bookmarkStart w:id="226" w:name="a2体系政府主导的政治性岗位扩张"/>
    <w:p>
      <w:pPr>
        <w:pStyle w:val="Heading3"/>
      </w:pPr>
      <w:r>
        <w:t xml:space="preserve">4.8.5　A2体系：政府主导的政治性岗位扩张</w:t>
      </w:r>
    </w:p>
    <w:p>
      <w:pPr>
        <w:pStyle w:val="FirstParagraph"/>
      </w:pPr>
      <w:r>
        <w:t xml:space="preserve">A1体系对AI替代后剩余人口的安置方案是：BSC覆盖基本生存，让人”有保障地闲置”，自主选择如何使用时间。A2体系的安置逻辑截然不同：将更多人纳入”有工作单位”的状态，依赖政治性就业而非纯粹的物质保障来维持社会稳定和政治绑定。</w:t>
      </w:r>
    </w:p>
    <w:p>
      <w:pPr>
        <w:pStyle w:val="BodyText"/>
      </w:pPr>
      <w:r>
        <w:rPr>
          <w:bCs/>
          <w:b/>
        </w:rPr>
        <w:t xml:space="preserve">政治绑定的内在逻辑</w:t>
      </w:r>
    </w:p>
    <w:p>
      <w:pPr>
        <w:pStyle w:val="BodyText"/>
      </w:pPr>
      <w:r>
        <w:t xml:space="preserve">在A2体系，有工作单位的人拥有明确的身份锚点、政治归属、福利来源和行为监控入口；退出就业人口对于A2是潜在的不稳定变量——没有单位的人更难管理，更难追踪，政治忠诚度更不确定。因此A2有强烈的政治动机将更多人口纳入有单位的状态，即使这些岗位的市场经济产出有限。</w:t>
      </w:r>
    </w:p>
    <w:p>
      <w:pPr>
        <w:pStyle w:val="BodyText"/>
      </w:pPr>
      <w:r>
        <w:rPr>
          <w:bCs/>
          <w:b/>
        </w:rPr>
        <w:t xml:space="preserve">政治性岗位的创造主体：政府与事业单位体系</w:t>
      </w:r>
    </w:p>
    <w:p>
      <w:pPr>
        <w:pStyle w:val="BodyText"/>
      </w:pPr>
      <w:r>
        <w:t xml:space="preserve">政治性岗位的创造主体是政府机关、事业单位和党政体系，而非国有企业。这个区分在制度上是清晰的：国有企业在A2体系内参与市场竞争，其用工规模受产出效率约束，不能无限承接政治性安置任务——否则将系统性损害国企相对于私企的竞争效率，破坏A2经济运行的效率基础。政府机关和事业单位则不受这个约束，其岗位扩张的财政成本直接由财政预算承担，不通过市场竞争传导。</w:t>
      </w:r>
    </w:p>
    <w:p>
      <w:pPr>
        <w:pStyle w:val="BodyText"/>
      </w:pPr>
      <w:r>
        <w:t xml:space="preserve">政府和事业单位体系主动扩张的岗位类型包括：配给管理的一线核查人员（AI判断的人工复核）；社区监察体系从粗放式扩展为精细化网格管理所需的网格员；数据核查、内容审核、舆情监测等”人机协作”的监控基础设施岗位；意识形态宣传、政策解释、基层党务等岗位。这些岗位的共同特征是：在纯市场逻辑下不存在或大幅萎缩，在政治逻辑下由政府预算主动维持和扩展。</w:t>
      </w:r>
    </w:p>
    <w:p>
      <w:pPr>
        <w:pStyle w:val="BodyText"/>
      </w:pPr>
      <w:r>
        <w:t xml:space="preserve">教育系统在A2的扩张中有特殊位置。教师岗位不只因社会性塑造功能而不萎缩，还因国家叙事传递和意识形态监控功能而额外扩张——AI承担知识传授，人类教师专注于政治性社会化，岗位数量可能不降反升，但性质的政治绑定程度随之加深。</w:t>
      </w:r>
    </w:p>
    <w:p>
      <w:pPr>
        <w:pStyle w:val="BodyText"/>
      </w:pPr>
      <w:r>
        <w:rPr>
          <w:bCs/>
          <w:b/>
        </w:rPr>
        <w:t xml:space="preserve">财政可持续性</w:t>
      </w:r>
    </w:p>
    <w:p>
      <w:pPr>
        <w:pStyle w:val="BodyText"/>
      </w:pPr>
      <w:r>
        <w:t xml:space="preserve">政治性就业在财政上是可持续的，因为政府财政——税收和国有资本利润的定向转移——可以直接支撑这类岗位，不依赖市场收入。代价是公共部门的效率损失：大量人力投入对经济产出贡献有限的政府职能，但这一效率损失留在政府部门内部，不通过市场竞争机制传导为国企的竞争劣势。对A2治理者而言，社会稳定和政治控制的价值高于公共部门效率损失，这个权衡在逻辑上是自洽的。</w:t>
      </w:r>
    </w:p>
    <w:p>
      <w:pPr>
        <w:pStyle w:val="BodyText"/>
      </w:pPr>
      <w:r>
        <w:rPr>
          <w:bCs/>
          <w:b/>
        </w:rPr>
        <w:t xml:space="preserve">官方就业率的含义</w:t>
      </w:r>
    </w:p>
    <w:p>
      <w:pPr>
        <w:pStyle w:val="BodyText"/>
      </w:pPr>
      <w:r>
        <w:t xml:space="preserve">A2的官方就业率因此显著高于A1。但高就业率的内涵不同：A1的就业者主要是市场检验的岗位，A2的就业者包含相当比例由政府预算支撑的政治性岗位。两套体系的就业率数字描述的是不同性质的社会事实，不可直接比较。</w:t>
      </w:r>
    </w:p>
    <w:bookmarkEnd w:id="226"/>
    <w:bookmarkStart w:id="227" w:name="就业统计的根本危机与新政策锚点"/>
    <w:p>
      <w:pPr>
        <w:pStyle w:val="Heading3"/>
      </w:pPr>
      <w:r>
        <w:t xml:space="preserve">4.8.6　就业统计的根本危机与新政策锚点</w:t>
      </w:r>
    </w:p>
    <w:p>
      <w:pPr>
        <w:pStyle w:val="FirstParagraph"/>
      </w:pPr>
      <w:r>
        <w:t xml:space="preserve">失业率的传统定义是”希望工作但找不到工作的人口比例”，建立在”工作是大多数人主动寻求的，失业是被动的”这个隐含假设上。在BSC覆盖基本生存、24小时标准工时的2072年，这个假设大面积失效。</w:t>
      </w:r>
    </w:p>
    <w:p>
      <w:pPr>
        <w:pStyle w:val="BodyText"/>
      </w:pPr>
      <w:r>
        <w:t xml:space="preserve">在职24小时并自愿不接受更多工作的人，统计上是完全就业。大量人口主动选择不进入正式劳动市场而依赖BSC，统计上是”非就业人口”，与失业人口不同。正式就业率看起来完好，但实际劳动投入的总小时数大幅萎缩。更重要的是，失业率无法区分”技术性摩擦失业”、</w:t>
      </w:r>
      <w:r>
        <w:t xml:space="preserve">“</w:t>
      </w:r>
      <w:r>
        <w:t xml:space="preserve">主动退出</w:t>
      </w:r>
      <w:r>
        <w:t xml:space="preserve">”</w:t>
      </w:r>
      <w:r>
        <w:t xml:space="preserve">和”结构性永久排斥”——三种性质完全不同的状态，在传统统计中都计为”非就业”。</w:t>
      </w:r>
    </w:p>
    <w:p>
      <w:pPr>
        <w:pStyle w:val="BodyText"/>
      </w:pPr>
      <w:r>
        <w:t xml:space="preserve">24小时工时立法推动了货币政策框架的制度性更新：就业率逐步退出联准会的双重目标，被”实际劳动小时利用率”替代。后者追踪的不是”是否有工作”，而是”有效劳动小时数相对于经济所需劳动小时数的比率”——这个指标需要AI全丰度数据监测，传统劳工统计完全无法追踪。</w:t>
      </w:r>
    </w:p>
    <w:p>
      <w:pPr>
        <w:pStyle w:val="BodyText"/>
      </w:pPr>
      <w:r>
        <w:t xml:space="preserve">新锚点在制度上并非无争议。</w:t>
      </w:r>
      <w:r>
        <w:t xml:space="preserve">“</w:t>
      </w:r>
      <w:r>
        <w:t xml:space="preserve">充分就业</w:t>
      </w:r>
      <w:r>
        <w:t xml:space="preserve">”</w:t>
      </w:r>
      <w:r>
        <w:t xml:space="preserve">作为政策目标有长达八十年的制度历史；新锚点缺乏这个历史积淀，使货币政策在政治上更难沟通——联准会升息的理由从”就业市场过热”变为”劳动小时利用率超出某个阈值”，对普通公众的可解读性大幅下降。技术上更精确的指标，在政治沟通上可能反而制造更多不透明感。</w:t>
      </w:r>
    </w:p>
    <w:bookmarkEnd w:id="227"/>
    <w:bookmarkStart w:id="228" w:name="退出就业两套体系的不同处理"/>
    <w:p>
      <w:pPr>
        <w:pStyle w:val="Heading3"/>
      </w:pPr>
      <w:r>
        <w:t xml:space="preserve">4.8.7　退出就业：两套体系的不同处理</w:t>
      </w:r>
    </w:p>
    <w:p>
      <w:pPr>
        <w:pStyle w:val="FirstParagraph"/>
      </w:pPr>
      <w:r>
        <w:t xml:space="preserve">2072年存在一个庞大的人口群体，其状态在既有概念框架中难以被准确命名。他们不是失业者（没有在主动寻找工作），不是退休者（没有达到任何退休年龄），不是全职父母（这只覆盖一部分），也不完全是”艺术家”或”志愿者”（因为大多数人没有明确的替代活动）。本文件称之为”退出就业人口”，但这个命名本身带着工业时代劳动至上的视角。</w:t>
      </w:r>
    </w:p>
    <w:p>
      <w:pPr>
        <w:pStyle w:val="BodyText"/>
      </w:pPr>
      <w:r>
        <w:rPr>
          <w:bCs/>
          <w:b/>
        </w:rPr>
        <w:t xml:space="preserve">A1体系：有保障地闲置，意义危机可见</w:t>
      </w:r>
    </w:p>
    <w:p>
      <w:pPr>
        <w:pStyle w:val="BodyText"/>
      </w:pPr>
      <w:r>
        <w:t xml:space="preserve">在A1体系，这个群体获得BSC和现金转移，以及个人选择如何使用时间的自由。意义危机可以被公开讨论和命名，文化产业持续处理”闲置”这个主题，但命名不等于解决。选择退出的可见性在A1更高，因此意义危机的政治张力在A1也更显著——人们能看到彼此的选择，比较不可避免。</w:t>
      </w:r>
    </w:p>
    <w:p>
      <w:pPr>
        <w:pStyle w:val="BodyText"/>
      </w:pPr>
      <w:r>
        <w:rPr>
          <w:bCs/>
          <w:b/>
        </w:rPr>
        <w:t xml:space="preserve">A2体系：工作仍是稀缺品，基础保障覆盖人口不可见</w:t>
      </w:r>
    </w:p>
    <w:p>
      <w:pPr>
        <w:pStyle w:val="BodyText"/>
      </w:pPr>
      <w:r>
        <w:t xml:space="preserve">A2体系并不把退出就业人口系统性吸纳进政治性就业。如4.8.5节所述，政治性岗位是扩张的，但仍然是稀缺的——通过考试、选拔、政治考察层层筛选，竞争激烈。工作在A2体系是激励系统的核心要素之一：有工作单位意味着有身份、有福利、有政治归属；拿不到岗位的人口同样依赖供应票据体系，但这在官方叙事中是不被呈现的现实。</w:t>
      </w:r>
    </w:p>
    <w:p>
      <w:pPr>
        <w:pStyle w:val="BodyText"/>
      </w:pPr>
      <w:r>
        <w:t xml:space="preserve">A2供应票据体系的保障水平因庞大的人口体量和财政结构的差异，在整体上落后于A1的BSC。这不是政策意图，而是财政能力与人口规模的结构性约束：同等比例的资源转移，在14亿人口规模下的人均保障水平，低于3亿人口规模下的人均保障水平。A2依赖供应票据体系的人口规模绝对值庞大，但他们鲜少出现在官方叙事和媒体生态中——不是被否认，而是被系统性略过。A2的公开叙事聚焦于岗位竞争、考试晋升、有产出的劳动者，退出就业人口处于叙事的盲区。</w:t>
      </w:r>
    </w:p>
    <w:p>
      <w:pPr>
        <w:pStyle w:val="BodyText"/>
      </w:pPr>
      <w:r>
        <w:t xml:space="preserve">这产生了两套体系在退出就业问题上的镜像不对称：A1的闲置人口是可见的，意义危机被公开讨论，但制度性出路有限；A2的闲置人口是不可见的，没有公开的意义危机话语，但也没有制度性渠道来表达或处理这种状态。可见性本身是一种权利，尽管它在A1也没有带来解决方案。</w:t>
      </w:r>
    </w:p>
    <w:p>
      <w:pPr>
        <w:pStyle w:val="BodyText"/>
      </w:pPr>
      <w:r>
        <w:rPr>
          <w:bCs/>
          <w:b/>
        </w:rPr>
        <w:t xml:space="preserve">就业率的政治意义残余</w:t>
      </w:r>
    </w:p>
    <w:p>
      <w:pPr>
        <w:pStyle w:val="BodyText"/>
      </w:pPr>
      <w:r>
        <w:t xml:space="preserve">即使传统失业率作为政策锚点失效，它在政治上并未失去意义。</w:t>
      </w:r>
      <w:r>
        <w:t xml:space="preserve">“</w:t>
      </w:r>
      <w:r>
        <w:t xml:space="preserve">失业率</w:t>
      </w:r>
      <w:r>
        <w:t xml:space="preserve">”</w:t>
      </w:r>
      <w:r>
        <w:t xml:space="preserve">仍然是选举政治中最简单易懂的民生指标，政治人物仍然用它动员支持或攻击对手。A2的官方高就业率叙事是真实的——确实有大量人在竞争岗位、参与正式劳动——但这个数字覆盖不到依赖BSC的那部分人口，也掩盖了岗位竞争压力本身作为社会张力来源的现实。</w:t>
      </w:r>
    </w:p>
    <w:p>
      <w:pPr>
        <w:pStyle w:val="BodyText"/>
      </w:pPr>
      <w:r>
        <w:t xml:space="preserve">在A1，这制造了一个奇特的双轨现象：技术官僚用”实际劳动小时利用率”做决策，政治沟通用”就业率”争夺选票，两个数字描述的是同一个现实的不同侧面，却可以同时指向相反的政策结论。</w:t>
      </w:r>
    </w:p>
    <w:p>
      <w:pPr>
        <w:pStyle w:val="BodyText"/>
      </w:pPr>
      <w:r>
        <w:rPr>
          <w:iCs/>
          <w:i/>
        </w:rPr>
        <w:t xml:space="preserve">就业率的历史功能不只是描述现实，也是提供可以围绕其组织政治主张的共同语言。当这个共同语言与政策操作的技术语言分裂，政策效果的政治沟通成本将持续上升——这是2072年民主体制下货币政策面临的制度性挑战，与AI能力的提升无关，与人类政治的语言需求有关。</w:t>
      </w:r>
    </w:p>
    <w:bookmarkEnd w:id="228"/>
    <w:bookmarkEnd w:id="229"/>
    <w:bookmarkStart w:id="236" w:name="社会保障制度"/>
    <w:p>
      <w:pPr>
        <w:pStyle w:val="Heading2"/>
      </w:pPr>
      <w:r>
        <w:t xml:space="preserve">4.9　社会保障制度</w:t>
      </w:r>
    </w:p>
    <w:p>
      <w:pPr>
        <w:pStyle w:val="FirstParagraph"/>
      </w:pPr>
      <w:r>
        <w:t xml:space="preserve">社会保障制度是AI时代经济重组的核心制度响应。当劳动不再是大多数人与经济体系之间的主要交换媒介，保障体系承担了工业时代由就业工资承担的分配功能——它不只是福利，而是整个社会运行的基础基础设施。本节按路径分析各主要体系到2072年的保障制度形态、覆盖逻辑与内在张力。财政来源见4.10节，货币政策层面的BSC传导机制见4.11节。</w:t>
      </w:r>
    </w:p>
    <w:bookmarkStart w:id="230" w:name="a1体系bsc与多层社会保障的演化"/>
    <w:p>
      <w:pPr>
        <w:pStyle w:val="Heading3"/>
      </w:pPr>
      <w:r>
        <w:t xml:space="preserve">4.9.1　A1体系：BSC与多层社会保障的演化</w:t>
      </w:r>
    </w:p>
    <w:p>
      <w:pPr>
        <w:pStyle w:val="FirstParagraph"/>
      </w:pPr>
      <w:r>
        <w:rPr>
          <w:bCs/>
          <w:b/>
        </w:rPr>
        <w:t xml:space="preserve">制度形成的历史路径</w:t>
      </w:r>
    </w:p>
    <w:p>
      <w:pPr>
        <w:pStyle w:val="BodyText"/>
      </w:pPr>
      <w:r>
        <w:t xml:space="preserve">A1体系的社会保障制度不是在2072年重新设计的，而是在工业时代遗留的多层框架基础上叠加改造而成的。工业时代遗留的养老金、失业保险、残障补贴、医疗保险等分散制度，在AI冲击下分别面临财政压力和覆盖失灵——失业保险的设计前提是失业是暂时的，但AI结构性替代制造的不是临时失业而是永久退出；养老金以工资税为来源，但工资税税基系统性萎缩。L3制度响应的核心任务，是在这些遗留制度的缝隙之上建立新的基础层。</w:t>
      </w:r>
    </w:p>
    <w:p>
      <w:pPr>
        <w:pStyle w:val="BodyText"/>
      </w:pPr>
      <w:r>
        <w:t xml:space="preserve">基本支持积分（BSC）是这个过程的政治妥协产物，不是最优设计的输出。相比全民基本收入（UBI）的现金直发方案，BSC的定向积分设计在政治上更容易通过——</w:t>
      </w:r>
      <w:r>
        <w:t xml:space="preserve">“</w:t>
      </w:r>
      <w:r>
        <w:t xml:space="preserve">不能拿来买酒</w:t>
      </w:r>
      <w:r>
        <w:t xml:space="preserve">”</w:t>
      </w:r>
      <w:r>
        <w:t xml:space="preserve">的限制降低了中产阶层对”养懒人”的抵触；相比传统实物配给，积分的品类内自选保留了自由主义原则——政府划定范围，个人在范围内选择。2052—2055年BSC覆盖基本生存是A1体系L3制度响应的物质标志，此后保障制度进入相对稳定的运行阶段，但品类和额度的政治博弈持续进行（见4.11节）。</w:t>
      </w:r>
    </w:p>
    <w:p>
      <w:pPr>
        <w:pStyle w:val="BodyText"/>
      </w:pPr>
      <w:r>
        <w:rPr>
          <w:bCs/>
          <w:b/>
        </w:rPr>
        <w:t xml:space="preserve">2072年的覆盖结构</w:t>
      </w:r>
    </w:p>
    <w:p>
      <w:pPr>
        <w:pStyle w:val="BodyText"/>
      </w:pPr>
      <w:r>
        <w:t xml:space="preserve">A1体系的社会保障在2072年形成四层叠加结构。第一层是BSC基础层，覆盖约65—70%的成年人口，提供食品、基础医疗、住房补贴（形式因地区而异）、教育和交通的基本额度，是制度的兜底层，不可套现，带衰减函数防止囤积。第二层是特殊目的积分，覆盖儿童教育、老年健康、精神健康等子品类，由联邦政策工具精确执行，品类只增不减。第三层是工业时代遗留的社保项目，包括养老金（仍以工资税缴纳历史为基础，但补充资本收入税）、残障补贴、医疗保险（Medicare/Medicaid等在BSC之上提供更高覆盖层）。第四层是州和地方政府的补充项目，差异极大，是A1体系内部保障分化的主要来源。</w:t>
      </w:r>
    </w:p>
    <w:p>
      <w:pPr>
        <w:pStyle w:val="BodyText"/>
      </w:pPr>
      <w:r>
        <w:t xml:space="preserve">BSC的实际购买力在2072年能消除极端物质匮乏，但不能支撑城市中等生活水平——这是制度设计的刻意刻度。食品积分覆盖成年人约90%的基本热量需求，以合成食品为主；基础医疗积分覆盖社区卫生站层级的常规诊疗和基本药物，不覆盖专科手术和长期住院；住房保障覆盖生活成本的比例在高成本城市约30—40%，中低成本地区约60—70%；交通积分覆盖公共交通，不覆盖私人交通和Muule租用。</w:t>
      </w:r>
    </w:p>
    <w:p>
      <w:pPr>
        <w:pStyle w:val="BodyText"/>
      </w:pPr>
      <w:r>
        <w:t xml:space="preserve">积分层级在BSC基础层之上还有两个补充层：特殊目的积分覆盖儿童教育、老年健康、精神健康等子品类，由联邦政策工具精确执行，品类只增不减是政治动态的自然结果（见4.11节）；社区互换凭证为非官方但被默许的灰色市场边界，联邦不发行、不承认、不打压。</w:t>
      </w:r>
    </w:p>
    <w:p>
      <w:pPr>
        <w:pStyle w:val="BodyText"/>
      </w:pPr>
      <w:r>
        <w:rPr>
          <w:bCs/>
          <w:b/>
        </w:rPr>
        <w:t xml:space="preserve">积分余量率：系统压力的实时指标。</w:t>
      </w:r>
      <w:r>
        <w:t xml:space="preserve">全国月均BSC余量率维持在15—20%区间被视为正常运行；降至8%以下触发财政部调整发放量的预警机制（见4.11节双锚协议）。2072年余量率的地理分布高度不均——高成本城市余量率接近底线，中低成本内陆地区余量率偏高，反映了积分额度全国统一与生活成本地区差异之间的结构性错配。灰色市场的实际规模在可控范围内：积分的主要非正式交换是积分换积分或积分换小额服务，完全现金化套现因生物识别绑定而受到技术性限制，宏观影响在统计上可忽略；AI对非正式市场规模的实时监测是货币政策数据基础的组成部分。</w:t>
      </w:r>
    </w:p>
    <w:p>
      <w:pPr>
        <w:pStyle w:val="BodyText"/>
      </w:pPr>
      <w:r>
        <w:rPr>
          <w:bCs/>
          <w:b/>
        </w:rPr>
        <w:t xml:space="preserve">制度的内在张力</w:t>
      </w:r>
    </w:p>
    <w:p>
      <w:pPr>
        <w:pStyle w:val="BodyText"/>
      </w:pPr>
      <w:r>
        <w:t xml:space="preserve">BSC的三个结构性副作用在2072年已从设计问题变成运行现实。其一，品类只增不减的政治动态使体系持续膨胀——增加品类的政治成本接近于零，废除既有品类的政治成本极高，体系向单向扩张演化。其二，积分指定用途本质上是政府代替个人判断需求结构，制造了一种难以命名的低度不自由感。其三，市场信号削弱——大量需求通过行政指定渠道流动后，供给侧对真实偏好的感知能力下降（详见4.11节）。</w:t>
      </w:r>
    </w:p>
    <w:p>
      <w:pPr>
        <w:pStyle w:val="BodyText"/>
      </w:pPr>
      <w:r>
        <w:t xml:space="preserve">退休年龄在2072年已系统性向60岁甚至55岁移动：24小时工时的物理消耗远低于工业时代40小时，BSC覆盖基本生存使养老金的兜底功能部分被替代，AI结构性替代产生大量事实上的提前退出。养老财政因此承受双重压力：税基从稳定工资税转向波动资本收入税，同时养老领取人数增加。聚变红利和AI生产效率提升在宏观上弥补了这个缺口，但分配上的不均等使财政压力在不同州之间高度不对称。</w:t>
      </w:r>
    </w:p>
    <w:bookmarkEnd w:id="230"/>
    <w:bookmarkStart w:id="231" w:name="a2体系供应票据与双轨分配的制度逻辑"/>
    <w:p>
      <w:pPr>
        <w:pStyle w:val="Heading3"/>
      </w:pPr>
      <w:r>
        <w:t xml:space="preserve">4.9.2　A2体系：供应票据与双轨分配的制度逻辑</w:t>
      </w:r>
    </w:p>
    <w:p>
      <w:pPr>
        <w:pStyle w:val="FirstParagraph"/>
      </w:pPr>
      <w:r>
        <w:rPr>
          <w:bCs/>
          <w:b/>
        </w:rPr>
        <w:t xml:space="preserve">制度设计的核心原则</w:t>
      </w:r>
    </w:p>
    <w:p>
      <w:pPr>
        <w:pStyle w:val="BodyText"/>
      </w:pPr>
      <w:r>
        <w:t xml:space="preserve">A2体系的保障制度不追求覆盖个人的所有基本需求，而是精确维持一个可见的物质落差——有工作单位者与只有票据者之间的生活差距，是A2就业绑定机制的激励核心。票据保障了生存，但不保障舒适；保障了基本热量，但不保障品类多样性；保障了公租房居住，但不保障住房品质。落差的精确维持是制度的功能性设计，不是财政约束的无奈结果。</w:t>
      </w:r>
    </w:p>
    <w:p>
      <w:pPr>
        <w:pStyle w:val="BodyText"/>
      </w:pPr>
      <w:r>
        <w:t xml:space="preserve">A2无需政治协商的制度优势使L3响应比A1早约3—5年完成：国有AI资本利润可以直接转化为配给扩张，不需要通过立法博弈。中国基础保障体系在2049—2052年成形，是全球第一批完成L3响应的主要经济体之一。</w:t>
      </w:r>
    </w:p>
    <w:p>
      <w:pPr>
        <w:pStyle w:val="BodyText"/>
      </w:pPr>
      <w:r>
        <w:rPr>
          <w:bCs/>
          <w:b/>
        </w:rPr>
        <w:t xml:space="preserve">2072年的覆盖结构</w:t>
      </w:r>
    </w:p>
    <w:p>
      <w:pPr>
        <w:pStyle w:val="BodyText"/>
      </w:pPr>
      <w:r>
        <w:t xml:space="preserve">供应票据覆盖约40—50%的全部人口（不包含有单位人口，这部分人口通过薪资加配给双轨获得更高保障）。票据覆盖内容：粮食票据保障基本热量，以合成食品和传统粮食混合供给为主，营养多样性受限；初级医疗票据覆盖社区卫生站层级；住房依赖公租房系统，票据补贴极为有限；教育和交通补贴通过国家教育系统和城市公共交通直接免费提供，不经票据渠道。</w:t>
      </w:r>
    </w:p>
    <w:p>
      <w:pPr>
        <w:pStyle w:val="BodyText"/>
      </w:pPr>
      <w:r>
        <w:t xml:space="preserve">配给差异化是A2保障制度的核心工具。城市配给品类更齐全，战略资源区和重点建设区附加专项补贴，农村有额外粮食补贴但医疗教育薄弱——这个差异构成系统性的人口流向引导信号，使保障制度同时承担分配和治理两个功能。</w:t>
      </w:r>
    </w:p>
    <w:p>
      <w:pPr>
        <w:pStyle w:val="BodyText"/>
      </w:pPr>
      <w:r>
        <w:t xml:space="preserve">A2保障制度面临的根本张力是规模与质量的矛盾。票据依赖人口规模庞大，在财政收紧时保障水平面临压缩压力，而这个群体的政治表达渠道受限，张力以隐性方式积累。此外，AI时代大量人口进入票据依赖状态，是财政负担还是政治风险？A2的制度应对是：通过政府机关和事业单位主导的政治性岗位扩张（监控基础设施、配给核查、社区网格管理），将更多人口维持在“有工作单位”状态，以制度性就业替代纯粹的物质保障，延缓大规模票据依赖带来的政治成本。政治性岗位的财政成本直接由政府预算承担，与国有企业的市场竞争逻辑隔离——国有企业的用工规模受产出效率约束，不承接政治性安置任务。这个策略在短期内有效，但长期可持续性取决于政府财政能否持续支撑公共部门的岗位规模。</w:t>
      </w:r>
    </w:p>
    <w:p>
      <w:pPr>
        <w:pStyle w:val="BodyText"/>
      </w:pPr>
      <w:r>
        <w:rPr>
          <w:bCs/>
          <w:b/>
        </w:rPr>
        <w:t xml:space="preserve">A2票据体系的城乡精度差距。</w:t>
      </w:r>
      <w:r>
        <w:t xml:space="preserve">城市地区票据通过数字化系统发放和核销，覆盖精度高；农村和西部地区仍存在实体票据和非数字化核销，对这部分区域的监测依赖卫星和物流代理指标，精度系统性低于城市。农村地区的实际配给质量存在较大的不可观测方差，中央决策依据的数据可能高估农村地区的实际保障水平。这不只是统计问题，而是A2保障体系覆盖质量在地理上不均等的结构性表现。</w:t>
      </w:r>
    </w:p>
    <w:p>
      <w:pPr>
        <w:pStyle w:val="BodyText"/>
      </w:pPr>
      <w:r>
        <w:rPr>
          <w:bCs/>
          <w:b/>
        </w:rPr>
        <w:t xml:space="preserve">A1与A2基础保障横向比较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维度</w:t>
            </w:r>
          </w:p>
        </w:tc>
        <w:tc>
          <w:tcPr/>
          <w:p>
            <w:pPr>
              <w:pStyle w:val="Compact"/>
              <w:jc w:val="left"/>
            </w:pPr>
            <w:r>
              <w:rPr>
                <w:bCs/>
                <w:b/>
              </w:rPr>
              <w:t xml:space="preserve">A1体系</w:t>
            </w:r>
          </w:p>
        </w:tc>
        <w:tc>
          <w:tcPr/>
          <w:p>
            <w:pPr>
              <w:pStyle w:val="Compact"/>
              <w:jc w:val="left"/>
            </w:pPr>
            <w:r>
              <w:rPr>
                <w:bCs/>
                <w:b/>
              </w:rPr>
              <w:t xml:space="preserve">A2体系</w:t>
            </w:r>
          </w:p>
        </w:tc>
      </w:tr>
      <w:tr>
        <w:tc>
          <w:tcPr/>
          <w:p>
            <w:pPr>
              <w:pStyle w:val="Compact"/>
              <w:jc w:val="left"/>
            </w:pPr>
            <w:r>
              <w:t xml:space="preserve">覆盖人口比例</w:t>
            </w:r>
          </w:p>
        </w:tc>
        <w:tc>
          <w:tcPr/>
          <w:p>
            <w:pPr>
              <w:pStyle w:val="Compact"/>
              <w:jc w:val="left"/>
            </w:pPr>
            <w:r>
              <w:t xml:space="preserve">约65—70%成年人口</w:t>
            </w:r>
          </w:p>
        </w:tc>
        <w:tc>
          <w:tcPr/>
          <w:p>
            <w:pPr>
              <w:pStyle w:val="Compact"/>
              <w:jc w:val="left"/>
            </w:pPr>
            <w:r>
              <w:t xml:space="preserve">约40—50%全部人口</w:t>
            </w:r>
          </w:p>
        </w:tc>
      </w:tr>
      <w:tr>
        <w:tc>
          <w:tcPr/>
          <w:p>
            <w:pPr>
              <w:pStyle w:val="Compact"/>
              <w:jc w:val="left"/>
            </w:pPr>
            <w:r>
              <w:t xml:space="preserve">发放形式</w:t>
            </w:r>
          </w:p>
        </w:tc>
        <w:tc>
          <w:tcPr/>
          <w:p>
            <w:pPr>
              <w:pStyle w:val="Compact"/>
              <w:jc w:val="left"/>
            </w:pPr>
            <w:r>
              <w:t xml:space="preserve">数字积分，生物识别绑定</w:t>
            </w:r>
          </w:p>
        </w:tc>
        <w:tc>
          <w:tcPr/>
          <w:p>
            <w:pPr>
              <w:pStyle w:val="Compact"/>
              <w:jc w:val="left"/>
            </w:pPr>
            <w:r>
              <w:t xml:space="preserve">数字票据为主，农村含实体票</w:t>
            </w:r>
          </w:p>
        </w:tc>
      </w:tr>
      <w:tr>
        <w:tc>
          <w:tcPr/>
          <w:p>
            <w:pPr>
              <w:pStyle w:val="Compact"/>
              <w:jc w:val="left"/>
            </w:pPr>
            <w:r>
              <w:t xml:space="preserve">食品覆盖</w:t>
            </w:r>
          </w:p>
        </w:tc>
        <w:tc>
          <w:tcPr/>
          <w:p>
            <w:pPr>
              <w:pStyle w:val="Compact"/>
              <w:jc w:val="left"/>
            </w:pPr>
            <w:r>
              <w:t xml:space="preserve">合成食品为主，覆盖约90%热量需求</w:t>
            </w:r>
          </w:p>
        </w:tc>
        <w:tc>
          <w:tcPr/>
          <w:p>
            <w:pPr>
              <w:pStyle w:val="Compact"/>
              <w:jc w:val="left"/>
            </w:pPr>
            <w:r>
              <w:t xml:space="preserve">混合供给，基本热量覆盖</w:t>
            </w:r>
          </w:p>
        </w:tc>
      </w:tr>
      <w:tr>
        <w:tc>
          <w:tcPr/>
          <w:p>
            <w:pPr>
              <w:pStyle w:val="Compact"/>
              <w:jc w:val="left"/>
            </w:pPr>
            <w:r>
              <w:t xml:space="preserve">医疗覆盖</w:t>
            </w:r>
          </w:p>
        </w:tc>
        <w:tc>
          <w:tcPr/>
          <w:p>
            <w:pPr>
              <w:pStyle w:val="Compact"/>
              <w:jc w:val="left"/>
            </w:pPr>
            <w:r>
              <w:t xml:space="preserve">社区层级常规诊疗+基本药物</w:t>
            </w:r>
          </w:p>
        </w:tc>
        <w:tc>
          <w:tcPr/>
          <w:p>
            <w:pPr>
              <w:pStyle w:val="Compact"/>
              <w:jc w:val="left"/>
            </w:pPr>
            <w:r>
              <w:t xml:space="preserve">社区层级为主，地区差异显著</w:t>
            </w:r>
          </w:p>
        </w:tc>
      </w:tr>
      <w:tr>
        <w:tc>
          <w:tcPr/>
          <w:p>
            <w:pPr>
              <w:pStyle w:val="Compact"/>
              <w:jc w:val="left"/>
            </w:pPr>
            <w:r>
              <w:t xml:space="preserve">住房保障</w:t>
            </w:r>
          </w:p>
        </w:tc>
        <w:tc>
          <w:tcPr/>
          <w:p>
            <w:pPr>
              <w:pStyle w:val="Compact"/>
              <w:jc w:val="left"/>
            </w:pPr>
            <w:r>
              <w:t xml:space="preserve">补贴形式因地区而异；高成本城市覆盖约30—40%生活成本</w:t>
            </w:r>
          </w:p>
        </w:tc>
        <w:tc>
          <w:tcPr/>
          <w:p>
            <w:pPr>
              <w:pStyle w:val="Compact"/>
              <w:jc w:val="left"/>
            </w:pPr>
            <w:r>
              <w:t xml:space="preserve">公租房系统为主，票据补贴极为有限</w:t>
            </w:r>
          </w:p>
        </w:tc>
      </w:tr>
      <w:tr>
        <w:tc>
          <w:tcPr/>
          <w:p>
            <w:pPr>
              <w:pStyle w:val="Compact"/>
              <w:jc w:val="left"/>
            </w:pPr>
            <w:r>
              <w:t xml:space="preserve">消费自主性</w:t>
            </w:r>
          </w:p>
        </w:tc>
        <w:tc>
          <w:tcPr/>
          <w:p>
            <w:pPr>
              <w:pStyle w:val="Compact"/>
              <w:jc w:val="left"/>
            </w:pPr>
            <w:r>
              <w:t xml:space="preserve">较高（积分可在品类内自选）</w:t>
            </w:r>
          </w:p>
        </w:tc>
        <w:tc>
          <w:tcPr/>
          <w:p>
            <w:pPr>
              <w:pStyle w:val="Compact"/>
              <w:jc w:val="left"/>
            </w:pPr>
            <w:r>
              <w:t xml:space="preserve">较低（实物或指定渠道）</w:t>
            </w:r>
          </w:p>
        </w:tc>
      </w:tr>
      <w:tr>
        <w:tc>
          <w:tcPr/>
          <w:p>
            <w:pPr>
              <w:pStyle w:val="Compact"/>
              <w:jc w:val="left"/>
            </w:pPr>
            <w:r>
              <w:t xml:space="preserve">额度调整机制</w:t>
            </w:r>
          </w:p>
        </w:tc>
        <w:tc>
          <w:tcPr/>
          <w:p>
            <w:pPr>
              <w:pStyle w:val="Compact"/>
              <w:jc w:val="left"/>
            </w:pPr>
            <w:r>
              <w:t xml:space="preserve">立法授权+自动COLA联动+双锚协议</w:t>
            </w:r>
          </w:p>
        </w:tc>
        <w:tc>
          <w:tcPr/>
          <w:p>
            <w:pPr>
              <w:pStyle w:val="Compact"/>
              <w:jc w:val="left"/>
            </w:pPr>
            <w:r>
              <w:t xml:space="preserve">行政指令，响应速度快但缺乏制衡</w:t>
            </w:r>
          </w:p>
        </w:tc>
      </w:tr>
      <w:tr>
        <w:tc>
          <w:tcPr/>
          <w:p>
            <w:pPr>
              <w:pStyle w:val="Compact"/>
              <w:jc w:val="left"/>
            </w:pPr>
            <w:r>
              <w:t xml:space="preserve">城乡精度差异</w:t>
            </w:r>
          </w:p>
        </w:tc>
        <w:tc>
          <w:tcPr/>
          <w:p>
            <w:pPr>
              <w:pStyle w:val="Compact"/>
              <w:jc w:val="left"/>
            </w:pPr>
            <w:r>
              <w:t xml:space="preserve">有，幅度较小</w:t>
            </w:r>
          </w:p>
        </w:tc>
        <w:tc>
          <w:tcPr/>
          <w:p>
            <w:pPr>
              <w:pStyle w:val="Compact"/>
              <w:jc w:val="left"/>
            </w:pPr>
            <w:r>
              <w:t xml:space="preserve">显著，农村存在系统性低估风险</w:t>
            </w:r>
          </w:p>
        </w:tc>
      </w:tr>
      <w:tr>
        <w:tc>
          <w:tcPr/>
          <w:p>
            <w:pPr>
              <w:pStyle w:val="Compact"/>
              <w:jc w:val="left"/>
            </w:pPr>
            <w:r>
              <w:t xml:space="preserve">激励设计意图</w:t>
            </w:r>
          </w:p>
        </w:tc>
        <w:tc>
          <w:tcPr/>
          <w:p>
            <w:pPr>
              <w:pStyle w:val="Compact"/>
              <w:jc w:val="left"/>
            </w:pPr>
            <w:r>
              <w:t xml:space="preserve">消除极端匮乏，维持退出选项</w:t>
            </w:r>
          </w:p>
        </w:tc>
        <w:tc>
          <w:tcPr/>
          <w:p>
            <w:pPr>
              <w:pStyle w:val="Compact"/>
              <w:jc w:val="left"/>
            </w:pPr>
            <w:r>
              <w:t xml:space="preserve">维持有单位与只有票据的可见差距</w:t>
            </w:r>
          </w:p>
        </w:tc>
      </w:tr>
    </w:tbl>
    <w:p>
      <w:pPr>
        <w:pStyle w:val="BodyText"/>
      </w:pPr>
      <w:r>
        <w:t xml:space="preserve">A1覆盖品类更广、消费自主性更高；A2在粮食保障覆盖深度上与A1相近，但其余品类差距显著。这一差距在2072年仍在扩大：聚变红利使A1合成食品等物资成本进一步下降，A1有财政空间持续提升保障实际价值，而A2的票据额度调整受制于更大的人口规模和更复杂的政治激励。</w:t>
      </w:r>
    </w:p>
    <w:p>
      <w:pPr>
        <w:pStyle w:val="BodyText"/>
      </w:pPr>
      <w:r>
        <w:rPr>
          <w:iCs/>
          <w:i/>
        </w:rPr>
        <w:t xml:space="preserve">两套体系保障逻辑的根本不同：A1旨在给予有保障地退出劳动市场的选项，使市场工资均衡向上移动；A2旨在维持进入体制的物质激励，使”有工作单位”保持持续的吸引力。前者的稳定性来自个体的自主选择，后者的稳定性来自差距的精确维持。</w:t>
      </w:r>
    </w:p>
    <w:bookmarkEnd w:id="231"/>
    <w:bookmarkStart w:id="232" w:name="欧洲福利国家的再校准"/>
    <w:p>
      <w:pPr>
        <w:pStyle w:val="Heading3"/>
      </w:pPr>
      <w:r>
        <w:t xml:space="preserve">4.9.3　欧洲：福利国家的再校准</w:t>
      </w:r>
    </w:p>
    <w:p>
      <w:pPr>
        <w:pStyle w:val="FirstParagraph"/>
      </w:pPr>
      <w:r>
        <w:rPr>
          <w:bCs/>
          <w:b/>
        </w:rPr>
        <w:t xml:space="preserve">历史基础与AI时代的压力</w:t>
      </w:r>
    </w:p>
    <w:p>
      <w:pPr>
        <w:pStyle w:val="BodyText"/>
      </w:pPr>
      <w:r>
        <w:t xml:space="preserve">欧洲，尤其是西北欧，进入AI时代时拥有全球最完善的福利体系遗产：全民医疗、带薪育儿假、失业保险、养老金、住房补贴、教育免费。这个遗产使欧洲的裸露期痛苦显著低于A1——福利缓冲使就业替代的物质冲击被制度吸收，意义危机来得更晚、更安静。但同样的遗产也带来了更大的财政压力：福利支出的刚性（政治上极难削减已有福利项目）叠加工资税税基萎缩，使欧洲B1类经济体在聚变红利完全到位之前（约2047—2055年）财政压力最为集中。</w:t>
      </w:r>
    </w:p>
    <w:p>
      <w:pPr>
        <w:pStyle w:val="BodyText"/>
      </w:pPr>
      <w:r>
        <w:rPr>
          <w:bCs/>
          <w:b/>
        </w:rPr>
        <w:t xml:space="preserve">过渡期的财政管理（2035—2055）</w:t>
      </w:r>
    </w:p>
    <w:p>
      <w:pPr>
        <w:pStyle w:val="BodyText"/>
      </w:pPr>
      <w:r>
        <w:t xml:space="preserve">欧洲度过过渡期财政压力的方式不是削减福利，而是多线并进的来源侧调整：资本收入税（股息税、资本利得税、数字服务税）在2035—2045年间逐步扩大，部分对冲工资税税基萎缩；欧盟层面的AI红利协调基金在2042年建立，以各成员国AI资本税收入的一定比例统一调配，向财政压力较大的南欧和中东欧成员转移；聚变红利在2047—2055年间陆续释放，使能源密集型公共服务（供暖、医疗设施运营）的成本系统性下降，间接改善了福利支出的实际财政可负担性。这个组合路径使欧洲在没有发生大规模福利削减的情况下完成了过渡，但代价是债务水平在过渡期高峰（约2048—2052年）显著上升，各国财政整合节奏差异悬殊。</w:t>
      </w:r>
    </w:p>
    <w:p>
      <w:pPr>
        <w:pStyle w:val="BodyText"/>
      </w:pPr>
      <w:r>
        <w:rPr>
          <w:bCs/>
          <w:b/>
        </w:rPr>
        <w:t xml:space="preserve">2072年的形态</w:t>
      </w:r>
    </w:p>
    <w:p>
      <w:pPr>
        <w:pStyle w:val="BodyText"/>
      </w:pPr>
      <w:r>
        <w:t xml:space="preserve">欧洲的保障制度在2072年经历了一次结构性再校准，方向是：在维持全民覆盖原则的前提下，将保障重心从”替代工资”转向”托底生存+促进参与”。全民医疗维持，但分层：基础医疗全民免费，专科和高端治疗引入个人共付机制。养老金系统保留，但财政来源从工资税主导切换为工资税+资本收入税+聚变红利混合来源，退休年龄讨论持续但各国立场不一，实际领取年龄有所上移。住房补贴在高成本城市压力下扩大，但形式转向租金管制和公共住房建设而非现金补贴。失业保险正式重新定位为”经济过渡支援”，覆盖AI替代后的再适应期，不再以重回就业市场为唯一目标。</w:t>
      </w:r>
    </w:p>
    <w:p>
      <w:pPr>
        <w:pStyle w:val="BodyText"/>
      </w:pPr>
      <w:r>
        <w:t xml:space="preserve">西北欧走廊（挪威、丹麦、荷兰、德国等）财政实力最强，保障覆盖最完整，类BSC等价制度已落地——基础收入保障覆盖住房、医疗、食品和文化参与，水平高于A1的BSC，是全球保障覆盖最充分的路径。与A1 BSC的逻辑差异在于：欧洲的等价制度不设衰减函数，强调生活尊严而非消费激励，发放形式以现金和实物服务混合为主，而非纯积分制；政治正当性框架是”公民权利”而非”临时性保障兜底”，这使覆盖扩张的政治阻力低于A1。南欧（意大利、西班牙、葡萄牙、希腊）财政能力较弱，保障覆盖较浅，历史形成的大家庭网络和非正式互助经济提供了部分缓冲，但系统性保障质量低于西北欧一个显著档次。中东欧在2040—2060年间完成局部赶超，财政实力提升，保障覆盖随之改善，但与西北欧仍有差距。</w:t>
      </w:r>
    </w:p>
    <w:p>
      <w:pPr>
        <w:pStyle w:val="BodyText"/>
      </w:pPr>
      <w:r>
        <w:rPr>
          <w:bCs/>
          <w:b/>
        </w:rPr>
        <w:t xml:space="preserve">欧洲保障制度的独特性</w:t>
      </w:r>
    </w:p>
    <w:p>
      <w:pPr>
        <w:pStyle w:val="BodyText"/>
      </w:pPr>
      <w:r>
        <w:t xml:space="preserve">欧洲保障制度有一个A1和A2都不具备的特征：它建立在跨越两个世纪的福利传统基础上，有深厚的政治正当性和文化认同。</w:t>
      </w:r>
      <w:r>
        <w:t xml:space="preserve">“</w:t>
      </w:r>
      <w:r>
        <w:t xml:space="preserve">有尊严地退出劳动市场</w:t>
      </w:r>
      <w:r>
        <w:t xml:space="preserve">”</w:t>
      </w:r>
      <w:r>
        <w:t xml:space="preserve">在欧洲不是新概念，有成熟的制度框架和社会共识承接。这使欧洲在AI时代的意义危机上有独特的文化资源——不只是制度托底，还有关于”非工作生活”的历史经验可以援引。代价是制度变革速度慢：已有福利的政治黏性极高，即使方向错了也很难调头。欧盟内部各成员国的制度差异在2072年仍然显著，协调机制可以平滑部分差距，但无法消除西北欧与南欧之间一个档次的结构性保障质量落差。</w:t>
      </w:r>
    </w:p>
    <w:bookmarkEnd w:id="232"/>
    <w:bookmarkStart w:id="233" w:name="民主东亚制度适应与压力内化"/>
    <w:p>
      <w:pPr>
        <w:pStyle w:val="Heading3"/>
      </w:pPr>
      <w:r>
        <w:t xml:space="preserve">4.9.4　民主东亚：制度适应与压力内化</w:t>
      </w:r>
    </w:p>
    <w:p>
      <w:pPr>
        <w:pStyle w:val="FirstParagraph"/>
      </w:pPr>
      <w:r>
        <w:rPr>
          <w:bCs/>
          <w:b/>
        </w:rPr>
        <w:t xml:space="preserve">日本：最早完成适应，代价最深</w:t>
      </w:r>
    </w:p>
    <w:p>
      <w:pPr>
        <w:pStyle w:val="BodyText"/>
      </w:pPr>
      <w:r>
        <w:t xml:space="preserve">日本在2072年拥有全球制度适应程度最高的社会保障体系，但这个适应是在约60年持续收缩压力下强制完成的，代价以集体心理内化的方式承担，不以社会冲突的方式外化。</w:t>
      </w:r>
    </w:p>
    <w:p>
      <w:pPr>
        <w:pStyle w:val="BodyText"/>
      </w:pPr>
      <w:r>
        <w:t xml:space="preserve">2072年日本的保障结构：全民医疗维持，分层共付机制逐步扩大（70岁以上老年人共付比例在2040年代调整），医疗支出仍是GDP占比最高的项目之一；养老金系统经历多轮改革，实际领取额度相对历史峰值缩减约25—30%，但聚变红利带来的生活成本下降在实际购买力层面部分对冲了这个缩减；介护保险（长期照护保险）在40岁以上全员强制参保，是日本独有的制度创新，已成为超老龄社会的核心支撑机制；失业保险的名称保留，但功能转型为”职业过渡支援”，覆盖AI替代后的再适应期，不再以恢复就业为唯一目标。</w:t>
      </w:r>
    </w:p>
    <w:p>
      <w:pPr>
        <w:pStyle w:val="BodyText"/>
      </w:pPr>
      <w:r>
        <w:t xml:space="preserve">日本保障制度的核心压力不在覆盖范围，而在财政来源结构：工资税税基随就业人口减少而系统性萎缩，资本收入税和聚变红利收入成为新的主要来源，但这个切换的政治阻力持续存在，财政补缺的路径每隔几年都触发一轮立法博弈。</w:t>
      </w:r>
    </w:p>
    <w:p>
      <w:pPr>
        <w:pStyle w:val="BodyText"/>
      </w:pPr>
      <w:r>
        <w:rPr>
          <w:bCs/>
          <w:b/>
        </w:rPr>
        <w:t xml:space="preserve">韩国与台湾：较晚但更快</w:t>
      </w:r>
    </w:p>
    <w:p>
      <w:pPr>
        <w:pStyle w:val="BodyText"/>
      </w:pPr>
      <w:r>
        <w:t xml:space="preserve">韩国和台湾的AI时代保障制度改革比日本晚约10—15年启动，但改革速度更快——因为日本已经提供了完整的路径参照，政策学习成本大幅降低。两者均在2045—2060年间完成了从工资税主导到资本收入税+聚变红利的财政来源切换，全民医疗维持，养老金系统改革较日本更激进（部分转向个人储蓄账户加公共兜底的混合模式）。台湾在AI技术整合深度上领先于韩国，AI辅助的社会保障管理系统（精准识别需求、减少行政冗余）在台湾率先部署，成为东亚其他地区的参考模板。</w:t>
      </w:r>
    </w:p>
    <w:p>
      <w:pPr>
        <w:pStyle w:val="BodyText"/>
      </w:pPr>
      <w:r>
        <w:rPr>
          <w:bCs/>
          <w:b/>
        </w:rPr>
        <w:t xml:space="preserve">民主东亚共同的制度特征</w:t>
      </w:r>
    </w:p>
    <w:p>
      <w:pPr>
        <w:pStyle w:val="BodyText"/>
      </w:pPr>
      <w:r>
        <w:t xml:space="preserve">三者共享一个工业时代形成的制度基因：保障制度与劳动参与深度绑定——福利的大部分权利来自就业缴费历史。AI时代这个绑定机制面临根本挑战：大量人口永久退出劳动市场，但缴费历史不足以支撑足够的保障权利。各地的应对都是不同比例的混合：保留历史缴费权利作为个人层面的分配依据，同时建立普惠性兜底层（类似BSC逻辑但名称和形式各异）覆盖缴费历史不足的人口。两层之间的过渡规则是政治博弈的持续焦点。</w:t>
      </w:r>
    </w:p>
    <w:bookmarkEnd w:id="233"/>
    <w:bookmarkStart w:id="234" w:name="其他地区结构性缺席与有限替代"/>
    <w:p>
      <w:pPr>
        <w:pStyle w:val="Heading3"/>
      </w:pPr>
      <w:r>
        <w:t xml:space="preserve">4.9.5　其他地区：结构性缺席与有限替代</w:t>
      </w:r>
    </w:p>
    <w:p>
      <w:pPr>
        <w:pStyle w:val="FirstParagraph"/>
      </w:pPr>
      <w:r>
        <w:rPr>
          <w:bCs/>
          <w:b/>
        </w:rPr>
        <w:t xml:space="preserve">全球南方：制度建设的物质前提缺失</w:t>
      </w:r>
    </w:p>
    <w:p>
      <w:pPr>
        <w:pStyle w:val="BodyText"/>
      </w:pPr>
      <w:r>
        <w:t xml:space="preserve">全球南方大多数地区（C/D/B2类经济体）在2072年尚未建立覆盖基本生存的系统性保障制度，根本原因不是制度设计能力不足，而是物质前提缺失——没有足够的财政来源，没有可分配的AI和聚变红利。制度响应的L3在这些地区的延迟超过15年，且延迟本身会进一步加深，因为缺乏保障制度意味着经济动荡更容易演化为政治危机，危机反过来破坏制度建设的条件。</w:t>
      </w:r>
    </w:p>
    <w:p>
      <w:pPr>
        <w:pStyle w:val="BodyText"/>
      </w:pPr>
      <w:r>
        <w:t xml:space="preserve">部分B2类（A2整合型）经济体通过依附A2体系获得了有限的配给援助：中国主导的基础设施投资中包含部分社会保障转移，但覆盖范围有限，且以配合A2政治体系为条件。这不是独立的保障制度，而是依附结构的一部分。</w:t>
      </w:r>
    </w:p>
    <w:p>
      <w:pPr>
        <w:pStyle w:val="BodyText"/>
      </w:pPr>
      <w:r>
        <w:rPr>
          <w:bCs/>
          <w:b/>
        </w:rPr>
        <w:t xml:space="preserve">特殊形态：非正式互助网络</w:t>
      </w:r>
    </w:p>
    <w:p>
      <w:pPr>
        <w:pStyle w:val="BodyText"/>
      </w:pPr>
      <w:r>
        <w:t xml:space="preserve">在制度性保障缺席的地区，非正式互助网络——大家庭体系、宗族网络、宗教组织、地方社区互助——承担了部分保障功能。这些网络在历史上一直存在，但AI时代面临新的压力：劳动力流动减少（相互忽视均衡使外出务工渠道收窄），留守人口无法依靠汇款支撑家庭保障功能；同时全球商品市场竞争（合成食品、AI农业产品）冲击了本地农业，传统的自给自足生存基础被侵蚀。非正式互助网络在2072年的覆盖能力比工业时代高峰期弱，但在制度性保障完全缺席的地区仍然是主要的现实支撑。</w:t>
      </w:r>
    </w:p>
    <w:p>
      <w:pPr>
        <w:pStyle w:val="BodyText"/>
      </w:pPr>
      <w:r>
        <w:rPr>
          <w:bCs/>
          <w:b/>
        </w:rPr>
        <w:t xml:space="preserve">被遗忘地带：生存本身作为保障</w:t>
      </w:r>
    </w:p>
    <w:p>
      <w:pPr>
        <w:pStyle w:val="BodyText"/>
      </w:pPr>
      <w:r>
        <w:t xml:space="preserve">E类被遗忘地带的情况是所有路径中最极端的：既无制度性保障，也无非正式互助网络能够系统性覆盖，生存本身依赖自然资源的直接获取。这类地区的人口没有”意义危机”——生存压力仍然是生活结构的总轴心，保障制度是一个尚未到达的概念。AI时代对这些地区的直接冲击有限（因为接入程度极低），但间接冲击真实存在：全球大宗商品价格波动、气候变化加速、医疗和信息可及性的改善带来健康状况提升但同时带来对外部资源的新依赖。</w:t>
      </w:r>
    </w:p>
    <w:p>
      <w:pPr>
        <w:pStyle w:val="BodyText"/>
      </w:pPr>
      <w:r>
        <w:rPr>
          <w:iCs/>
          <w:i/>
        </w:rPr>
        <w:t xml:space="preserve">各路径保障制度的根本差异，不在于技术细节，而在于设计原则：A1的保障旨在给予有保障地退出劳动市场的选项；A2的保障旨在维持进入体制的激励差距；欧洲的保障旨在维持有尊严的普遍覆盖；民主东亚的保障在历史劳动绑定与普惠兜底之间寻找平衡；其他地区的保障则仍是一个尚待建立的目标，而非现实的制度形态。五种设计原则产生了五种不同的社会现实，也构成了2072年多态社会在制度层面最具体的分化表现。</w:t>
      </w:r>
    </w:p>
    <w:bookmarkEnd w:id="234"/>
    <w:bookmarkStart w:id="235" w:name="相对价格重组技术进步如何改变社保的财政可负担性"/>
    <w:p>
      <w:pPr>
        <w:pStyle w:val="Heading3"/>
      </w:pPr>
      <w:r>
        <w:t xml:space="preserve">4.9.6　相对价格重组：技术进步如何改变社保的财政可负担性</w:t>
      </w:r>
    </w:p>
    <w:p>
      <w:pPr>
        <w:pStyle w:val="FirstParagraph"/>
      </w:pPr>
      <w:r>
        <w:t xml:space="preserve">社保体系在2072年得以大规模运转，根本原因不是政策意志的强化，而是技术进步通过相对价格机制改变了保障的实际成本结构。这个机制值得单独说明，因为它同时解释了社保为何变得可负担，以及财富差距为何以一种新的形式持续存在。</w:t>
      </w:r>
    </w:p>
    <w:p>
      <w:pPr>
        <w:pStyle w:val="BodyText"/>
      </w:pPr>
      <w:r>
        <w:rPr>
          <w:bCs/>
          <w:b/>
        </w:rPr>
        <w:t xml:space="preserve">价格是相对的，不是绝对的。</w:t>
      </w:r>
      <w:r>
        <w:t xml:space="preserve">价格体系的基本功能是传递稀缺信息。一类商品的相对价格下降，在经济总量不变的情况下，必然对应其他商品的相对价格上升——这是同一个过程的两面。聚变使能源的绝对生产成本大幅降低，但这不意味着”一切都变便宜了”；它意味着能源密集型商品在价格体系中的权重下移，其他类别商品的相对权重随之上移。</w:t>
      </w:r>
    </w:p>
    <w:p>
      <w:pPr>
        <w:pStyle w:val="BodyText"/>
      </w:pPr>
      <w:r>
        <w:rPr>
          <w:bCs/>
          <w:b/>
        </w:rPr>
        <w:t xml:space="preserve">社保篮子恰好覆盖了相对价格下降最快的那些商品。</w:t>
      </w:r>
      <w:r>
        <w:t xml:space="preserve">合成食品、基础工业品、大规模物资配给的生产成本高度依赖能源，是聚变红利传导最直接的领域。维持一个人基本生存所需的热量、初级医疗物资、住房建设材料——这些构成社保篮子的核心内容——其实际生产成本随聚变渗透系统性降低。这是BSC积分体系和票据配给制度在财政上得以成立的物质前提。</w:t>
      </w:r>
    </w:p>
    <w:p>
      <w:pPr>
        <w:pStyle w:val="BodyText"/>
      </w:pPr>
      <w:r>
        <w:rPr>
          <w:bCs/>
          <w:b/>
        </w:rPr>
        <w:t xml:space="preserve">关键机制：保障的制度定价慢于成本下降。</w:t>
      </w:r>
      <w:r>
        <w:t xml:space="preserve">社会保障的内容虽然持续变化，但其名义标准的调整——A1积分额度的立法更新、A2配给品类的行政调整——在速度上均慢于能源密集型商品实际生产成本的下行。这个时差产生了一个持续的财政改善效应：同样的财政支出，可以在不同时期覆盖更多人口，或在同等覆盖人口规模下形成更大的财政余量。用经济学的语言表述：社会保障篮子的实际购买力在上升，而为此支付的名义财政成本相对稳定——维持每个人基本生存的财政成本相对于总体经济规模在下降。配给体系的财政可行性不是技术红利直接转让的结果，而是这个相对价格时差自动传导的结果。</w:t>
      </w:r>
    </w:p>
    <w:p>
      <w:pPr>
        <w:pStyle w:val="BodyText"/>
      </w:pPr>
      <w:r>
        <w:rPr>
          <w:bCs/>
          <w:b/>
        </w:rPr>
        <w:t xml:space="preserve">篮子扩张是这个机制的约束条件。</w:t>
      </w:r>
      <w:r>
        <w:t xml:space="preserve">上述财政改善效应有一个不可忽视的边界：社保篮子并非固定不变。A1体系存在”品类只增不减”的政治动态（见4.9.1节），A2体系同样面临扩张压力。如果新增品类集中在相对价格下降的能源密集型领域，财政改善可以持续；如果新增品类集中在相对价格上升的领域——例如不可标准化的人类服务——财政改善空间将被部分或全部抵消。因此，技术进步带来的财政红利能在多大程度上转化为净改善，取决于篮子扩张的方向和速度，而非仅仅取决于聚变的技术进展本身。</w:t>
      </w:r>
    </w:p>
    <w:p>
      <w:pPr>
        <w:pStyle w:val="BodyText"/>
      </w:pPr>
      <w:r>
        <w:rPr>
          <w:bCs/>
          <w:b/>
        </w:rPr>
        <w:t xml:space="preserve">相对价格重组同时界定了2072年财富差距的新形态。</w:t>
      </w:r>
      <w:r>
        <w:t xml:space="preserve">社保覆盖的品类，其相对价格在下降；社保覆盖不到的品类，其相对价格在上升。不可标准化的人类服务——真实的人际关注、有判断力的照料、非程式化的陪伴——其高价格本身来自它们不能被大规模标准化生产这一事实，因而无法通过配给实现普及。2072年的财富差距因此从工业时代的”物质数量差距”转变为”品类差距”：基本物质需求的满足程度在各路径内部趋于收敛，差距主要体现在能否获得那些相对价格持续上升的商品与服务。这一差距不是分配政策的失误，而是相对价格机制运作的必然结果——社保的扩张边界，由它所能覆盖的商品类型在经济学上的可标准化程度决定。</w:t>
      </w:r>
    </w:p>
    <w:p>
      <w:pPr>
        <w:pStyle w:val="BodyText"/>
      </w:pPr>
      <w:r>
        <w:rPr>
          <w:iCs/>
          <w:i/>
        </w:rPr>
        <w:t xml:space="preserve">聚变解决了社保的物质成本问题，同时通过相对价格重组使另一类稀缺更加显著。这两个效应是同一个技术进步的两个必然结果，分别构成2072年社会保障制度可持续性与财富差距持续存在的经济学基础。</w:t>
      </w:r>
    </w:p>
    <w:bookmarkEnd w:id="235"/>
    <w:bookmarkEnd w:id="236"/>
    <w:bookmarkStart w:id="245" w:name="财政框架"/>
    <w:p>
      <w:pPr>
        <w:pStyle w:val="Heading2"/>
      </w:pPr>
      <w:r>
        <w:t xml:space="preserve">4.10　财政框架</w:t>
      </w:r>
    </w:p>
    <w:p>
      <w:pPr>
        <w:pStyle w:val="FirstParagraph"/>
      </w:pPr>
      <w:r>
        <w:t xml:space="preserve">技术进步与劳动市场重组的经济后果，最终都通过税收结构和财政机制落地为可感知的制度现实。本节先分析A1体系的税收结构重组、联邦宏观框架与州际制度竞争，再分析A2体系通过直达配给系统实现的财政分配逻辑及由此产生的地方财政分化。两套体系达到相近的物质保障效果，但制度逻辑和自由度根本不同。（A2体系的人口集中化机制详见4.7节人口专节。）</w:t>
      </w:r>
    </w:p>
    <w:bookmarkStart w:id="237" w:name="a1体系税收结构重组"/>
    <w:p>
      <w:pPr>
        <w:pStyle w:val="Heading3"/>
      </w:pPr>
      <w:r>
        <w:t xml:space="preserve">4.10.1　A1体系：税收结构重组</w:t>
      </w:r>
    </w:p>
    <w:p>
      <w:pPr>
        <w:pStyle w:val="FirstParagraph"/>
      </w:pPr>
      <w:r>
        <w:t xml:space="preserve">A1体系核心经济体的税收结构重组主轴是：企业所得税扩大（AI时代企业利润率整体上升，跨国漏洞修补）+资本收入税调整（缩小资本利得税与劳动收入税率差距）。工资税税基萎缩的缺口主要由这两项填补。单独对特定行业加税不合理——AI效益惠及全社会，已经通过累进所得税对AI资本征过税，重复征税破坏税收中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税种</w:t>
            </w:r>
          </w:p>
        </w:tc>
        <w:tc>
          <w:tcPr/>
          <w:p>
            <w:pPr>
              <w:pStyle w:val="Compact"/>
              <w:jc w:val="left"/>
            </w:pPr>
            <w:r>
              <w:rPr>
                <w:bCs/>
                <w:b/>
              </w:rPr>
              <w:t xml:space="preserve">今天占比</w:t>
            </w:r>
          </w:p>
        </w:tc>
        <w:tc>
          <w:tcPr/>
          <w:p>
            <w:pPr>
              <w:pStyle w:val="Compact"/>
              <w:jc w:val="left"/>
            </w:pPr>
            <w:r>
              <w:rPr>
                <w:bCs/>
                <w:b/>
              </w:rPr>
              <w:t xml:space="preserve">2072年占比</w:t>
            </w:r>
          </w:p>
        </w:tc>
        <w:tc>
          <w:tcPr/>
          <w:p>
            <w:pPr>
              <w:pStyle w:val="Compact"/>
              <w:jc w:val="left"/>
            </w:pPr>
            <w:r>
              <w:rPr>
                <w:bCs/>
                <w:b/>
              </w:rPr>
              <w:t xml:space="preserve">变化原因</w:t>
            </w:r>
          </w:p>
        </w:tc>
      </w:tr>
      <w:tr>
        <w:tc>
          <w:tcPr/>
          <w:p>
            <w:pPr>
              <w:pStyle w:val="Compact"/>
              <w:jc w:val="left"/>
            </w:pPr>
            <w:r>
              <w:t xml:space="preserve">个人所得税（劳动收入）</w:t>
            </w:r>
          </w:p>
        </w:tc>
        <w:tc>
          <w:tcPr/>
          <w:p>
            <w:pPr>
              <w:pStyle w:val="Compact"/>
              <w:jc w:val="left"/>
            </w:pPr>
            <w:r>
              <w:t xml:space="preserve">~35%</w:t>
            </w:r>
          </w:p>
        </w:tc>
        <w:tc>
          <w:tcPr/>
          <w:p>
            <w:pPr>
              <w:pStyle w:val="Compact"/>
              <w:jc w:val="left"/>
            </w:pPr>
            <w:r>
              <w:t xml:space="preserve">~18%</w:t>
            </w:r>
          </w:p>
        </w:tc>
        <w:tc>
          <w:tcPr/>
          <w:p>
            <w:pPr>
              <w:pStyle w:val="Compact"/>
              <w:jc w:val="left"/>
            </w:pPr>
            <w:r>
              <w:t xml:space="preserve">中位数下降，多数人纳税为零，税负集中在少数高收入者</w:t>
            </w:r>
          </w:p>
        </w:tc>
      </w:tr>
      <w:tr>
        <w:tc>
          <w:tcPr/>
          <w:p>
            <w:pPr>
              <w:pStyle w:val="Compact"/>
              <w:jc w:val="left"/>
            </w:pPr>
            <w:r>
              <w:t xml:space="preserve">个人所得税（资本收入）</w:t>
            </w:r>
          </w:p>
        </w:tc>
        <w:tc>
          <w:tcPr/>
          <w:p>
            <w:pPr>
              <w:pStyle w:val="Compact"/>
              <w:jc w:val="left"/>
            </w:pPr>
            <w:r>
              <w:t xml:space="preserve">~19%</w:t>
            </w:r>
          </w:p>
        </w:tc>
        <w:tc>
          <w:tcPr/>
          <w:p>
            <w:pPr>
              <w:pStyle w:val="Compact"/>
              <w:jc w:val="left"/>
            </w:pPr>
            <w:r>
              <w:t xml:space="preserve">~30%</w:t>
            </w:r>
          </w:p>
        </w:tc>
        <w:tc>
          <w:tcPr/>
          <w:p>
            <w:pPr>
              <w:pStyle w:val="Compact"/>
              <w:jc w:val="left"/>
            </w:pPr>
            <w:r>
              <w:t xml:space="preserve">资本收入占GDP比重上升，passive income累进税使税率接近劳动收入税率</w:t>
            </w:r>
          </w:p>
        </w:tc>
      </w:tr>
      <w:tr>
        <w:tc>
          <w:tcPr/>
          <w:p>
            <w:pPr>
              <w:pStyle w:val="Compact"/>
              <w:jc w:val="left"/>
            </w:pPr>
            <w:r>
              <w:t xml:space="preserve">工资税</w:t>
            </w:r>
          </w:p>
        </w:tc>
        <w:tc>
          <w:tcPr/>
          <w:p>
            <w:pPr>
              <w:pStyle w:val="Compact"/>
              <w:jc w:val="left"/>
            </w:pPr>
            <w:r>
              <w:t xml:space="preserve">~36%</w:t>
            </w:r>
          </w:p>
        </w:tc>
        <w:tc>
          <w:tcPr/>
          <w:p>
            <w:pPr>
              <w:pStyle w:val="Compact"/>
              <w:jc w:val="left"/>
            </w:pPr>
            <w:r>
              <w:t xml:space="preserve">~15%</w:t>
            </w:r>
          </w:p>
        </w:tc>
        <w:tc>
          <w:tcPr/>
          <w:p>
            <w:pPr>
              <w:pStyle w:val="Compact"/>
              <w:jc w:val="left"/>
            </w:pPr>
            <w:r>
              <w:t xml:space="preserve">工资总额系统性下降，社保资金缺口需其他税种填补</w:t>
            </w:r>
          </w:p>
        </w:tc>
      </w:tr>
      <w:tr>
        <w:tc>
          <w:tcPr/>
          <w:p>
            <w:pPr>
              <w:pStyle w:val="Compact"/>
              <w:jc w:val="left"/>
            </w:pPr>
            <w:r>
              <w:t xml:space="preserve">企业所得税</w:t>
            </w:r>
          </w:p>
        </w:tc>
        <w:tc>
          <w:tcPr/>
          <w:p>
            <w:pPr>
              <w:pStyle w:val="Compact"/>
              <w:jc w:val="left"/>
            </w:pPr>
            <w:r>
              <w:t xml:space="preserve">~9%</w:t>
            </w:r>
          </w:p>
        </w:tc>
        <w:tc>
          <w:tcPr/>
          <w:p>
            <w:pPr>
              <w:pStyle w:val="Compact"/>
              <w:jc w:val="left"/>
            </w:pPr>
            <w:r>
              <w:t xml:space="preserve">~22%</w:t>
            </w:r>
          </w:p>
        </w:tc>
        <w:tc>
          <w:tcPr/>
          <w:p>
            <w:pPr>
              <w:pStyle w:val="Compact"/>
              <w:jc w:val="left"/>
            </w:pPr>
            <w:r>
              <w:t xml:space="preserve">企业利润率整体上升，跨国漏洞修补，税基扩大</w:t>
            </w:r>
          </w:p>
        </w:tc>
      </w:tr>
      <w:tr>
        <w:tc>
          <w:tcPr/>
          <w:p>
            <w:pPr>
              <w:pStyle w:val="Compact"/>
              <w:jc w:val="left"/>
            </w:pPr>
            <w:r>
              <w:t xml:space="preserve">遗产税及赠与税</w:t>
            </w:r>
          </w:p>
        </w:tc>
        <w:tc>
          <w:tcPr/>
          <w:p>
            <w:pPr>
              <w:pStyle w:val="Compact"/>
              <w:jc w:val="left"/>
            </w:pPr>
            <w:r>
              <w:t xml:space="preserve">~1%</w:t>
            </w:r>
          </w:p>
        </w:tc>
        <w:tc>
          <w:tcPr/>
          <w:p>
            <w:pPr>
              <w:pStyle w:val="Compact"/>
              <w:jc w:val="left"/>
            </w:pPr>
            <w:r>
              <w:t xml:space="preserve">~8%</w:t>
            </w:r>
          </w:p>
        </w:tc>
        <w:tc>
          <w:tcPr/>
          <w:p>
            <w:pPr>
              <w:pStyle w:val="Compact"/>
              <w:jc w:val="left"/>
            </w:pPr>
            <w:r>
              <w:t xml:space="preserve">漏洞修补（step-up basis等），财富代际转移加重征税，垂直流动性降低时代的对冲机制</w:t>
            </w:r>
          </w:p>
        </w:tc>
      </w:tr>
      <w:tr>
        <w:tc>
          <w:tcPr/>
          <w:p>
            <w:pPr>
              <w:pStyle w:val="Compact"/>
              <w:jc w:val="left"/>
            </w:pPr>
            <w:r>
              <w:t xml:space="preserve">其他（消费税、关税等）</w:t>
            </w:r>
          </w:p>
        </w:tc>
        <w:tc>
          <w:tcPr/>
          <w:p>
            <w:pPr>
              <w:pStyle w:val="Compact"/>
              <w:jc w:val="left"/>
            </w:pPr>
            <w:r>
              <w:t xml:space="preserve">~0%</w:t>
            </w:r>
          </w:p>
        </w:tc>
        <w:tc>
          <w:tcPr/>
          <w:p>
            <w:pPr>
              <w:pStyle w:val="Compact"/>
              <w:jc w:val="left"/>
            </w:pPr>
            <w:r>
              <w:t xml:space="preserve">~7%</w:t>
            </w:r>
          </w:p>
        </w:tc>
        <w:tc>
          <w:tcPr/>
          <w:p>
            <w:pPr>
              <w:pStyle w:val="Compact"/>
              <w:jc w:val="left"/>
            </w:pPr>
            <w:r>
              <w:t xml:space="preserve">小幅扩大，碳税退出后消费税补位</w:t>
            </w:r>
          </w:p>
        </w:tc>
      </w:tr>
    </w:tbl>
    <w:p>
      <w:pPr>
        <w:pStyle w:val="BodyText"/>
      </w:pPr>
      <w:r>
        <w:rPr>
          <w:bCs/>
          <w:b/>
        </w:rPr>
        <w:t xml:space="preserve">联邦-州分权结构。</w:t>
      </w:r>
      <w:r>
        <w:t xml:space="preserve">联邦税负责全国性再分配和公共品（国防、基础研究、最低保障、跨州基础设施），州税负责本地公共服务，在联邦基准之上差异化竞争。联邦不设销售税，保留给州的财政空间。联邦底线（最低保障+K12基准）消除极端贫困，使人口流动更接近真正的偏好表达而非逃难，强化制度竞争的质量。AI时代吸引人才和企业的因素从「低税少管」转向「AI基础设施质量、人才生态、生活质量、制度可信度」。</w:t>
      </w:r>
    </w:p>
    <w:p>
      <w:pPr>
        <w:pStyle w:val="BodyText"/>
      </w:pPr>
      <w:r>
        <w:rPr>
          <w:bCs/>
          <w:b/>
        </w:rPr>
        <w:t xml:space="preserve">民粹政治动态与资本方防守。</w:t>
      </w:r>
      <w:r>
        <w:t xml:space="preserve">AI失业压力形成广泛的再分配民粹联盟，不只是传统左翼，还包括被冲击的白领和小企业主。资本方是防守态势：在争取到投资抵免、累进税率上限、小企业豁免、渐进实施等条件后，抵抗并不激烈——聚变红利足够大，被征走一部分后剩余仍极可观，接受框架比无限对抗更理性。慈善抵免同步收紧：抵免上限（不超过应税收入20%）、基金会支出要求提高（从5%到8-10%）、透明度要求、私人控制基金会抵免比例降低，因受益者是极少数超高净值个人，资本方广泛防守联盟无法形成。</w:t>
      </w:r>
    </w:p>
    <w:p>
      <w:pPr>
        <w:pStyle w:val="BodyText"/>
      </w:pPr>
      <w:r>
        <w:rPr>
          <w:bCs/>
          <w:b/>
        </w:rPr>
        <w:t xml:space="preserve">收入透明化与AI报税。</w:t>
      </w:r>
      <w:r>
        <w:t xml:space="preserve">AI财会使所有收入来源可追踪，信息不对称大幅降低。多数人选择AI免费报税，结合标准扣除、最低保障、儿童抵免，实际纳税为零甚至退税。税负主要落在少数高收入者身上——这是设计意图，税收体系的政治张力因此是「纳税的少数人」vs「领取保障的多数人」，是前聚变期政治极化的具体税收层面体现。</w:t>
      </w:r>
    </w:p>
    <w:p>
      <w:pPr>
        <w:pStyle w:val="BodyText"/>
      </w:pPr>
      <w:r>
        <w:rPr>
          <w:bCs/>
          <w:b/>
        </w:rPr>
        <w:t xml:space="preserve">前聚变期的财政时序压力。</w:t>
      </w:r>
      <w:r>
        <w:t xml:space="preserve">财政压力的演化不是三个整齐的阶段首尾相接，而是三条曲线从不同起点出发、以不同斜率同时运行、相互交叠渐进的过程。</w:t>
      </w:r>
    </w:p>
    <w:p>
      <w:pPr>
        <w:pStyle w:val="BodyText"/>
      </w:pPr>
      <w:r>
        <w:t xml:space="preserve">第一条曲线——工资税税基萎缩——从2027年AGI临界后持续贯穿整个周期直至2070年代，没有终点，只有斜率的缓和。萎缩的速度随AI替代深化而加快，2035—2053年第二、三波替代期间最为陡峭，之后随劳动市场重组趋于平缓但不逆转。这条曲线是财政压力的永久性背景噪音。</w:t>
      </w:r>
    </w:p>
    <w:p>
      <w:pPr>
        <w:pStyle w:val="BodyText"/>
      </w:pPr>
      <w:r>
        <w:t xml:space="preserve">第二条曲线——资本税体系建立——从2030年代初的早期立法尝试（专项自动化税提案、资本利得税调整讨论，前者政治叙事强但落地功能有限）开始，经过多轮政治博弈，在2040年代逐步形成可操作的税收框架，到2050年代才真正成为联邦财政的主要支柱。它与工资税萎缩曲线大量重叠：萎缩已在发生，补位曲线还在爬坡，中间的缺口靠赤字扩张填补。分配制度是在压力和妥协中逐步建立的，2072年的制度带着那个时期的政治痕迹。</w:t>
      </w:r>
    </w:p>
    <w:p>
      <w:pPr>
        <w:pStyle w:val="BodyText"/>
      </w:pPr>
      <w:r>
        <w:t xml:space="preserve">第三条曲线——聚变财政红利——从2047年工业侧最先感受能源成本下降开始渗透，到2052—2060年LCOE降至20—35美元/MWh后才明显提升企业利润率和税基，2060年后随聚变全面成熟，财政基础趋于稳定。这条曲线与前两条的交叠方式是：在资本税体系尚未成熟（2030年代末）、工资税萎缩已经开始（2027年起）的窗口期，财政依赖赤字扩张；在资本税框架成形（2040年代）但聚变红利尚未规模化之前，财政勉强平衡但脆弱；三条曲线的合力在2055—2060年前后才达到可持续的交叉点。注：2044年聚变电网上线仅是L1起点，工业端实质受益在2047—2052年，财政端感受到规模性红利要到2052年之后。</w:t>
      </w:r>
    </w:p>
    <w:p>
      <w:pPr>
        <w:pStyle w:val="BodyText"/>
      </w:pPr>
      <w:r>
        <w:rPr>
          <w:bCs/>
          <w:b/>
        </w:rPr>
        <w:t xml:space="preserve">分配结果的单向性。</w:t>
      </w:r>
      <w:r>
        <w:t xml:space="preserve">税收结构的调整（遗产税升至8%、资本利得税扩大）能够减缓财富集中的速度，但不能逆转其方向。技术利润的生成机制——AI资本替代劳动、聚变基础设施溢价——本身不受税率影响；税收能截取一部分增量，不能改变增量的来源结构。BSC生存底线之上、通用美元经济圈入口之下的分配距离，在2072年仍在持续扩大。这是财政工具的有效范围边界，不是税率设计的失误。</w:t>
      </w:r>
    </w:p>
    <w:bookmarkEnd w:id="237"/>
    <w:bookmarkStart w:id="238" w:name="联邦财政宏观框架可管理的持续赤字"/>
    <w:p>
      <w:pPr>
        <w:pStyle w:val="Heading3"/>
      </w:pPr>
      <w:r>
        <w:t xml:space="preserve">4.10.2　联邦财政宏观框架：可管理的持续赤字</w:t>
      </w:r>
    </w:p>
    <w:p>
      <w:pPr>
        <w:pStyle w:val="FirstParagraph"/>
      </w:pPr>
      <w:r>
        <w:t xml:space="preserve">AI对财政的正面效应与BSC的双重性质。在聚变红利之外，AI本身对财政具有独立的正面效应，且BSC的财政影响不能以纯福利支出计算。</w:t>
      </w:r>
    </w:p>
    <w:p>
      <w:pPr>
        <w:pStyle w:val="BodyText"/>
      </w:pPr>
      <w:r>
        <w:t xml:space="preserve">AI提升生产率带来的财政正效应沿三条路径传导：第一，AI大幅压缩知识工作成本，企业运营利润率系统性提升，企业所得税税基随之扩大——这一效应从2030年代起持续积累，到2050年代规模已不可忽视；第二，政府服务本身的AI化（税务、社保、行政审核、司法辅助）使政府行政支出系统性收缩，是财政负债侧的改善，与税收收入侧的改善同步发生；第三，AI加速了聚变工程的设计、运维与优化（见2.3节），在时序上提前了聚变红利到达财政端的节点，两者因果相连。AI对财政的净贡献是正向的，但其税收端的受益高度集中在资本所有者，与工资税税基萎缩同步发生，财富分配结构因此加剧分化——这是AI财政正效应的内在限制，不能与财政总量的改善混淆。</w:t>
      </w:r>
    </w:p>
    <w:p>
      <w:pPr>
        <w:pStyle w:val="BodyText"/>
      </w:pPr>
      <w:r>
        <w:t xml:space="preserve">BSC不能以纯福利支出计算。BSC以数以亿计的接受人口为基础，在发放端形成一个不可压缩的内需底板：合成食品、能源、基本服务等消费在BSC的物质托底下保持稳定，相关企业的销售税基受益于这个稳定性，部分财政支出以消费税的形式回流。此外，BSC接受者并非完全退出生产活动——政策性就业（4.8节）、非正式经济（4.16节）、社区服务等均有不同程度的参与，其中部分活动进入GDP统计并产生税收。因此，BSC的准确财政定性是”净财政负担”而非”全额福利支出”：发出的积分是支出，回流的消费税和间接税是部分抵扣，两者之差才是真实的财政成本。这一区分在评估BSC体系的财政可持续性时具有实质意义。</w:t>
      </w:r>
    </w:p>
    <w:p>
      <w:pPr>
        <w:pStyle w:val="BodyText"/>
      </w:pPr>
      <w:r>
        <w:t xml:space="preserve">理解州际财政演化，需要先确认联邦财政在2072年的基本狀态。当前轨迹下，即使不考虑技术突破，联邦结构性赤字在2055年前后仍將维持在GDP的7%以上，债务与GDP比率持續攀升。聚变商业化带来的生产率红利确实改善了这個前景——能源密集型生产成本驟降，企业利潤率上升，税基扩大；同时合成食品等基礎物资成本下降，BSC的实际财政成本減輕。</w:t>
      </w:r>
    </w:p>
    <w:p>
      <w:pPr>
        <w:pStyle w:val="BodyText"/>
      </w:pPr>
      <w:r>
        <w:t xml:space="preserve">但聚变红利不能消除结构性赤字。联邦财政的主要压力来自人口老齡化驱动的醫療和社保支出，这是人口问题而非效率问题，技术生产率無法直接解决。2072年更接近的描述是：联邦财政从「失控的债务螺旋」转向「可管理的持續赤字」——赤字存在但有界，转移支付的规模仍在增长，但增速低于前聚变时代，也低于內陆州的实际需求增速。</w:t>
      </w:r>
    </w:p>
    <w:p>
      <w:pPr>
        <w:pStyle w:val="BodyText"/>
      </w:pPr>
      <w:r>
        <w:t xml:space="preserve">各州争夺的不是盈余的分红，而是一个增速放缓的存量。在这個背景下，参议院的平等代表制对农业州的意义更加突出：它是阻止转移支付被削減的制度防线，不是主动扩大份额的政治工具。农业州的核心诉求从「争取更多」演化为「守住現有」，而守住的手段是在60票立法門檻上行使阻击能力。</w:t>
      </w:r>
    </w:p>
    <w:bookmarkEnd w:id="238"/>
    <w:bookmarkStart w:id="239" w:name="纵向税收结构联邦先占高增长税基"/>
    <w:p>
      <w:pPr>
        <w:pStyle w:val="Heading3"/>
      </w:pPr>
      <w:r>
        <w:t xml:space="preserve">4.10.3　纵向税收结构：联邦先占高增长税基</w:t>
      </w:r>
    </w:p>
    <w:p>
      <w:pPr>
        <w:pStyle w:val="FirstParagraph"/>
      </w:pPr>
      <w:r>
        <w:t xml:space="preserve">州际所得税竞争不是在真空中发生的，而是在联邦已率先占据最有增长性税基之后的残余空間里展開。这個纵向结构是理解州际竞争烈度的前提。</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税基层次</w:t>
            </w:r>
          </w:p>
        </w:tc>
        <w:tc>
          <w:tcPr/>
          <w:p>
            <w:pPr>
              <w:pStyle w:val="Compact"/>
              <w:jc w:val="left"/>
            </w:pPr>
            <w:r>
              <w:rPr>
                <w:bCs/>
                <w:b/>
              </w:rPr>
              <w:t xml:space="preserve">主要税種</w:t>
            </w:r>
          </w:p>
        </w:tc>
        <w:tc>
          <w:tcPr/>
          <w:p>
            <w:pPr>
              <w:pStyle w:val="Compact"/>
              <w:jc w:val="left"/>
            </w:pPr>
            <w:r>
              <w:rPr>
                <w:bCs/>
                <w:b/>
              </w:rPr>
              <w:t xml:space="preserve">2072年歸屬</w:t>
            </w:r>
          </w:p>
        </w:tc>
        <w:tc>
          <w:tcPr/>
          <w:p>
            <w:pPr>
              <w:pStyle w:val="Compact"/>
              <w:jc w:val="left"/>
            </w:pPr>
            <w:r>
              <w:rPr>
                <w:bCs/>
                <w:b/>
              </w:rPr>
              <w:t xml:space="preserve">对州的影响</w:t>
            </w:r>
          </w:p>
        </w:tc>
      </w:tr>
      <w:tr>
        <w:tc>
          <w:tcPr/>
          <w:p>
            <w:pPr>
              <w:pStyle w:val="Compact"/>
              <w:jc w:val="left"/>
            </w:pPr>
            <w:r>
              <w:t xml:space="preserve">最高增长性税基</w:t>
            </w:r>
          </w:p>
        </w:tc>
        <w:tc>
          <w:tcPr/>
          <w:p>
            <w:pPr>
              <w:pStyle w:val="Compact"/>
              <w:jc w:val="left"/>
            </w:pPr>
            <w:r>
              <w:t xml:space="preserve">AI企业利潤、资本收益</w:t>
            </w:r>
          </w:p>
        </w:tc>
        <w:tc>
          <w:tcPr/>
          <w:p>
            <w:pPr>
              <w:pStyle w:val="Compact"/>
              <w:jc w:val="left"/>
            </w:pPr>
            <w:r>
              <w:t xml:space="preserve">联邦先佔（企业所得税22%、资本收入税30%）</w:t>
            </w:r>
          </w:p>
        </w:tc>
        <w:tc>
          <w:tcPr/>
          <w:p>
            <w:pPr>
              <w:pStyle w:val="Compact"/>
              <w:jc w:val="left"/>
            </w:pPr>
            <w:r>
              <w:t xml:space="preserve">留给州的竞争空間本已萎缩</w:t>
            </w:r>
          </w:p>
        </w:tc>
      </w:tr>
      <w:tr>
        <w:tc>
          <w:tcPr/>
          <w:p>
            <w:pPr>
              <w:pStyle w:val="Compact"/>
              <w:jc w:val="left"/>
            </w:pPr>
            <w:r>
              <w:t xml:space="preserve">中等税基</w:t>
            </w:r>
          </w:p>
        </w:tc>
        <w:tc>
          <w:tcPr/>
          <w:p>
            <w:pPr>
              <w:pStyle w:val="Compact"/>
              <w:jc w:val="left"/>
            </w:pPr>
            <w:r>
              <w:t xml:space="preserve">個人劳动所得</w:t>
            </w:r>
          </w:p>
        </w:tc>
        <w:tc>
          <w:tcPr/>
          <w:p>
            <w:pPr>
              <w:pStyle w:val="Compact"/>
              <w:jc w:val="left"/>
            </w:pPr>
            <w:r>
              <w:t xml:space="preserve">州际竞争主战場，低税基州推动趋零</w:t>
            </w:r>
          </w:p>
        </w:tc>
        <w:tc>
          <w:tcPr/>
          <w:p>
            <w:pPr>
              <w:pStyle w:val="Compact"/>
              <w:jc w:val="left"/>
            </w:pPr>
            <w:r>
              <w:t xml:space="preserve">AI替代+24小时工时使此税基本身在萎缩</w:t>
            </w:r>
          </w:p>
        </w:tc>
      </w:tr>
      <w:tr>
        <w:tc>
          <w:tcPr/>
          <w:p>
            <w:pPr>
              <w:pStyle w:val="Compact"/>
              <w:jc w:val="left"/>
            </w:pPr>
            <w:r>
              <w:t xml:space="preserve">低弹性税基</w:t>
            </w:r>
          </w:p>
        </w:tc>
        <w:tc>
          <w:tcPr/>
          <w:p>
            <w:pPr>
              <w:pStyle w:val="Compact"/>
              <w:jc w:val="left"/>
            </w:pPr>
            <w:r>
              <w:t xml:space="preserve">不动产、消费</w:t>
            </w:r>
          </w:p>
        </w:tc>
        <w:tc>
          <w:tcPr/>
          <w:p>
            <w:pPr>
              <w:pStyle w:val="Compact"/>
              <w:jc w:val="left"/>
            </w:pPr>
            <w:r>
              <w:t xml:space="preserve">州的主要补充税源，不可移动、竞争压力小</w:t>
            </w:r>
          </w:p>
        </w:tc>
        <w:tc>
          <w:tcPr/>
          <w:p>
            <w:pPr>
              <w:pStyle w:val="Compact"/>
              <w:jc w:val="left"/>
            </w:pPr>
            <w:r>
              <w:t xml:space="preserve">农业州地價萎缩，城市州财产税撐住一定规模</w:t>
            </w:r>
          </w:p>
        </w:tc>
      </w:tr>
      <w:tr>
        <w:tc>
          <w:tcPr/>
          <w:p>
            <w:pPr>
              <w:pStyle w:val="Compact"/>
              <w:jc w:val="left"/>
            </w:pPr>
            <w:r>
              <w:t xml:space="preserve">政策性收入</w:t>
            </w:r>
          </w:p>
        </w:tc>
        <w:tc>
          <w:tcPr/>
          <w:p>
            <w:pPr>
              <w:pStyle w:val="Compact"/>
              <w:jc w:val="left"/>
            </w:pPr>
            <w:r>
              <w:t xml:space="preserve">联邦转移支付</w:t>
            </w:r>
          </w:p>
        </w:tc>
        <w:tc>
          <w:tcPr/>
          <w:p>
            <w:pPr>
              <w:pStyle w:val="Compact"/>
              <w:jc w:val="left"/>
            </w:pPr>
            <w:r>
              <w:t xml:space="preserve">非市場收入，由国会博弈决定</w:t>
            </w:r>
          </w:p>
        </w:tc>
        <w:tc>
          <w:tcPr/>
          <w:p>
            <w:pPr>
              <w:pStyle w:val="Compact"/>
              <w:jc w:val="left"/>
            </w:pPr>
            <w:r>
              <w:t xml:space="preserve">农业州财政收入40–50%已依赖此項</w:t>
            </w:r>
          </w:p>
        </w:tc>
      </w:tr>
    </w:tbl>
    <w:p>
      <w:pPr>
        <w:pStyle w:val="BodyText"/>
      </w:pPr>
      <w:r>
        <w:t xml:space="preserve">联邦在AI资本收入和企业利潤上大幅扩张（资本收入税佔30%、企业所得税佔22%），从税基设計上就先把增长最快的税源拿走。留给州际竞争的主战場是個人劳动所得——恰好是在AI替代和24小时工时双重压缩下增速最慢甚至絕对萎缩的税基。低税基州的所得税竞争，是在一个正在缩小的空間里的囚徒困境：不降税会流失税务登記；降税又直接減少财政收入。均衡结果是趋零，不是因为某州特别激进，而是博弈结构使然。</w:t>
      </w:r>
    </w:p>
    <w:p>
      <w:pPr>
        <w:pStyle w:val="BodyText"/>
      </w:pPr>
      <w:r>
        <w:t xml:space="preserve">高税基州（城市集群核心）的保護来自集聚溢價，而非意识形态。硅谷、纽约金融區的AI工程师和投资人，留在当地的机会成本——放弃的協作網絡、信息流动、融资渠道——遠超税率差距。这個保護有边界：可以遠端完成的工作範围随通信技术提升而扩大，边际上有更多人可以在低税州報税、在高税州工作。竞争压力持續存在，但不足以瓦解集聚的核心。高税基州的均衡是「比零高，但有外部约束的上限」，这個上限由集聚溢價的强度决定，而集聚溢價本身由产业生态的历史积累决定。</w:t>
      </w:r>
    </w:p>
    <w:bookmarkEnd w:id="239"/>
    <w:bookmarkStart w:id="240" w:name="州际竞争的演化税源竞争到人口竞争"/>
    <w:p>
      <w:pPr>
        <w:pStyle w:val="Heading3"/>
      </w:pPr>
      <w:r>
        <w:t xml:space="preserve">4.10.4　州际竞争的演化：税源竞争到人口竞争</w:t>
      </w:r>
    </w:p>
    <w:p>
      <w:pPr>
        <w:pStyle w:val="FirstParagraph"/>
      </w:pPr>
      <w:r>
        <w:t xml:space="preserve">州际财政竞争在2072年经历了从税源竞争到人口竞争的结构性转变。早期阶段（约2027—2055年）争夺的是高资本收入者的税务登记地址，AI深化后资本收入者的地理流动性远高于工资收入者，税率差距对这类人口有效。过渡期（约2044—2058年）税源竞争结果逐步固化，聚变电网沿城市集群铺设，先接入的集群优势加速累积，城市集群间的差距开始主导财政格局。后期阶段（约2055—2072年）竞争重心转向人口数量——众议院席位分配和联邦转移支付份额以人口为基础，BSC覆盖基本生存后人口流动由偏好而非生存决定，各州争夺的是愿意在此居住的人。</w:t>
      </w:r>
    </w:p>
    <w:p>
      <w:pPr>
        <w:pStyle w:val="BodyText"/>
      </w:pPr>
      <w:r>
        <w:rPr>
          <w:iCs/>
          <w:i/>
        </w:rPr>
        <w:t xml:space="preserve">州际人口竞争与4.7节人口结构分析的关系：4.7节描述AI时代人口经济逻辑的宏观断裂，本节的州际竞争是这一断裂在联邦内部财政格局上的制度性表现。</w:t>
      </w:r>
    </w:p>
    <w:bookmarkEnd w:id="240"/>
    <w:bookmarkStart w:id="241" w:name="税源竞争20272055"/>
    <w:p>
      <w:pPr>
        <w:pStyle w:val="Heading3"/>
      </w:pPr>
      <w:r>
        <w:t xml:space="preserve">4.10.5　税源竞争（2027—2055）</w:t>
      </w:r>
    </w:p>
    <w:p>
      <w:pPr>
        <w:pStyle w:val="FirstParagraph"/>
      </w:pPr>
      <w:r>
        <w:t xml:space="preserve">这個阶段各州争夺的不是普通人口，而是高资本收入人口的税务登記地址。AI深化后，资本收入者的地理流动性遠高于工资收入者——资本跟著最优的制度環境走，不需要跟著工作机会走。德州和佛羅里达今天的零所得税模式，是这個竞争在2027年后的加速延伸版本。</w:t>
      </w:r>
    </w:p>
    <w:p>
      <w:pPr>
        <w:pStyle w:val="BodyText"/>
      </w:pPr>
      <w:r>
        <w:t xml:space="preserve">竞争的真实后果不是人口的均質化分布，而是税务登記地址和实际居住地的分離。高资本收入者把税务地址迁往低税州，但工作和社交生活仍然高度依附于城市集群。这意味著高税基州流失的是税收，而非等量的經濟活力——科技生态、融资市場、知识溢出仍然集中在原地。这種分離在AI财会使所有收入可追踪的2072年依然存在，因为法律上居住地的认定有一定靈活性，且法律行为的选擇本身是合法的。</w:t>
      </w:r>
    </w:p>
    <w:p>
      <w:pPr>
        <w:pStyle w:val="BodyText"/>
      </w:pPr>
      <w:r>
        <w:t xml:space="preserve">对內陆农业州，税源竞争的结果是确定的失败：它们没有集聚溢價可以抵禦，税率降到零也無法吸引硅谷工程师的税务地址，因为没有对等的机会成本可以让人选擇留在那里。所得税趋零对它们的意义主要是「不再因税率而额外失血」，而非「因低税率而获得增长」。真正决定內陆州财政的，不是税率竞争，而是联邦转移支付的规模和农业自动化的税基残余。</w:t>
      </w:r>
    </w:p>
    <w:p>
      <w:pPr>
        <w:pStyle w:val="BodyText"/>
      </w:pPr>
      <w:r>
        <w:t xml:space="preserve">2044–2058年的聚变转型期是财政分化固化的关键窗口。聚变电网沿物流走廊和城市集群优先铺设，先接入的地區的生产率和税收优势进入自我强化的正迴路。没有接入或接入晚的地區，不只是税源竞争輸掉，連补充税源（财产税基）也因为人口和投资的持續流出而收缩。财政分化在这個阶段从漸变转为固化，但过程仍然缓慢，以设施老化和市政债务积累为主要表現形式，而非当期预算赤字。</w:t>
      </w:r>
    </w:p>
    <w:bookmarkEnd w:id="241"/>
    <w:bookmarkStart w:id="242" w:name="遗产税与资本利得税的间接调节机制"/>
    <w:p>
      <w:pPr>
        <w:pStyle w:val="Heading3"/>
      </w:pPr>
      <w:r>
        <w:t xml:space="preserve">4.10.6　遗产税与资本利得税的间接调节机制</w:t>
      </w:r>
    </w:p>
    <w:p>
      <w:pPr>
        <w:pStyle w:val="FirstParagraph"/>
      </w:pPr>
      <w:r>
        <w:t xml:space="preserve">高资本税不能形成逆周期调节——资本利得税本质上是顺周期的，繁荣期实现量大、税收多，衰退期相反，提高税率只是放大顺周期幅度，不改变方向。但遗产税与资本利得税的组合能关闭一个长期存在的制度漏洞，形成间接的泡沫抑制机制。</w:t>
      </w:r>
    </w:p>
    <w:p>
      <w:pPr>
        <w:pStyle w:val="BodyText"/>
      </w:pPr>
      <w:r>
        <w:t xml:space="preserve">传统美国税法允许”step-up basis”：继承人以死亡时市值为计税基准，历史增值在代际转移中永久免税。这个制度使超高净值持有者可以无限期持有资产、不实现收益、最终通过继承完成转移——资产价格泡沫在这条路径下可以跨代际积累而不触发任何税收约束。2072年step-up basis被取消，遗产税同步升至8%，两者组合封闭了这个出口：资产价格的历史增值最终无法通过代际转移逃逸，必须在某个时点被征税。</w:t>
      </w:r>
    </w:p>
    <w:p>
      <w:pPr>
        <w:pStyle w:val="BodyText"/>
      </w:pPr>
      <w:r>
        <w:t xml:space="preserve">这不是逆周期工具——它不会在泡沫形成时自动触发降温效果。但它改变了超高净值持有者的长期行为逻辑：既然持有到死无法免税，生前更快速部署资本比囤积等待更理性。这对资本流动速度有温和的加速效果，对长端利率有结构性下行压力（大量长期资本持续寻找配置出口）——这是4.11.4节指出的A1体系收益曲线过平倾向的税收侧原因之一。</w:t>
      </w:r>
    </w:p>
    <w:p>
      <w:pPr>
        <w:pStyle w:val="BodyText"/>
      </w:pPr>
      <w:r>
        <w:rPr>
          <w:iCs/>
          <w:i/>
        </w:rPr>
        <w:t xml:space="preserve">2072年美元购买力的锚定从单一CPI演化为三层体系：U-CPI锚定通用美元经济圈（联储主操作目标）、B-PI锚定配给篮子（财政部操作目标，通过双锚协议协调）、AI全丰度实时数据替代滞后抽样（操作工具层）。境外美元化使联储面临规模更大的不可控外生扰动，短期利率工具有效但存在非对称性，长期由市场深度自然平滑。高资本税体系下，联储货币紧缩的财政成本上升——这是双锚协议在制度设计上需要覆盖的深层背景约束。</w:t>
      </w:r>
    </w:p>
    <w:p>
      <w:pPr>
        <w:pStyle w:val="BodyText"/>
      </w:pPr>
      <w:r>
        <w:rPr>
          <w:bCs/>
          <w:b/>
        </w:rPr>
        <w:t xml:space="preserve">财政、货币、国际金融：系统的三个截面</w:t>
      </w:r>
    </w:p>
    <w:p>
      <w:pPr>
        <w:pStyle w:val="BodyText"/>
      </w:pPr>
      <w:r>
        <w:t xml:space="preserve">貨幣政策、就业结构和地方财政是同一个系统的三個截面，其內在邏輯鏈如下：</w:t>
      </w:r>
    </w:p>
    <w:p>
      <w:pPr>
        <w:pStyle w:val="BodyText"/>
      </w:pPr>
      <w:r>
        <w:t xml:space="preserve">AI替代+24小时工时使工资税税基双重萎缩，资本收入主導联邦税收。资本收入税基与资产周期高度相关，使联邦财政收入的周期波动大幅增加，衰退期财政空間在最需要的时刻最小。联准会在衰退期面臨更大的需求管理责任，升息在压制通脹的同时通过供给端成本上升反向推高BSC篮子价格，貨幣政策的效果在兩個通脹篮子之間被部分抵消。</w:t>
      </w:r>
    </w:p>
    <w:p>
      <w:pPr>
        <w:pStyle w:val="BodyText"/>
      </w:pPr>
      <w:r>
        <w:t xml:space="preserve">BSC的通脹指数化联动使财政支出有自动扩张的弹性，但增速受联邦结构性赤字的总量约束。聚变生产率红利改善了这個约束——从失控转向可管理——但没有消除它。各州争夺的转移支付蛋糕，在增速放缓但不萎缩的轨道上缓慢增长。</w:t>
      </w:r>
    </w:p>
    <w:p>
      <w:pPr>
        <w:pStyle w:val="BodyText"/>
      </w:pPr>
      <w:r>
        <w:t xml:space="preserve">在这個框架里，高税基的城市集群州财政健康，对联准会周期敏感性高（资本收入税基跟著资产周期波动）；依赖转移支付的內陆农业州财政脆弱，但对貨幣周期直接敏感性反而低（财源不走市场渠道）。农业州的财政脆弱性不在于受利率周期冲击，而在于结构性的长期相对萎缩——每次赤字压力要求联邦收缩支出，农业补貼和农村醫療补助都是首先被討论的削減对象，而阻擋削減的唯一工具是参院的阻击能力。</w:t>
      </w:r>
    </w:p>
    <w:p>
      <w:pPr>
        <w:pStyle w:val="BodyText"/>
      </w:pPr>
      <w:r>
        <w:rPr>
          <w:iCs/>
          <w:i/>
        </w:rPr>
        <w:t xml:space="preserve">2072年的州际财政格局不是一个设計的结果，而是税率竞争的非对称博弈、集聚溢價的地理分化、貨幣周期的間接传導、就业结构的工时压缩、以及联邦财政可持續性的长期约束，这五個力量在缓慢演化的制度框架里疊加的自然结果。没有哪个州是计划中的輸家，也没有哪个制度是精心设計的穩态——它是美国联邦制度在技术加速環境下的真实历史性輸出，带著博弈痕跡、路徑依赖和未解的內在矛盾。</w:t>
      </w:r>
    </w:p>
    <w:bookmarkEnd w:id="242"/>
    <w:bookmarkStart w:id="243" w:name="a2体系直达配给人口集中化与地方财政分化"/>
    <w:p>
      <w:pPr>
        <w:pStyle w:val="Heading3"/>
      </w:pPr>
      <w:r>
        <w:t xml:space="preserve">4.10.7　A2体系：直达配给、人口集中化与地方财政分化</w:t>
      </w:r>
    </w:p>
    <w:p>
      <w:pPr>
        <w:pStyle w:val="FirstParagraph"/>
      </w:pPr>
      <w:r>
        <w:rPr>
          <w:bCs/>
          <w:b/>
        </w:rPr>
        <w:t xml:space="preserve">财政机制基础。</w:t>
      </w:r>
      <w:r>
        <w:t xml:space="preserve">A2体系的配给资金来源是三条渠道的叠加，而非单一的国有利润转化。第一条是国有AI资本和能源基础设施的直接利润——这是最稳定的来源，规模随聚变商业化推进持续扩大，到2072年已成为配给体系的主要财政支柱。第二条是私营部门的常规税收（企业所得税、增值税、个人所得税），私营企业仍然贡献相当比例的GDP和税基，是配给财政不可忽略的来源。第三条是监管性利润转移——通过罚款、强制捐献、股权稀释、政策性整顿等手段，将私营部门积累的超额利润转入国家可支配范围。这第三条渠道规模不稳定、不透明，由政治判断而非经济逻辑决定，但在特定时期可以规模相当可观；它构成私营资本的隐性可变税，是A2财政体系特有的准财政工具。物资配给（而非现金）是主要分配工具——确保资源用于基本需求，减少个人坏选择破坏生活保障，但同时好的选择也少了（创业性自主选择无法用配给支持），加强阶级固化，形成日常生存依附。CBDC完全整合进配给监控体系，形成完整的行为-资源闭环。宏观上是经济计划主导的财富分配，与A1体系达到相近的物质保障效果，但自由度根本不同。</w:t>
      </w:r>
    </w:p>
    <w:p>
      <w:pPr>
        <w:pStyle w:val="BodyText"/>
      </w:pPr>
      <w:r>
        <w:rPr>
          <w:bCs/>
          <w:b/>
        </w:rPr>
        <w:t xml:space="preserve">直达个人的配给系统。</w:t>
      </w:r>
      <w:r>
        <w:t xml:space="preserve">A2财政分配最深刻的制度演化，不是配给本身，而是配给通道的重构——从”中央拨款→地方分配”变为”中央直达个人”。技术基础在2026年已基本就位：全国统一的居民数字身份（身份证+社保卡）、支付宝/微信的实名制全覆盖、京东/美团毛细血管级配送网络、全国统一电子发票系统，加上疫情期间实际运行过的数字健康码+物资配送组合。这些已证明技术可行性。</w:t>
      </w:r>
    </w:p>
    <w:p>
      <w:pPr>
        <w:pStyle w:val="BodyText"/>
      </w:pPr>
      <w:r>
        <w:t xml:space="preserve">2072年的直达配给架构是三层叠加：数字人民币为底层结算轨道，个人生物识别为账户绑定机制，品类积分为上层分配工具。国务院/发改委直接设定各品类发放标准和地区差异系数，物资通过自动化仓储+无人配送直达居民，不经过地方政府的人工调配环节。地方政府在这套系统里的角色收窄为末端监督——确认配送到位、处理异常件、维护配送基础设施——而非分配权的掌控者。</w:t>
      </w:r>
    </w:p>
    <w:p>
      <w:pPr>
        <w:pStyle w:val="BodyText"/>
      </w:pPr>
      <w:r>
        <w:t xml:space="preserve">这个演化的驱动逻辑有三层：一是消除地方截留，中央资金在历史上流经地方时存在系统性损耗，直达通道技术性地绕过这个环节；二是建立可追踪的分配数据，每一笔物资流向都在中央系统实时可见，地方官员无法通过控制分配来美化辖区数据；三是配送无人化使物理执行不再依赖地方的人力动员，技术上不再需要地方政府作为分配中介。</w:t>
      </w:r>
    </w:p>
    <w:p>
      <w:pPr>
        <w:pStyle w:val="BodyText"/>
      </w:pPr>
      <w:r>
        <w:rPr>
          <w:bCs/>
          <w:b/>
        </w:rPr>
        <w:t xml:space="preserve">技术官僚数据导向与人口集中化。</w:t>
      </w:r>
      <w:r>
        <w:t xml:space="preserve">AI和聚变的到来从根本上改变了人口在空间上的经济效率计算。农业就业比例从2026年的约25%向2072年的5%以下收缩，农村劳动力的经济理由系统性消失；聚变电网和高速物流网络沿城市集群优先铺设，乡村的能源和物流成本相对上升；人均基础设施维护成本（学校、医院、道路、电网）在稀疏人口条件下极高，一个200人的村庄维持一所学校的单位成本是20万人城市的数十倍。</w:t>
      </w:r>
    </w:p>
    <w:p>
      <w:pPr>
        <w:pStyle w:val="BodyText"/>
      </w:pPr>
      <w:r>
        <w:t xml:space="preserve">技术官僚体系有充分的计算依据推导出”最优人口分布图”——集中居住显著降低公共服务的人均成本，资源使用效率大幅提升。推进集中化的工具不是行政命令，而是系统性的正负向激励：配给额度差异化（城市区域基础配给叠加城市生活补贴，高于农村基础配给）构成持续的经济吸引力；医疗资源集中化（三级医院进城，乡镇卫生院缩编）使老龄人口在农村实际上难以获得必要医疗；撤点并校2.0使有孩子的家庭不得不随之迁移。这些工具在政治上被包装为”新型城镇化”，不以行政强制面目出现。</w:t>
      </w:r>
    </w:p>
    <w:p>
      <w:pPr>
        <w:pStyle w:val="BodyText"/>
      </w:pPr>
      <w:r>
        <w:t xml:space="preserve">这个过程有内在的非线性正反馈：当一个区域人口低于临界密度，配给网络的配送效率下降，触发配送频率降低，资源服务进一步撤出，推动更多人口流出，再次降低人口密度。一旦进入这个正反馈，不需要进一步的政策推动，自动加速至区域实质清空。2072年大量行政村实质消亡——但土地由国有农业集团承接，自动化农业设施接管耕地，不产生无人的废弃地，只是无人居住的生产用地。</w:t>
      </w:r>
    </w:p>
    <w:p>
      <w:pPr>
        <w:pStyle w:val="BodyText"/>
      </w:pPr>
      <w:r>
        <w:rPr>
          <w:bCs/>
          <w:b/>
        </w:rPr>
        <w:t xml:space="preserve">人口流动的双轨分化。</w:t>
      </w:r>
      <w:r>
        <w:t xml:space="preserve">直达配给系统使A2体系内的人口流动呈现出一个独特结构。有技能和议价能力的人——工程师、技术人员、管理者——在制度上获得了真正的地理自由：全国配给通用，不存在迁移的生存成本断裂，对任何地方都没有生存层面的依附。但制度上的可流动性与实际流动率之间存在显著落差：AI替代后真正高价值的岗位集中在极少数头部机构，竞争烈度极高；A2职场文化强调关系积累、单位归属和内部晋升通道，跨城市、跨单位的流动意味着放弃已积累的人脉资本，实际摩擦远高于制度允许的上限。结果是有技能者的流动以单向集中为主——向长三角、珠三角、京津冀等顶级节点聚集，形成永久性的技术人才集聚，但集聚一旦完成，后续的横向流动就大幅减少。</w:t>
      </w:r>
    </w:p>
    <w:p>
      <w:pPr>
        <w:pStyle w:val="BodyText"/>
      </w:pPr>
      <w:r>
        <w:t xml:space="preserve">没有议价能力的大多数人则面临相反的处境：他们在原居地的社会关系网络、非正式互助、本地知识，提供了配给之外真实的生存补充价值，而迁移意味着这些非正式资源的归零。同时，城市集群的生活成本（配给之外的租金、服务、社交成本）在他们没有额外收入来源的条件下构成实质门槛。结果是软性锁定：不是行政禁止流动，而是流动的实际成本因人而异——有能力的人流动成本极低，没能力的人流动成本极高。</w:t>
      </w:r>
    </w:p>
    <w:p>
      <w:pPr>
        <w:pStyle w:val="BodyText"/>
      </w:pPr>
      <w:r>
        <w:t xml:space="preserve">这与A1体系形成一个深刻的结构对比，但对比的核心不在于谁按收入划线、谁按技能划线——两者高度相关，不构成真正的制度性差异。真正的差异在流动的驱动逻辑：A1的BSC以积分形式兑换，各地兑换的实际价值随当地生活成本浮动，低成本地区的积分购买力更高，这使基础保障覆盖人口有了按生活成本偏好自主选择居住地的真实能力，流动的方向是多元的，不只是向高价值中心集中；A2的配给额度城市高于农村，方向性地把人口拉向城市集群，有技能者制度上无流动障碍，但岗位竞争烈度和职场文化产生实质摩擦，实际流动率低于制度允许的上限，流动仍以向核心城市集群单向集中为主，集聚后横向流动大幅减少。两套体系都产生双轨人口流动，但A1的底层逻辑是偏好驱动，A2的底层逻辑是机会驱动，制度赋予的自由度性质根本不同。</w:t>
      </w:r>
    </w:p>
    <w:p>
      <w:pPr>
        <w:pStyle w:val="BodyText"/>
      </w:pPr>
      <w:r>
        <w:rPr>
          <w:bCs/>
          <w:b/>
        </w:rPr>
        <w:t xml:space="preserve">地方财政的分化演化。</w:t>
      </w:r>
      <w:r>
        <w:t xml:space="preserve">直达配给系统剥离了地方政府的物资分配权，而全国统一的官僚体系意味着地方政府为本地争取利益并非官员的制度性驱动力——官员的晋升激励来自中央评估，而非辖区居民的偏好。这两个条件叠加，使A2的地方财政演化逻辑与A1的州际竞争根本不同。</w:t>
      </w:r>
    </w:p>
    <w:p>
      <w:pPr>
        <w:pStyle w:val="BodyText"/>
      </w:pPr>
      <w:r>
        <w:t xml:space="preserve">地方政府在2072年控制的实质资源收窄为四类：土地使用权（城镇化需要土地指标审批）、基础设施维护（道路、电网、通信的本地运维）、医疗和教育机构的日常运营（在中央标准框架内）、以及作为中央数据系统的信息采集末端（确认辖区人口、资产、生产状态）。其权力来源从”控制物资分配”演变为”控制信息准确性”。</w:t>
      </w:r>
    </w:p>
    <w:p>
      <w:pPr>
        <w:pStyle w:val="BodyText"/>
      </w:pPr>
      <w:r>
        <w:t xml:space="preserve">在这个框架下，财政贡献省和财政消费省走向高度不同的轨迹。财政贡献省（广东、上海、江苏等）：AI化工厂和高价值服务业高度集聚，企业所得税和AI资本税税基强健。直达配给系统使这些省的户籍人口不再是财政负担的主要来源，高技能人口的流入带来税基扩大而非配给压力。核心风险是高端人才向A1体系的渗漏——技术人才的地理自由同样意味着跨体系流动的可能性，制度性边界能否留住最有价值的人口是长期隐患。</w:t>
      </w:r>
    </w:p>
    <w:p>
      <w:pPr>
        <w:pStyle w:val="BodyText"/>
      </w:pPr>
      <w:r>
        <w:t xml:space="preserve">财政消费省（中西部大多数省）：AI替代消灭了大量制造业和服务业岗位，有议价能力的人口单向流出，留守人口年龄结构老化，直达配给系统覆盖基本生存但不创造税基。这些省在经济层面无力阻止人口外流（没有就业岗位），但人口基数在政治上仍然是向中央争取转移支付份额的依据——全国人大代表名额、中央转移支付公式均与人口挂钩。这产生一个矛盾：财政消费省有动机在统计层面保住人口数字，但实际人口在持续流出。这个矛盾随着AI化的推进越来越难以调和。</w:t>
      </w:r>
    </w:p>
    <w:p>
      <w:pPr>
        <w:pStyle w:val="BodyText"/>
      </w:pPr>
      <w:r>
        <w:t xml:space="preserve">制度性错位贯穿地方治理的深层：直达配给系统从技术上要求准确的人口和物资数据，但地方官员的考核体系如果仍然挂钩GDP增速和社会稳定指标，上报准确数据和上报漂亮数据之间的张力就不会消失。这是人治体系固有的冲突，不随技术精度提升而自动解决，会在两者之间持续摇摆——技术官僚层在某些时期推动数据准确性，政治压力在另一些时期反向施压，形成周期性的松紧循环。这个错位是A2财政体系在2072年尚未解决的根本性制度张力之一。</w:t>
      </w:r>
    </w:p>
    <w:p>
      <w:pPr>
        <w:pStyle w:val="BodyText"/>
      </w:pPr>
      <w:r>
        <w:rPr>
          <w:iCs/>
          <w:i/>
        </w:rPr>
        <w:t xml:space="preserve">A2财政体系的核心悖论：中央直达配给系统在技术上达到了A1无法企及的分配精度，但精度依赖数据质量，而数据质量依赖地方执行，地方执行依赖官员激励，官员激励由政治结构决定——精密的技术系统嵌套在人治的制度环境里，后者决定前者的实际有效边界。</w:t>
      </w:r>
    </w:p>
    <w:bookmarkEnd w:id="243"/>
    <w:bookmarkStart w:id="244" w:name="就业税收抵免a2的制度张力与a1的过渡性工具"/>
    <w:p>
      <w:pPr>
        <w:pStyle w:val="Heading3"/>
      </w:pPr>
      <w:r>
        <w:t xml:space="preserve">4.10.8　就业税收抵免：A2的制度张力与A1的过渡性工具</w:t>
      </w:r>
    </w:p>
    <w:p>
      <w:pPr>
        <w:pStyle w:val="FirstParagraph"/>
      </w:pPr>
      <w:r>
        <w:rPr>
          <w:bCs/>
          <w:b/>
        </w:rPr>
        <w:t xml:space="preserve">A2体系的就业税收抵免逻辑</w:t>
      </w:r>
    </w:p>
    <w:p>
      <w:pPr>
        <w:pStyle w:val="BodyText"/>
      </w:pPr>
      <w:r>
        <w:t xml:space="preserve">A2体系在AI深化过程中面临一个结构性张力：政治稳定依赖将足够多的人口维持在“有工作单位”的状态，但市场力量和自动化效率持续压缩实质性岗位数量。政治性岗位扩张（4.8.5节）是这个张力的行政侧解法，而就业税收抵免则是市场侧的补充工具——给私营和混合所有制企业提供财政激励，鼓励其在自动化能做到的情况下仍然保留或新增人工岗位。</w:t>
      </w:r>
    </w:p>
    <w:p>
      <w:pPr>
        <w:pStyle w:val="BodyText"/>
      </w:pPr>
      <w:r>
        <w:t xml:space="preserve">A2的就业税收抵免与其说是税收政策，不如说是就业补贴的另一种表达形式。其运作逻辑是：对于单位产出中人工比例超过行业基准的企业，按超额人工成本的一定比例给予企业所得税抵免或直接补贴。资金来源主要是国有AI资本利润的定向再分配，不需要经过立法博弈。设计上的关键约束是：抵免额度必须低于岗位的实际经济产出价值，否则形成对低效率的无限补贴；但又必须高于自动化替代的净收益，否则企业没有改变决策的动力。这个窗口在高度自动化的行业里越来越窄——随着AI能力扩展，满足两个条件的岗位范围持续收缩，就业税收抵免的实际覆盖面在2072年比2040年代已大幅萎缩。</w:t>
      </w:r>
    </w:p>
    <w:p>
      <w:pPr>
        <w:pStyle w:val="BodyText"/>
      </w:pPr>
      <w:r>
        <w:t xml:space="preserve">A2的就业税收抵免有一个A1没有的政治功能：它为国家“创造就业”的叙事提供了市场侧的制度背书。即使实际效果边际递减，它作为政策工具的存在本身，就是对“体制关心就业”叙事的强化。这个符号功能使它在财政上已不划算的情况下仍然在政治上被维持。</w:t>
      </w:r>
    </w:p>
    <w:p>
      <w:pPr>
        <w:pStyle w:val="BodyText"/>
      </w:pPr>
      <w:r>
        <w:rPr>
          <w:bCs/>
          <w:b/>
        </w:rPr>
        <w:t xml:space="preserve">A1体系的就业税收抵免：过渡期工具与资本税调节的双轨并存</w:t>
      </w:r>
    </w:p>
    <w:p>
      <w:pPr>
        <w:pStyle w:val="BodyText"/>
      </w:pPr>
      <w:r>
        <w:t xml:space="preserve">A1历史上有真实的就业税收抵免先例（如WOTC等定向项目），在AI替代冲击初期（2030—2042年）这类工具得到扩大。其逻辑是：在裸露期内，政治上需要向失业选民证明政府在“保护就业”，就业税收抵免提供了比失业救济更具主动性叙事的政策选项——</w:t>
      </w:r>
      <w:r>
        <w:t xml:space="preserve">“</w:t>
      </w:r>
      <w:r>
        <w:t xml:space="preserve">我们在帮企业留住你的工作</w:t>
      </w:r>
      <w:r>
        <w:t xml:space="preserve">”</w:t>
      </w:r>
      <w:r>
        <w:t xml:space="preserve">，而非“我们在给你失业救济”。</w:t>
      </w:r>
    </w:p>
    <w:p>
      <w:pPr>
        <w:pStyle w:val="BodyText"/>
      </w:pPr>
      <w:r>
        <w:t xml:space="preserve">但A1的就业税收抵免面临一个根本性的财政约束：要真正改变雇佣决策，抵免额度必须接近自动化替代节省的成本，而这个成本随AI能力提升持续增大。在AI能力快速提升的2030—2040年代，要使就业税收抵免有效，所需的财政规模会随AI效率曲线一起上升，最终超出联邦财政可持续性边界。</w:t>
      </w:r>
    </w:p>
    <w:p>
      <w:pPr>
        <w:pStyle w:val="BodyText"/>
      </w:pPr>
      <w:r>
        <w:t xml:space="preserve">A1体系在2036—2044年逐步形成了就业税收抵免与资本收入税调节并行的双轨机制：对仍保留人工岗位的企业给予抵免，同步推进企业所得税和资本利得税的扩基调整，使技术红利在税收层面得到更广泛截取。同期，民粹联盟推动了专项自动化税立法，政治叙事上具有吸引力（</w:t>
      </w:r>
      <w:r>
        <w:t xml:space="preserve">“</w:t>
      </w:r>
      <w:r>
        <w:t xml:space="preserve">让AI为失业工人付钱</w:t>
      </w:r>
      <w:r>
        <w:t xml:space="preserve">”</w:t>
      </w:r>
      <w:r>
        <w:t xml:space="preserve">），但在实操层面面临根本性困难：AI系统以软件形式嵌入工作流程，税基界定——按替代岗位数量、机器人台数还是AI调用量——在技术上难以稳健落地，企业通过重新定义岗位、外包和平台化有充分空间规避，实际税收贡献远低于立法预期。专项自动化税作为政治姿态存在，真实的财政工作由企业所得税扩基承担。2052年之后，随着BSC覆盖基本生存，就业税收抵免的政治叙事价值下降，仅保留在护理、教育、社区服务等特定行业作为定向补贴工具；资本收入税框架成为财政主支柱，专项自动化税逐步收窄直至名存实亡。</w:t>
      </w:r>
    </w:p>
    <w:p>
      <w:pPr>
        <w:pStyle w:val="BodyText"/>
      </w:pPr>
      <w:r>
        <w:rPr>
          <w:iCs/>
          <w:i/>
        </w:rPr>
        <w:t xml:space="preserve">A1与A2的就业税收抵免本质上是同一个政治需求的不同制度表达：在劳动作为生产要素的经济地位被技术系统性削弱的时代，维持“政府在保护就业”的叙事合法性。A1通过立法竞争和选举压力驱动，A2通过行政指令和财政补贴驱动。两者都面临效力随AI能力扩展而持续衰减的长期趋势，区别在于A1可以通过BSC完成政策重心的显性转移，A2在“有工作单位”的政治绑定逻辑下没有等价的退出机制。</w:t>
      </w:r>
    </w:p>
    <w:bookmarkEnd w:id="244"/>
    <w:bookmarkEnd w:id="245"/>
    <w:bookmarkStart w:id="254" w:name="货币政策a1体系"/>
    <w:p>
      <w:pPr>
        <w:pStyle w:val="Heading2"/>
      </w:pPr>
      <w:r>
        <w:t xml:space="preserve">4.11　货币政策：A1体系</w:t>
      </w:r>
    </w:p>
    <w:p>
      <w:pPr>
        <w:pStyle w:val="FirstParagraph"/>
      </w:pPr>
      <w:r>
        <w:t xml:space="preserve">财政框架描述财富如何再分配，货币政策则是在其上运作的即时调节机制。本节分析A1体系的货币政策逻辑：从CPI失效与替代锚定体系出发，经由多层货币架构、利率传导重构、双锚协议，到BSC的长期演化。A2体系的货币政策详见4.12节。</w:t>
      </w:r>
    </w:p>
    <w:bookmarkStart w:id="246" w:name="cpi失效测量基础的结构性断裂"/>
    <w:p>
      <w:pPr>
        <w:pStyle w:val="Heading3"/>
      </w:pPr>
      <w:r>
        <w:t xml:space="preserve">4.11.1　CPI失效：测量基础的结构性断裂</w:t>
      </w:r>
    </w:p>
    <w:p>
      <w:pPr>
        <w:pStyle w:val="FirstParagraph"/>
      </w:pPr>
      <w:r>
        <w:t xml:space="preserve">传统消费者价格指数（消费者价格指数（CPI））的有效性建立在两个前提上：价格通过市场交换形成，且篮子商品的成本结构相对稳定。2072年两个前提同时动摇。</w:t>
      </w:r>
    </w:p>
    <w:p>
      <w:pPr>
        <w:pStyle w:val="BodyText"/>
      </w:pPr>
      <w:r>
        <w:rPr>
          <w:bCs/>
          <w:b/>
        </w:rPr>
        <w:t xml:space="preserve">能源权重归零。</w:t>
      </w:r>
      <w:r>
        <w:t xml:space="preserve">能源在传统CPI中历史占比约8—10%，其价格波动是通胀的主要传导介质——油价上涨推高运输、生产、取暖成本，形成可追踪的价格压力扩散路径。聚变使居民电价趋近于零后，这个传导链断裂：能源价格不再波动，它成为接近固定的基础设施成本，从价格信号变为背景噪音。CPI篮子里能源权重要么实质归零，要么仅反映聚变电网的资本摊销成本——后者是工程成本，不是市场价格，性质根本不同。</w:t>
      </w:r>
    </w:p>
    <w:p>
      <w:pPr>
        <w:pStyle w:val="BodyText"/>
      </w:pPr>
      <w:r>
        <w:rPr>
          <w:bCs/>
          <w:b/>
        </w:rPr>
        <w:t xml:space="preserve">合成食品重构食品价格逻辑。</w:t>
      </w:r>
      <w:r>
        <w:t xml:space="preserve">食品在CPI中历史占比约14%，其价格主要由土地、劳动、气候决定——具有真实的供给弹性和季节性波动。2072年接受度较高的城市集群中合成蛋白质市场份额超过60%，其定价接近工业品逻辑：能源成本+生物反应器折旧+技术许可费。这个结构与农产品的价格形成机制根本不同，混在同一个”食品”权重下会抹平两种完全不同的经济信号。</w:t>
      </w:r>
    </w:p>
    <w:p>
      <w:pPr>
        <w:pStyle w:val="BodyText"/>
      </w:pPr>
      <w:r>
        <w:rPr>
          <w:bCs/>
          <w:b/>
        </w:rPr>
        <w:t xml:space="preserve">双层经济使”价格水平”本身分裂。</w:t>
      </w:r>
      <w:r>
        <w:t xml:space="preserve">更根本的问题是：基础保障覆盖人口（约65—70%）的大部分日常消费通过积分定向流动，不经过价格发现机制；通用美元经济圈的价格水平主要由剩余30—35%高收入人口的消费行为决定。单一CPI试图用一个数字描述两个已经结构性分离的价格体系，结果是两个都描述不准。联储依赖这个数字制定政策，等于在一张模糊的地图上导航。</w:t>
      </w:r>
    </w:p>
    <w:bookmarkEnd w:id="246"/>
    <w:bookmarkStart w:id="247" w:name="替代锚定体系双篮子分层指标"/>
    <w:p>
      <w:pPr>
        <w:pStyle w:val="Heading3"/>
      </w:pPr>
      <w:r>
        <w:t xml:space="preserve">4.11.2　替代锚定体系：双篮子分层指标</w:t>
      </w:r>
    </w:p>
    <w:p>
      <w:pPr>
        <w:pStyle w:val="FirstParagraph"/>
      </w:pPr>
      <w:r>
        <w:t xml:space="preserve">CPI失效的制度性回应是双篮子分层，将原本混合在一个指标里的两套价格体系拆分，分别锚定不同的政策工具。这个拆分不是学术设计，而是政策实践在反复碰壁后的实用性妥协——联储与财政部多次协调失败的直接结果。</w:t>
      </w:r>
    </w:p>
    <w:p>
      <w:pPr>
        <w:pStyle w:val="BodyText"/>
      </w:pPr>
      <w:r>
        <w:rPr>
          <w:bCs/>
          <w:b/>
        </w:rPr>
        <w:t xml:space="preserve">通用美元指数（U-CPI）。</w:t>
      </w:r>
      <w:r>
        <w:t xml:space="preserve">专门追踪第一层通用美元经济圈的价格水平，成分以资本品、高端服务、金融资产收益率、科技消费品为主，排除能源（已归零）和合成食品（工业定价）的直接权重。U-CPI是联储利率决策的主要参考锚：当U-CPI显示资本品价格上涨、资产价格泡沫迹象或高收入消费过热，联储升息；当U-CPI显示信贷萎缩、资产价格下行，联储降息。传统货币政策工具在这个篮子里的传导机制基本保留。</w:t>
      </w:r>
    </w:p>
    <w:p>
      <w:pPr>
        <w:pStyle w:val="BodyText"/>
      </w:pPr>
      <w:r>
        <w:rPr>
          <w:bCs/>
          <w:b/>
        </w:rPr>
        <w:t xml:space="preserve">BSC篮子物价指数（B-PI）。</w:t>
      </w:r>
      <w:r>
        <w:t xml:space="preserve">专门追踪配给覆盖商品的实际生产成本变动：合成食品原料价格、住房建设成本、基础医疗服务的供给侧投入。B-PI是财政部积分发放量调整的操作依据，不是联储的直接政策目标。两者通过双锚协议每季度同步——这个协议的操作指标基础正是U-CPI与B-PI的分离（详见4.11.7节双锚协议）。</w:t>
      </w:r>
    </w:p>
    <w:p>
      <w:pPr>
        <w:pStyle w:val="BodyText"/>
      </w:pPr>
      <w:r>
        <w:rPr>
          <w:bCs/>
          <w:b/>
        </w:rPr>
        <w:t xml:space="preserve">AI全丰度实时数据替代滞后统计。</w:t>
      </w:r>
      <w:r>
        <w:t xml:space="preserve">双篮子指标的计算依赖AI对交易数据的实时整合，而非传统CPI的月度抽样调查。通用美元经济圈的每一笔交易即时可见；BSC积分的使用记录以毫秒级精度更新；非正式经济通过电力消耗、物流流量等代理指标间接追踪。联储的实际操作周期从”等待月度CPI发布”变为”实时监测价格压力的早期信号”，政策响应速度的量级提升——但更快不代表更准，U-CPI的成分设计本身仍然是政治博弈的产物，数据精度的提升不能替代指标设计的合理性。</w:t>
      </w:r>
    </w:p>
    <w:bookmarkEnd w:id="247"/>
    <w:bookmarkStart w:id="248" w:name="货币政策对财政的三条传导链"/>
    <w:p>
      <w:pPr>
        <w:pStyle w:val="Heading3"/>
      </w:pPr>
      <w:r>
        <w:t xml:space="preserve">4.11.3　货币政策对财政的三条传导链</w:t>
      </w:r>
    </w:p>
    <w:p>
      <w:pPr>
        <w:pStyle w:val="FirstParagraph"/>
      </w:pPr>
      <w:r>
        <w:t xml:space="preserve">在资本收入主導税基的2072年，貨幣政策对财政的影响比今天更紧密，且方向复杂。</w:t>
      </w:r>
    </w:p>
    <w:p>
      <w:pPr>
        <w:pStyle w:val="BodyText"/>
      </w:pPr>
      <w:r>
        <w:t xml:space="preserve">第一条：利率→债务利息成本。联邦是最大借貸者，升息直接提高新发债和到期债务再融资的成本。结构性赤字使债务存量持續累积，利息成本到2055年前后预計达到联邦税收收入的近三成。升息加速利息支出的膨脹，压缩用于转移支付和公共投资的可用财政空間。这条鏈是对地方财政影响最直接的：联邦财政空間收缩，各州争夺的转移支付蛋糕增速放缓。</w:t>
      </w:r>
    </w:p>
    <w:p>
      <w:pPr>
        <w:pStyle w:val="BodyText"/>
      </w:pPr>
      <w:r>
        <w:t xml:space="preserve">第二条：利率→资产周期→资本收入税基。升息压低资产估值，资本利得的实現意願下降，企业利潤受融资成本影响，联邦主要税源随资产周期收缩。但有一个短期的反向效应：升息初期，高收入者可能加速实現资本利得以鎖定利潤，短期税收数字反而改善。AI全丰度数據的一个具体用途，是區分这個短期的税收行为信號和中长期的税基萎缩趋势，防止财政部被短期数字误導。</w:t>
      </w:r>
    </w:p>
    <w:p>
      <w:pPr>
        <w:pStyle w:val="BodyText"/>
      </w:pPr>
      <w:r>
        <w:t xml:space="preserve">第三条：通脹水平→BSC指数化支出。BSC的基准发放量由国会立法设定，但包含CPI联动的自动调整条款——類似今天社保的COLA机制，行政部門在立法授权範围內自动執行，不需要每次通脹都重新立法。通脹每上升一个百分点，BSC支出规模自动随之扩大。这使貨幣寬鬆→通脹→财政扩张形成一个正反饋迴路：寬鬆压低了利息成本（财政改善），但推高了BSC支出（财政惡化），联准会無法在不附带财政后果的情况下單獨執行貨幣目标。</w:t>
      </w:r>
    </w:p>
    <w:p>
      <w:pPr>
        <w:pStyle w:val="BodyText"/>
      </w:pPr>
      <w:r>
        <w:rPr>
          <w:iCs/>
          <w:i/>
        </w:rPr>
        <w:t xml:space="preserve">貨幣紧缩在压制通脹的同时压缩资本收入税基，进一步收窄联邦的转移支付能力；貨幣寬鬆在降低利息成本的同时觸发BSC支出扩张。兩個方向都对地方财政有間接的后果，且都通过联邦财政这個中間层传導。內陆农业州是这条传導鏈的最終被动承受者——它们的财政不依赖市場税基，而依赖政治决策的转移支付，对貨幣周期的直接敏感性反而低；但联邦财政空間的中长期收缩，是它们能获得的转移支付规模的真正天花板。</w:t>
      </w:r>
    </w:p>
    <w:bookmarkEnd w:id="248"/>
    <w:bookmarkStart w:id="249" w:name="a1体系税收结构演化与货币政策的共同重塑"/>
    <w:p>
      <w:pPr>
        <w:pStyle w:val="Heading3"/>
      </w:pPr>
      <w:r>
        <w:t xml:space="preserve">4.11.4　A1体系：税收结构演化与货币政策的共同重塑</w:t>
      </w:r>
    </w:p>
    <w:p>
      <w:pPr>
        <w:pStyle w:val="FirstParagraph"/>
      </w:pPr>
      <w:r>
        <w:t xml:space="preserve">A1体系税收结构的核心演化是：工资税税基萎缩，资本收入佔税收总量的比重从約19%升至約30%。这里需要釐清一个关键區分——上升的是资本收入在税收总量中的份额，原因是AI时代财富向资本所有者高度集中，资本收入的絕对规模扩大，而非税率向劳动收入税率靠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税種</w:t>
            </w:r>
          </w:p>
        </w:tc>
        <w:tc>
          <w:tcPr/>
          <w:p>
            <w:pPr>
              <w:pStyle w:val="Compact"/>
              <w:jc w:val="left"/>
            </w:pPr>
            <w:r>
              <w:rPr>
                <w:bCs/>
                <w:b/>
              </w:rPr>
              <w:t xml:space="preserve">今天佔比</w:t>
            </w:r>
          </w:p>
        </w:tc>
        <w:tc>
          <w:tcPr/>
          <w:p>
            <w:pPr>
              <w:pStyle w:val="Compact"/>
              <w:jc w:val="left"/>
            </w:pPr>
            <w:r>
              <w:rPr>
                <w:bCs/>
                <w:b/>
              </w:rPr>
              <w:t xml:space="preserve">2072年佔比</w:t>
            </w:r>
          </w:p>
        </w:tc>
        <w:tc>
          <w:tcPr/>
          <w:p>
            <w:pPr>
              <w:pStyle w:val="Compact"/>
              <w:jc w:val="left"/>
            </w:pPr>
            <w:r>
              <w:rPr>
                <w:bCs/>
                <w:b/>
              </w:rPr>
              <w:t xml:space="preserve">变化原因</w:t>
            </w:r>
          </w:p>
        </w:tc>
      </w:tr>
      <w:tr>
        <w:tc>
          <w:tcPr/>
          <w:p>
            <w:pPr>
              <w:pStyle w:val="Compact"/>
              <w:jc w:val="left"/>
            </w:pPr>
            <w:r>
              <w:t xml:space="preserve">個人所得税（劳动收入）</w:t>
            </w:r>
          </w:p>
        </w:tc>
        <w:tc>
          <w:tcPr/>
          <w:p>
            <w:pPr>
              <w:pStyle w:val="Compact"/>
              <w:jc w:val="left"/>
            </w:pPr>
            <w:r>
              <w:t xml:space="preserve">~35%</w:t>
            </w:r>
          </w:p>
        </w:tc>
        <w:tc>
          <w:tcPr/>
          <w:p>
            <w:pPr>
              <w:pStyle w:val="Compact"/>
              <w:jc w:val="left"/>
            </w:pPr>
            <w:r>
              <w:t xml:space="preserve">~18%</w:t>
            </w:r>
          </w:p>
        </w:tc>
        <w:tc>
          <w:tcPr/>
          <w:p>
            <w:pPr>
              <w:pStyle w:val="Compact"/>
              <w:jc w:val="left"/>
            </w:pPr>
            <w:r>
              <w:t xml:space="preserve">中位数下降，多数人納税为零，税負集中在少数高收入者</w:t>
            </w:r>
          </w:p>
        </w:tc>
      </w:tr>
      <w:tr>
        <w:tc>
          <w:tcPr/>
          <w:p>
            <w:pPr>
              <w:pStyle w:val="Compact"/>
              <w:jc w:val="left"/>
            </w:pPr>
            <w:r>
              <w:t xml:space="preserve">個人所得税（资本收入）</w:t>
            </w:r>
          </w:p>
        </w:tc>
        <w:tc>
          <w:tcPr/>
          <w:p>
            <w:pPr>
              <w:pStyle w:val="Compact"/>
              <w:jc w:val="left"/>
            </w:pPr>
            <w:r>
              <w:t xml:space="preserve">~19%</w:t>
            </w:r>
          </w:p>
        </w:tc>
        <w:tc>
          <w:tcPr/>
          <w:p>
            <w:pPr>
              <w:pStyle w:val="Compact"/>
              <w:jc w:val="left"/>
            </w:pPr>
            <w:r>
              <w:t xml:space="preserve">~30%</w:t>
            </w:r>
          </w:p>
        </w:tc>
        <w:tc>
          <w:tcPr/>
          <w:p>
            <w:pPr>
              <w:pStyle w:val="Compact"/>
              <w:jc w:val="left"/>
            </w:pPr>
            <w:r>
              <w:t xml:space="preserve">资本收入佔GDP比重上升；资本利得税佔税收总量份额扩大，非税率靠攏劳动税率</w:t>
            </w:r>
          </w:p>
        </w:tc>
      </w:tr>
      <w:tr>
        <w:tc>
          <w:tcPr/>
          <w:p>
            <w:pPr>
              <w:pStyle w:val="Compact"/>
              <w:jc w:val="left"/>
            </w:pPr>
            <w:r>
              <w:t xml:space="preserve">工资税</w:t>
            </w:r>
          </w:p>
        </w:tc>
        <w:tc>
          <w:tcPr/>
          <w:p>
            <w:pPr>
              <w:pStyle w:val="Compact"/>
              <w:jc w:val="left"/>
            </w:pPr>
            <w:r>
              <w:t xml:space="preserve">~36%</w:t>
            </w:r>
          </w:p>
        </w:tc>
        <w:tc>
          <w:tcPr/>
          <w:p>
            <w:pPr>
              <w:pStyle w:val="Compact"/>
              <w:jc w:val="left"/>
            </w:pPr>
            <w:r>
              <w:t xml:space="preserve">~15%</w:t>
            </w:r>
          </w:p>
        </w:tc>
        <w:tc>
          <w:tcPr/>
          <w:p>
            <w:pPr>
              <w:pStyle w:val="Compact"/>
              <w:jc w:val="left"/>
            </w:pPr>
            <w:r>
              <w:t xml:space="preserve">工资总额系统性下降，社保资金缺口需其他税種填补</w:t>
            </w:r>
          </w:p>
        </w:tc>
      </w:tr>
      <w:tr>
        <w:tc>
          <w:tcPr/>
          <w:p>
            <w:pPr>
              <w:pStyle w:val="Compact"/>
              <w:jc w:val="left"/>
            </w:pPr>
            <w:r>
              <w:t xml:space="preserve">企业所得税</w:t>
            </w:r>
          </w:p>
        </w:tc>
        <w:tc>
          <w:tcPr/>
          <w:p>
            <w:pPr>
              <w:pStyle w:val="Compact"/>
              <w:jc w:val="left"/>
            </w:pPr>
            <w:r>
              <w:t xml:space="preserve">~9%</w:t>
            </w:r>
          </w:p>
        </w:tc>
        <w:tc>
          <w:tcPr/>
          <w:p>
            <w:pPr>
              <w:pStyle w:val="Compact"/>
              <w:jc w:val="left"/>
            </w:pPr>
            <w:r>
              <w:t xml:space="preserve">~22%</w:t>
            </w:r>
          </w:p>
        </w:tc>
        <w:tc>
          <w:tcPr/>
          <w:p>
            <w:pPr>
              <w:pStyle w:val="Compact"/>
              <w:jc w:val="left"/>
            </w:pPr>
            <w:r>
              <w:t xml:space="preserve">企业利潤率整体上升，跨国漏洞修补，税基扩大</w:t>
            </w:r>
          </w:p>
        </w:tc>
      </w:tr>
      <w:tr>
        <w:tc>
          <w:tcPr/>
          <w:p>
            <w:pPr>
              <w:pStyle w:val="Compact"/>
              <w:jc w:val="left"/>
            </w:pPr>
            <w:r>
              <w:t xml:space="preserve">遺产税及贈与税</w:t>
            </w:r>
          </w:p>
        </w:tc>
        <w:tc>
          <w:tcPr/>
          <w:p>
            <w:pPr>
              <w:pStyle w:val="Compact"/>
              <w:jc w:val="left"/>
            </w:pPr>
            <w:r>
              <w:t xml:space="preserve">~1%</w:t>
            </w:r>
          </w:p>
        </w:tc>
        <w:tc>
          <w:tcPr/>
          <w:p>
            <w:pPr>
              <w:pStyle w:val="Compact"/>
              <w:jc w:val="left"/>
            </w:pPr>
            <w:r>
              <w:t xml:space="preserve">~8%</w:t>
            </w:r>
          </w:p>
        </w:tc>
        <w:tc>
          <w:tcPr/>
          <w:p>
            <w:pPr>
              <w:pStyle w:val="Compact"/>
              <w:jc w:val="left"/>
            </w:pPr>
            <w:r>
              <w:t xml:space="preserve">漏洞修补，财富代际转移加重征税，垂直流动性降低时代的对沖机制</w:t>
            </w:r>
          </w:p>
        </w:tc>
      </w:tr>
      <w:tr>
        <w:tc>
          <w:tcPr/>
          <w:p>
            <w:pPr>
              <w:pStyle w:val="Compact"/>
              <w:jc w:val="left"/>
            </w:pPr>
            <w:r>
              <w:t xml:space="preserve">其他（消费税、关税等）</w:t>
            </w:r>
          </w:p>
        </w:tc>
        <w:tc>
          <w:tcPr/>
          <w:p>
            <w:pPr>
              <w:pStyle w:val="Compact"/>
              <w:jc w:val="left"/>
            </w:pPr>
            <w:r>
              <w:t xml:space="preserve">~0%</w:t>
            </w:r>
          </w:p>
        </w:tc>
        <w:tc>
          <w:tcPr/>
          <w:p>
            <w:pPr>
              <w:pStyle w:val="Compact"/>
              <w:jc w:val="left"/>
            </w:pPr>
            <w:r>
              <w:t xml:space="preserve">~7%</w:t>
            </w:r>
          </w:p>
        </w:tc>
        <w:tc>
          <w:tcPr/>
          <w:p>
            <w:pPr>
              <w:pStyle w:val="Compact"/>
              <w:jc w:val="left"/>
            </w:pPr>
            <w:r>
              <w:t xml:space="preserve">小幅扩大，碳税退出后消费税补位</w:t>
            </w:r>
          </w:p>
        </w:tc>
      </w:tr>
    </w:tbl>
    <w:p>
      <w:pPr>
        <w:pStyle w:val="BodyText"/>
      </w:pPr>
      <w:r>
        <w:t xml:space="preserve">这個结构转移对联准会有一条直接的传導鏈：财政收入的资产价格弹性系统性增大。工资收入相对稳定，资产价格劇烈波动；税收主要来自资本收入后，联邦财政收入开始跟著资产周期起伏。衰退期资产价格下跌，税收暴跌，财政同时面臨收入萎缩和支出扩大（BSC、失业补貼），财政自动稳定器的反周期功能弱化。这迫使联准会在衰退期承担更多需求管理责任，因为财政端的空間在最需要的时刻最小。</w:t>
      </w:r>
    </w:p>
    <w:p>
      <w:pPr>
        <w:pStyle w:val="BodyText"/>
      </w:pPr>
      <w:r>
        <w:t xml:space="preserve">遺产税加重（从1%升至8%）則制造了另一条传導鏈：超高淨值群体倾向于在生前更快速部署资本而非持有現金等待传承，大量长期资本持續尋找配置出口，对长端利率形成结构性下行压力。2072年A1体系长期面臨收益曲线过平的倾向，这限制了联准会用长短端利差作为政策信號工具的有效性。</w:t>
      </w:r>
    </w:p>
    <w:p>
      <w:pPr>
        <w:pStyle w:val="BodyText"/>
      </w:pPr>
      <w:r>
        <w:t xml:space="preserve">还有一个周期性干擾：资本利得税立法周期附近，大型资产持有者对「何时实現收益」的时机选擇高度敏感——预期税率上升时推遲实現，制造流动性萎缩；税率确定后集中实現，制造流动性湧入。AI全丰度数據在这里有具体用途：追踪资本实現行为的时序模式，在立法周期附近识別税收驱动的流动性噪音，使联准会能过濾这部分信號，避免把税收规避行为误读为景氣周期信號。</w:t>
      </w:r>
    </w:p>
    <w:bookmarkEnd w:id="249"/>
    <w:bookmarkStart w:id="250" w:name="多层货币架构设计逻辑与现实摩擦"/>
    <w:p>
      <w:pPr>
        <w:pStyle w:val="Heading3"/>
      </w:pPr>
      <w:r>
        <w:t xml:space="preserve">4.11.5　多层货币架构：设计逻辑与现实摩擦</w:t>
      </w:r>
    </w:p>
    <w:p>
      <w:pPr>
        <w:pStyle w:val="FirstParagraph"/>
      </w:pPr>
      <w:r>
        <w:t xml:space="preserve">A1体系的分配机制在前聚变政治博弈中演化为一套多层貨幣架構，而非A2式的实物配给。选擇現金而非物资，是制度路徑依赖加政治可行性的结果——美国从未有大规模实物配给的行政基礎设施，且「政府替你决定買什麼」在政治上不可通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层級</w:t>
            </w:r>
          </w:p>
        </w:tc>
        <w:tc>
          <w:tcPr/>
          <w:p>
            <w:pPr>
              <w:pStyle w:val="Compact"/>
              <w:jc w:val="left"/>
            </w:pPr>
            <w:r>
              <w:rPr>
                <w:bCs/>
                <w:b/>
              </w:rPr>
              <w:t xml:space="preserve">名称</w:t>
            </w:r>
          </w:p>
        </w:tc>
        <w:tc>
          <w:tcPr/>
          <w:p>
            <w:pPr>
              <w:pStyle w:val="Compact"/>
              <w:jc w:val="left"/>
            </w:pPr>
            <w:r>
              <w:rPr>
                <w:bCs/>
                <w:b/>
              </w:rPr>
              <w:t xml:space="preserve">使用範围</w:t>
            </w:r>
          </w:p>
        </w:tc>
        <w:tc>
          <w:tcPr/>
          <w:p>
            <w:pPr>
              <w:pStyle w:val="Compact"/>
              <w:jc w:val="left"/>
            </w:pPr>
            <w:r>
              <w:rPr>
                <w:bCs/>
                <w:b/>
              </w:rPr>
              <w:t xml:space="preserve">特性</w:t>
            </w:r>
          </w:p>
        </w:tc>
      </w:tr>
      <w:tr>
        <w:tc>
          <w:tcPr/>
          <w:p>
            <w:pPr>
              <w:pStyle w:val="Compact"/>
              <w:jc w:val="left"/>
            </w:pPr>
            <w:r>
              <w:t xml:space="preserve">第一层</w:t>
            </w:r>
          </w:p>
        </w:tc>
        <w:tc>
          <w:tcPr/>
          <w:p>
            <w:pPr>
              <w:pStyle w:val="Compact"/>
              <w:jc w:val="left"/>
            </w:pPr>
            <w:r>
              <w:t xml:space="preserve">通用美元</w:t>
            </w:r>
          </w:p>
        </w:tc>
        <w:tc>
          <w:tcPr/>
          <w:p>
            <w:pPr>
              <w:pStyle w:val="Compact"/>
              <w:jc w:val="left"/>
            </w:pPr>
            <w:r>
              <w:t xml:space="preserve">無限制</w:t>
            </w:r>
          </w:p>
        </w:tc>
        <w:tc>
          <w:tcPr/>
          <w:p>
            <w:pPr>
              <w:pStyle w:val="Compact"/>
              <w:jc w:val="left"/>
            </w:pPr>
            <w:r>
              <w:t xml:space="preserve">含数字形式；利率政策主要作用于此层；主要持有者为AI资本受益者（約15–20%人口）</w:t>
            </w:r>
          </w:p>
        </w:tc>
      </w:tr>
      <w:tr>
        <w:tc>
          <w:tcPr/>
          <w:p>
            <w:pPr>
              <w:pStyle w:val="Compact"/>
              <w:jc w:val="left"/>
            </w:pPr>
            <w:r>
              <w:t xml:space="preserve">第二层</w:t>
            </w:r>
          </w:p>
        </w:tc>
        <w:tc>
          <w:tcPr/>
          <w:p>
            <w:pPr>
              <w:pStyle w:val="Compact"/>
              <w:jc w:val="left"/>
            </w:pPr>
            <w:r>
              <w:t xml:space="preserve">基礎保障积分（BSC）</w:t>
            </w:r>
          </w:p>
        </w:tc>
        <w:tc>
          <w:tcPr/>
          <w:p>
            <w:pPr>
              <w:pStyle w:val="Compact"/>
              <w:jc w:val="left"/>
            </w:pPr>
            <w:r>
              <w:t xml:space="preserve">食品、基礎醫療、交通、住房、教育</w:t>
            </w:r>
          </w:p>
        </w:tc>
        <w:tc>
          <w:tcPr/>
          <w:p>
            <w:pPr>
              <w:pStyle w:val="Compact"/>
              <w:jc w:val="left"/>
            </w:pPr>
            <w:r>
              <w:t xml:space="preserve">与生物识別强綁定；带衰減函数（超90天未用每周缩減1%）；不可套現为通用美元</w:t>
            </w:r>
          </w:p>
        </w:tc>
      </w:tr>
      <w:tr>
        <w:tc>
          <w:tcPr/>
          <w:p>
            <w:pPr>
              <w:pStyle w:val="Compact"/>
              <w:jc w:val="left"/>
            </w:pPr>
            <w:r>
              <w:t xml:space="preserve">第三层</w:t>
            </w:r>
          </w:p>
        </w:tc>
        <w:tc>
          <w:tcPr/>
          <w:p>
            <w:pPr>
              <w:pStyle w:val="Compact"/>
              <w:jc w:val="left"/>
            </w:pPr>
            <w:r>
              <w:t xml:space="preserve">特殊目的积分</w:t>
            </w:r>
          </w:p>
        </w:tc>
        <w:tc>
          <w:tcPr/>
          <w:p>
            <w:pPr>
              <w:pStyle w:val="Compact"/>
              <w:jc w:val="left"/>
            </w:pPr>
            <w:r>
              <w:t xml:space="preserve">教育、健康、兒童等子品類</w:t>
            </w:r>
          </w:p>
        </w:tc>
        <w:tc>
          <w:tcPr/>
          <w:p>
            <w:pPr>
              <w:pStyle w:val="Compact"/>
              <w:jc w:val="left"/>
            </w:pPr>
            <w:r>
              <w:t xml:space="preserve">联邦政策工具的精确執行通道；品類由立法决定，只增不減是政治动态的自然结果</w:t>
            </w:r>
          </w:p>
        </w:tc>
      </w:tr>
      <w:tr>
        <w:tc>
          <w:tcPr/>
          <w:p>
            <w:pPr>
              <w:pStyle w:val="Compact"/>
              <w:jc w:val="left"/>
            </w:pPr>
            <w:r>
              <w:t xml:space="preserve">第四层</w:t>
            </w:r>
          </w:p>
        </w:tc>
        <w:tc>
          <w:tcPr/>
          <w:p>
            <w:pPr>
              <w:pStyle w:val="Compact"/>
              <w:jc w:val="left"/>
            </w:pPr>
            <w:r>
              <w:t xml:space="preserve">社區互换憑证</w:t>
            </w:r>
          </w:p>
        </w:tc>
        <w:tc>
          <w:tcPr/>
          <w:p>
            <w:pPr>
              <w:pStyle w:val="Compact"/>
              <w:jc w:val="left"/>
            </w:pPr>
            <w:r>
              <w:t xml:space="preserve">本地社區內流通</w:t>
            </w:r>
          </w:p>
        </w:tc>
        <w:tc>
          <w:tcPr/>
          <w:p>
            <w:pPr>
              <w:pStyle w:val="Compact"/>
              <w:jc w:val="left"/>
            </w:pPr>
            <w:r>
              <w:t xml:space="preserve">非官方但被默許；灰色市場的制度化边界；联邦不发行、不承认、不打压</w:t>
            </w:r>
          </w:p>
        </w:tc>
      </w:tr>
    </w:tbl>
    <w:p>
      <w:pPr>
        <w:pStyle w:val="BodyText"/>
      </w:pPr>
      <w:r>
        <w:t xml:space="preserve">基本支持积分（BSC）的技术设計迴避了最难通过的立法障礙。「不可转让、不可儲存」不作为法律禁令表述，而是通过技术架構实現：积分与個人生物识別强綁定，转让在使用環节因身份驗证而失效；衰減函数替代禁令，使囤积在經濟上没有意义，無需立法语言。</w:t>
      </w:r>
    </w:p>
    <w:p>
      <w:pPr>
        <w:pStyle w:val="BodyText"/>
      </w:pPr>
      <w:r>
        <w:t xml:space="preserve">然而设計意圖与現实之間有真实的摩擦。灰色市場和易貨是预期中的存在，不是设計失败：「幫你带兩周食品积分换你修Muule」在大规模管控上成本遠高于容忍。积分的易貨主要是积分换积分或积分换小额服务，完全現金化套現的渠道有限，宏觀影响可控——系统的设計目标不是消滅滲漏，而是把滲漏维持在不影响宏觀统計有效性的规模範围內。AI对非正式市場规模的监测因此是貨幣政策数據基礎的一部分。</w:t>
      </w:r>
    </w:p>
    <w:bookmarkEnd w:id="250"/>
    <w:bookmarkStart w:id="251" w:name="利率政策在多层架构中的传导重构"/>
    <w:p>
      <w:pPr>
        <w:pStyle w:val="Heading3"/>
      </w:pPr>
      <w:r>
        <w:t xml:space="preserve">4.11.6　利率政策在多层架构中的传导重构</w:t>
      </w:r>
    </w:p>
    <w:p>
      <w:pPr>
        <w:pStyle w:val="FirstParagraph"/>
      </w:pPr>
      <w:r>
        <w:t xml:space="preserve">一个常見的误判是：BSC人口对利率「完全不敏感」。这混淆了传導机制的差異与传導效果的消失。正确的表述是：利率对BSC篮子的传導鏈更长、更复杂，且包含一条方向相反的路徑。</w:t>
      </w:r>
    </w:p>
    <w:p>
      <w:pPr>
        <w:pStyle w:val="BodyText"/>
      </w:pPr>
      <w:r>
        <w:t xml:space="preserve">基础保障覆盖者雖然不借貸，但他们消费的品類的供给側都有融资需求。食品生产商、建築商、小型服务业者借貸運營，利率上升提高这些供给側的资金成本。传導鏈是：利率上升→供给側成本上升→供给萎缩→BSC篮子漲價。这与传统的「利率→需求压缩→物價回落」方向相反：同一次升息，对需求端有抑制作用，对供给端有压缩作用，谁更强取决于具体品類和周期位置。</w:t>
      </w:r>
    </w:p>
    <w:p>
      <w:pPr>
        <w:pStyle w:val="BodyText"/>
      </w:pPr>
      <w:r>
        <w:t xml:space="preserve">住房是这条反向传導最突出的品類。基础保障覆盖者中相当大比例是租戶；升息压缩新建住宅供给，租金在短期內不降反升。住房成本是BSC篮子的最大單項，而住房恰恰是利率传導最直接的品類——联准会升息在BSC人口的实际生活成本上可能在短期內是加劇效果。这在选举政治上高度敏感，联准会面臨持續的压力去解釋升息「不傷害底层」，而技术上这個解釋在住房传導面前是困难的。</w:t>
      </w:r>
    </w:p>
    <w:p>
      <w:pPr>
        <w:pStyle w:val="BodyText"/>
      </w:pPr>
      <w:r>
        <w:t xml:space="preserve">灰色市場受利率影响的方式是机会成本邏輯。利率上升使持有現金的机会成本上升，人们倾向于更快支出而非持有，对易貨網絡有間接的溫和抑制——因为易貨的存在部分是对「類貨幣没有利息但有衰減」的对沖，利率上升使通用美元的相对吸引力上升。效应是真实的，量級遠小于对第一层的直接影响。</w:t>
      </w:r>
    </w:p>
    <w:p>
      <w:pPr>
        <w:pStyle w:val="BodyText"/>
      </w:pPr>
      <w:r>
        <w:rPr>
          <w:iCs/>
          <w:i/>
        </w:rPr>
        <w:t xml:space="preserve">單一利率工具面对兩個背離的通脹篮子只能加权妥協。2072年联准会的核心结构性矛盾不是数據不夠精細，而是政策工具的粗粒度与經濟現实的高度分化之間永久性的不匹配。</w:t>
      </w:r>
    </w:p>
    <w:bookmarkEnd w:id="251"/>
    <w:bookmarkStart w:id="252" w:name="双锚协议财政货币协调的制度性解决"/>
    <w:p>
      <w:pPr>
        <w:pStyle w:val="Heading3"/>
      </w:pPr>
      <w:r>
        <w:t xml:space="preserve">4.11.7　双锚协议：财政—货币协调的制度性解决</w:t>
      </w:r>
    </w:p>
    <w:p>
      <w:pPr>
        <w:pStyle w:val="FirstParagraph"/>
      </w:pPr>
      <w:r>
        <w:t xml:space="preserve">上述矛盾的制度性回应是「双錨協议」——不是立法确立的，是多輪危机后的机構慣例：联准会以第一层通用美元篮子（U-CPI，涵蓋传统金融资产、高端消费、投资品）为利率决策錨点，财政部以第二层BSC篮子物價指数（B-PI，涵蓋配给覆蓋商品的生产成本）为积分发放量调整錨点，兩個机構各管一个通脹，每季度协调会议同步数據。U-CPI与B-PI的分层设計是協议的操作指标基礎，其形成背景見4.3节。</w:t>
      </w:r>
    </w:p>
    <w:p>
      <w:pPr>
        <w:pStyle w:val="BodyText"/>
      </w:pPr>
      <w:r>
        <w:t xml:space="preserve">BSC积分剩余率是協议中最重要的先行指标。全国月均BSC剩余率从18%下降至8%，意味著基礎需求压力已超过发放量，通脹在兩到三個月后必然出現在BSC篮子。财政部可以在通脹显現之前六到八周调整发放量，不等待CPI数據发布后才反应——这是AI全丰度数據把政策操作从「事后反应」推向「事前干预」的具体形态。</w:t>
      </w:r>
    </w:p>
    <w:p>
      <w:pPr>
        <w:pStyle w:val="BodyText"/>
      </w:pPr>
      <w:r>
        <w:t xml:space="preserve">双錨協议的核心脆弱性：联准会的利率决策獨立自主，财政部的BSC发放量在国会審批。国会立法周期与宏觀周期的错配是两套工具协调效率的真正制約——精密的实时监测能力和粗粒度的政治决策节奏之間的张力，在政治分裂时期可能让協议失效。2072年A1貨幣政策的最大系统性風险不是技术失靈，而是这条制度性裂縫。</w:t>
      </w:r>
    </w:p>
    <w:bookmarkEnd w:id="252"/>
    <w:bookmarkStart w:id="253" w:name="bsc的自我膨胀逻辑与长期演化"/>
    <w:p>
      <w:pPr>
        <w:pStyle w:val="Heading3"/>
      </w:pPr>
      <w:r>
        <w:t xml:space="preserve">4.11.8　BSC的自我膨胀逻辑与长期演化</w:t>
      </w:r>
    </w:p>
    <w:p>
      <w:pPr>
        <w:pStyle w:val="FirstParagraph"/>
      </w:pPr>
      <w:r>
        <w:t xml:space="preserve">BSC架構有三個设計层面的副作用，值得被当作系统的內在张力而非臨时的实施问题。</w:t>
      </w:r>
    </w:p>
    <w:p>
      <w:pPr>
        <w:pStyle w:val="BodyText"/>
      </w:pPr>
      <w:r>
        <w:t xml:space="preserve">第一是市場信號削弱。当大量需求通过行政指定的积分渠道流动，供给側对真实偏好的感知能力下降——生产者看到的是「积分兌换量」，不是「願意用自由资金支付的需求强度」。长期制造供给与真实偏好之間的錯位。</w:t>
      </w:r>
    </w:p>
    <w:p>
      <w:pPr>
        <w:pStyle w:val="BodyText"/>
      </w:pPr>
      <w:r>
        <w:t xml:space="preserve">第二是管理成本的單向膨脹。设計新积分品類的政治成本接近于零（「只需要增加一个兒童教育积分」），廢除現有品類的政治成本極高（既有受益者立刻动員反对）。系统在政治动态下只能單向扩张，即使AI行政系统使管理成本大幅降低，膨脹的政治动力也不因此消失。</w:t>
      </w:r>
    </w:p>
    <w:p>
      <w:pPr>
        <w:pStyle w:val="BodyText"/>
      </w:pPr>
      <w:r>
        <w:t xml:space="preserve">第三是個人自由收窄。积分指定用途本質上是政府代替個人判斷需求结构。行政认定的需求框架永遠滯后于個体的真实需求分布，这不是设計失误，是此類架構的结构性缺陷。它制造了一種低度的、难以名狀的不自由感——太小了说不清楚，太持續了让人鈍化。</w:t>
      </w:r>
    </w:p>
    <w:p>
      <w:pPr>
        <w:pStyle w:val="BodyText"/>
      </w:pPr>
      <w:r>
        <w:t xml:space="preserve">在完全就业前景下，BSC的演化有三条并行路径。市场压力路径：如果劳动力真正稀缺，薪酬竞争使通用美元的相对吸引力持续上升，积分的边际价值下降，政治上”直接给现金”的压力增大，部分积分品类被逐步现金化。技术巩固路径：AI行政系统使管理成本降至可接受水平，反对者失去最有力的效率论据，体系精简但不瓦解——合并品类、部分下放社区决定品类构成。意识形态重组路径：多态社会的整体趋势与此最为契合——联邦保留食品、基础医疗两个真正有外部性的核心品类，其余积分额度的品类构成下放给州或社区自行决定，把”政府知道你需要什么”的逻辑转化为”社区知道自己需要什么”，同时保留联邦的基本生存保障功能。</w:t>
      </w:r>
    </w:p>
    <w:p>
      <w:pPr>
        <w:pStyle w:val="BodyText"/>
      </w:pPr>
      <w:r>
        <w:t xml:space="preserve">BSC的三条演化路径都以某种方式调整了保障的形式，但没有一条改变保障的制度性质：BSC是生存工具，不是流动工具。它消除了最基本的物质匮乏，但不能提供进入稀缺市场岗位所需要的能力积累、网络资本或运气成分——制度保底不等于制度升梯。</w:t>
      </w:r>
    </w:p>
    <w:p>
      <w:pPr>
        <w:pStyle w:val="BodyText"/>
      </w:pPr>
      <w:r>
        <w:rPr>
          <w:iCs/>
          <w:i/>
        </w:rPr>
        <w:t xml:space="preserve">2072年的A1均衡狀态不是某条路徑的單獨勝出，而是三条路徑的疊加：联邦层面保留精簡后的BSC核心，行政AI化压低管理成本，部分品類下放社區，劳动力市場的薪酬竞争形成自然分层。选擇更多工作的人积累通用美元，选擇退出市場的人主要依赖BSC。兩種生活方式都可持續，物質条件差距真实存在。</w:t>
      </w:r>
    </w:p>
    <w:bookmarkEnd w:id="253"/>
    <w:bookmarkEnd w:id="254"/>
    <w:bookmarkStart w:id="262" w:name="货币政策a2体系"/>
    <w:p>
      <w:pPr>
        <w:pStyle w:val="Heading2"/>
      </w:pPr>
      <w:r>
        <w:t xml:space="preserve">4.12　货币政策：A2体系</w:t>
      </w:r>
    </w:p>
    <w:p>
      <w:pPr>
        <w:pStyle w:val="FirstParagraph"/>
      </w:pPr>
      <w:r>
        <w:t xml:space="preserve">A2体系的货币政策在数据覆盖上拥有A1无法匹配的优势，但感知能力的提升并不自动转化为政策效力的提升——政治结构决定了能力能否被有效使用。A1和A2在货币政策上面临镜像困境：A1的问题是资本独立使监测不完整，A2的问题是政治目标使信号不可信。两套体系都在2072年比今天更精确地运作货币政策，但各自的制度性根本缺陷没有被解决，只是被更精密的工具包裹。</w:t>
      </w:r>
    </w:p>
    <w:bookmarkStart w:id="255" w:name="测量基础全丰度数据的优势与政治性失真"/>
    <w:p>
      <w:pPr>
        <w:pStyle w:val="Heading3"/>
      </w:pPr>
      <w:r>
        <w:t xml:space="preserve">4.12.1　测量基础：全丰度数据的优势与政治性失真</w:t>
      </w:r>
    </w:p>
    <w:p>
      <w:pPr>
        <w:pStyle w:val="FirstParagraph"/>
      </w:pPr>
      <w:r>
        <w:t xml:space="preserve">A2央行在数据覆盖上拥有A1无法匹配的优势。数字人民币完全整合进配给监控体系，每笔交易实时可见，每个家庭的库存水平、配给余额、物流动态形成连续的数据流。宏观统计的不确定性在技术上几乎消失——联准会需要等待的月度数据，在A2是即时的。这使A2央行在理论上可以实现A1完全不可能的操作：精确管控流动性流向，直接规定哪个行业获得多少信贷，哪个地区的配给额度可以转化为投资。货币政策与财政政策的边界在这里完全模糊——同时控制货币发行和物资分配，两者是同一件事的不同表述。</w:t>
      </w:r>
    </w:p>
    <w:p>
      <w:pPr>
        <w:pStyle w:val="BodyText"/>
      </w:pPr>
      <w:r>
        <w:t xml:space="preserve">然而A2面对的核心矛盾是：感知能力最强的系统，感知到的信号却最不可信。AI监测到的通胀、失业、消费信号，都通过有政治过滤的中间层传递给决策层。地方官员有强烈动机美化数据，AI系统的训练数据本身含有这层偏差。精密的AI模型在这个前提下只会更快地放大系统性失真。配给体系虽然压制了传统意义上的通胀，却制造了隐性排队通胀——某些配给品的实际可及性下降，不以价格表现，而以等待时间、关系成本表现。AI难以在不直接测量这些社会摩擦的情况下捕捉真实的资源紧张程度。更根本的问题是目标函数的隐性腐蚀：当情绪监测AI被训练成”使投诉率最小化”，它会在真实痛苦存在但未投诉时给出”稳定”的虚假信号。这不是工程问题，是优化目标的设计问题。</w:t>
      </w:r>
    </w:p>
    <w:bookmarkEnd w:id="255"/>
    <w:bookmarkStart w:id="256" w:name="双轨分配架构货币薪资与供应票据"/>
    <w:p>
      <w:pPr>
        <w:pStyle w:val="Heading3"/>
      </w:pPr>
      <w:r>
        <w:t xml:space="preserve">4.12.2　双轨分配架构：货币薪资与供应票据</w:t>
      </w:r>
    </w:p>
    <w:p>
      <w:pPr>
        <w:pStyle w:val="FirstParagraph"/>
      </w:pPr>
      <w:r>
        <w:t xml:space="preserve">A2体系的分配机制不是单一的配给制，而是两套并行运作的渠道。体制内就业人口（政府机关、事业单位、国有企业及其他体制内单位）以货币薪资为主要报酬形式，在市场上拥有相对完整的消费自主权；基础保障覆盖人口则以供应票据为主要保障形式，覆盖规定的基本品类，消费选择空间受到结构性约束。两者并非完全隔离——有工作人口同时领取部分配给，BSC人口中有相当比例通过非正式劳动获得少量货币收入——但两套渠道之间的消费自主度差异构成A2体系内部最重要的身份分层之一。</w:t>
      </w:r>
    </w:p>
    <w:p>
      <w:pPr>
        <w:pStyle w:val="BodyText"/>
      </w:pPr>
      <w:r>
        <w:t xml:space="preserve">这个分层的治理逻辑是清晰的：货币薪资覆盖体制运转所必需的群体，保障其消费能力和生活稳定性是维持体制功能的前提；供应票据覆盖规模更大但对体制运转非直接关键的人口，以可控的财政成本维持基本稳定。两套渠道的并存不只是资源约束的结果，也是激励设计的组成部分——消费能力的可见差距使进入货币薪资体系成为有实质意义的奋斗目标，为考试和选拔制度提供了物质激励基础。</w:t>
      </w:r>
    </w:p>
    <w:p>
      <w:pPr>
        <w:pStyle w:val="BodyText"/>
      </w:pPr>
      <w:r>
        <w:rPr>
          <w:bCs/>
          <w:b/>
        </w:rPr>
        <w:t xml:space="preserve">双轨之间的流动机制</w:t>
      </w:r>
    </w:p>
    <w:p>
      <w:pPr>
        <w:pStyle w:val="BodyText"/>
      </w:pPr>
      <w:r>
        <w:t xml:space="preserve">两个群体之间的流动是双向的，且在制度设计上是必要的。向上流动——BSC人口通过考试、选拔进入有工作单位的状态——为BSC群体提供真实的上升希望，防止体系固化为封闭的阶层结构。向下流动——工作人口因绩效不足、政治失误或岗位消失退回BSC状态——为体制内人员维持持续的压力，防止在职者松弛。两个方向的流动共同维持体系的动态张力。</w:t>
      </w:r>
    </w:p>
    <w:p>
      <w:pPr>
        <w:pStyle w:val="BodyText"/>
      </w:pPr>
      <w:r>
        <w:t xml:space="preserve">政治叙事在这个流动机制中扮演重要角色。少数从BSC状态通过考试进入工作体系的案例，在官方叙事中具有远超其数量的意义——这是”制度公平、努力有回报”这一合法性命题的现实证明。这类案例会被系统性呈现和放大，成为叙事素材。重要的是，这个叙事功能不需要多数人成功，只需要成功是可见的、可信的，且被归因于个人能力与努力而非关系网络。官方叙事与”关系仍然重要”的实际体验之间存在裂缝，是A2内部的慢性社会张力来源之一，但不足以动摇整体架构。</w:t>
      </w:r>
    </w:p>
    <w:bookmarkEnd w:id="256"/>
    <w:bookmarkStart w:id="257" w:name="币值锚定算法定价与政府权威的结合"/>
    <w:p>
      <w:pPr>
        <w:pStyle w:val="Heading3"/>
      </w:pPr>
      <w:r>
        <w:t xml:space="preserve">4.12.3　币值锚定：算法定价与政府权威的结合</w:t>
      </w:r>
    </w:p>
    <w:p>
      <w:pPr>
        <w:pStyle w:val="FirstParagraph"/>
      </w:pPr>
      <w:r>
        <w:t xml:space="preserve">A2人民币的币值锚定机制与A1有根本性差异。A1依赖市场价格信号——联准会观察CPI和PCE等市场形成的价格指标，据此调整利率，通过市场传导影响实体经济。这个机制的有效性依赖价格信号的真实性。A2的大量商品处于政府定价或配给之下，传统意义上的市场价格本身就不完整，依赖同样的市场信号锚定是不可行的。</w:t>
      </w:r>
    </w:p>
    <w:p>
      <w:pPr>
        <w:pStyle w:val="BodyText"/>
      </w:pPr>
      <w:r>
        <w:t xml:space="preserve">A2的替代锚定机制建立在两根支柱上。第一根是全丰度数据的实体经济锚定：全面的实时数据流使央行可以直接观测实体经济的资源利用状况——库存水平、产能利用率、物流流量、能源消耗——而不依赖价格作为中间信号。货币发行量据此调整，锚定的是”实体资源利用率”而非”价格水平”，这绕过了价格信号失真的问题。第二根是政府定价权威：对关键商品的直接定价使央行可以在必要时通过行政手段管控价格表现，将货币购买力与规定价格体系绑定。两者结合形成A2特有的锚定逻辑：数据丰度提供感知精度，定价权提供执行能力。</w:t>
      </w:r>
    </w:p>
    <w:p>
      <w:pPr>
        <w:pStyle w:val="BodyText"/>
      </w:pPr>
      <w:r>
        <w:t xml:space="preserve">这个机制比A1的市场锚定更集权，但也有内在局限。行政定价压制的是价格表现，不是实际的资源稀缺；隐性通胀（排队、等待、关系成本）在这个锚定框架下不可见，也不被纳入调控目标。算法精度的提升可以部分捕捉这些隐性压力，但优化目标的设计问题（4.12.1节所述）使这个捕捉能力存在系统性上限。</w:t>
      </w:r>
    </w:p>
    <w:bookmarkEnd w:id="257"/>
    <w:bookmarkStart w:id="258" w:name="货币政策传导定向信贷与市场渠道的并存"/>
    <w:p>
      <w:pPr>
        <w:pStyle w:val="Heading3"/>
      </w:pPr>
      <w:r>
        <w:t xml:space="preserve">4.12.4　货币政策传导：定向信贷与市场渠道的并存</w:t>
      </w:r>
    </w:p>
    <w:p>
      <w:pPr>
        <w:pStyle w:val="FirstParagraph"/>
      </w:pPr>
      <w:r>
        <w:t xml:space="preserve">A2货币政策面对的经济体是国有主导与私营竞争并存的混合结构。对国有部门，央行通过窗口指导和差别准备金率直接规定信贷额度和利率，定向性极强；对私营部门，市场利率渠道仍然发挥作用，但受到行政约束的压制。</w:t>
      </w:r>
    </w:p>
    <w:p>
      <w:pPr>
        <w:pStyle w:val="BodyText"/>
      </w:pPr>
      <w:r>
        <w:t xml:space="preserve">私营部门的信贷传导有一条独特的扰动渠道：监管性利润转移（罚没、强制捐献、行业整顿）发生时，相关企业的信贷需求骤变，行业信贷风险在短期内急剧上升。这类冲击不由经济周期产生，不响应常规货币政策工具，只能靠定向流动性注入或窗口指导化解。更根本的是，监管性收割的不确定性系统性压低了私营资本的长期投资意愿——当利润积累到一定规模面临被转移的风险，私营资本的最优策略是加快套现、缩短回报周期、将资产向A1体系转移。这构成A2资本向外渗漏的持续驱动力，也是维持汇率稳定和资本管制的长期压力来源。</w:t>
      </w:r>
    </w:p>
    <w:bookmarkEnd w:id="258"/>
    <w:bookmarkStart w:id="259" w:name="财政货币边界的模糊化"/>
    <w:p>
      <w:pPr>
        <w:pStyle w:val="Heading3"/>
      </w:pPr>
      <w:r>
        <w:t xml:space="preserve">4.12.5　财政—货币边界的模糊化</w:t>
      </w:r>
    </w:p>
    <w:p>
      <w:pPr>
        <w:pStyle w:val="FirstParagraph"/>
      </w:pPr>
      <w:r>
        <w:t xml:space="preserve">A2体系中，货币政策与财政政策的边界在实践中已高度模糊。国有资本利润可以直接转化为配给扩张，不需要经过立法；央行的信贷配置决定与产业政策目标高度整合；配给票据的发行量调整既是财政决策也是货币决策。这与A1的双锚协议（4.11.7节）形成鲜明对比：A1依赖联准会与财政部之间的机构协调慣例来处理两者的边界张力；A2的”协调”发生在同一权力中心内部，不存在机构边界冲突的问题，但也因此缺乏制度性的相互制衡。</w:t>
      </w:r>
    </w:p>
    <w:p>
      <w:pPr>
        <w:pStyle w:val="BodyText"/>
      </w:pPr>
      <w:r>
        <w:t xml:space="preserve">财政—货币一体化的效率优势在短期政策响应上是真实的：A2可以在不经过立法博弈的情况下迅速调整分配规模和方向，响应速度远高于A1。代价是长期的：缺乏制衡使政策目标更容易受政治周期影响，货币纪律的维持完全依赖技术官僚体制的内部自律，没有外部制度性约束。</w:t>
      </w:r>
    </w:p>
    <w:bookmarkEnd w:id="259"/>
    <w:bookmarkStart w:id="260" w:name="数据反污染四层监察架构"/>
    <w:p>
      <w:pPr>
        <w:pStyle w:val="Heading3"/>
      </w:pPr>
      <w:r>
        <w:t xml:space="preserve">4.12.6　数据反污染：四层监察架构</w:t>
      </w:r>
    </w:p>
    <w:p>
      <w:pPr>
        <w:pStyle w:val="FirstParagraph"/>
      </w:pPr>
      <w:r>
        <w:t xml:space="preserve">A2不会容忍无限的数据污染——错误的数据导致错误的政策，最终损害技术官僚自身的执政合法性。2072年的反污染机制建立在四层相互独立的核查结构上。</w:t>
      </w:r>
    </w:p>
    <w:p>
      <w:pPr>
        <w:pStyle w:val="BodyText"/>
      </w:pPr>
      <w:r>
        <w:t xml:space="preserve">第一层是物理不可伪造的基础数据层。卫星遥感、交通移动数据、工厂热成像、深海设施传感器——这些通过加密通道直接上报中央，不经地方节点，地方无法篡改，建立可信的物理现实基线。</w:t>
      </w:r>
    </w:p>
    <w:p>
      <w:pPr>
        <w:pStyle w:val="BodyText"/>
      </w:pPr>
      <w:r>
        <w:t xml:space="preserve">第二层是多源交叉验证的自动异常标记。AI同时持有数十个测量同一现象的指标，实时计算一致性。关键设计是各子指标的收集机构故意分散在不同中央部门——交通数据属交通部，食品积分属民政部，夜间灯光属自然资源部，电力消耗属能源局。系统性造假需要同时腐蚀多个中央部门，协调成本使其在实践上极难维持。</w:t>
      </w:r>
    </w:p>
    <w:p>
      <w:pPr>
        <w:pStyle w:val="BodyText"/>
      </w:pPr>
      <w:r>
        <w:t xml:space="preserve">第三层是技术性独立的统计核查机构（国家数据核查委员会）。其独立性是技术性独立而非政治性独立——不能质疑政策，但可以质疑数据。成员由中央技术官僚层任命，任期跨越换届周期，考核指标是”数据修订次数”和”预测误差率”而非”稳定报告率”。报告只上报最高决策层，不公开发布——这是威权体制可以接受的独立性边界：服务于内部决策质量，不威脅政治合法性。</w:t>
      </w:r>
    </w:p>
    <w:p>
      <w:pPr>
        <w:pStyle w:val="BodyText"/>
      </w:pPr>
      <w:r>
        <w:t xml:space="preserve">第四层是人类数据专家的制度性嵌入。AI系统的核心缺陷是只能发现它被训练去识别的偏差类型；新型规避策略和从未在训练数据中出现过的边缘现象，AI不会标记。人类数据专家提供异质性认知——识别”这个模式本身很奇怪”，而不只是”这个模式偏离了历史基准”。在A2体系，人类数据专家嵌入采集设计、异常标记确认、定期田野核查三个关键节点，同时承担将AI异常结论转化为有人格责任的制度判断的政治功能：直接用AI结论问责地方官员在制度上不可接受，人类确认是AI异常结论的合法化中介。</w:t>
      </w:r>
    </w:p>
    <w:bookmarkEnd w:id="260"/>
    <w:bookmarkStart w:id="261" w:name="双轨分配的长期张力"/>
    <w:p>
      <w:pPr>
        <w:pStyle w:val="Heading3"/>
      </w:pPr>
      <w:r>
        <w:t xml:space="preserve">4.12.7　双轨分配的长期张力</w:t>
      </w:r>
    </w:p>
    <w:p>
      <w:pPr>
        <w:pStyle w:val="FirstParagraph"/>
      </w:pPr>
      <w:r>
        <w:t xml:space="preserve">货币薪资与供应票据的双轨结构在短期是稳定的，但在时间维度上内含若干张力，构成A2体系的慢性压力来源。</w:t>
      </w:r>
    </w:p>
    <w:p>
      <w:pPr>
        <w:pStyle w:val="BodyText"/>
      </w:pPr>
      <w:r>
        <w:t xml:space="preserve">消费自主度差距的自我强化倾向是首要张力。货币薪资人口可以在市场上积累资产、进行投资、建立跨代财富；基础保障覆盖人口缺乏这个机制，供应票据不能储存、不能投资、只能消费规定品类。时间越长，两个群体的财富存量差距越大，向上流动所需克服的起点差距也随之增大。制度设计上的流动开放性（考试、选拔）与现实中资源禀赋的不均等（备考条件、信息获取、关系网络）之间的张力会随时间积累，但在A2的叙事框架内这个张力被解读为个人努力差异而非结构性问题。</w:t>
      </w:r>
    </w:p>
    <w:p>
      <w:pPr>
        <w:pStyle w:val="BodyText"/>
      </w:pPr>
      <w:r>
        <w:t xml:space="preserve">BSC保障水平的财政约束是第二张力。A2的BSC供应票据覆盖的品类和质量，受制于国有资本的利润转移能力和财政优先级排序。当经济下行、国有资本利润萎缩、或财政优先级向其他方向倾斜时，BSC保障水平面临压缩压力。BSC人口规模庞大（占总人口相当比例），保障水平的任何可感知下降都会产生显著的社会张力，但这个群体在A2叙事中的可见度低，政治表达渠道受限，张力以隐性方式积累而非公开呈现。</w:t>
      </w:r>
    </w:p>
    <w:p>
      <w:pPr>
        <w:pStyle w:val="BodyText"/>
      </w:pPr>
      <w:r>
        <w:t xml:space="preserve">考试制度的合法性维护是第三张力。整个双轨架构的政治正当性依赖考试和选拔的公平性叙事。非正式关系网络对考试结果的实际影响与公平竞争叙事之间的裂缝，随着社会信息透明度的提升（即使在A2的管控环境内，信息也比工业时代更流通）而趋于扩大。A2的治理体制需要持续维护考试公平的可信度，这是一项真实的政治成本。</w:t>
      </w:r>
    </w:p>
    <w:p>
      <w:pPr>
        <w:pStyle w:val="BodyText"/>
      </w:pPr>
      <w:r>
        <w:rPr>
          <w:iCs/>
          <w:i/>
        </w:rPr>
        <w:t xml:space="preserve">A2体系的分配架构是高度精巧的治理设计，而非简单的压迫结构。货币激励、票据保底、流动开放、叙事管理四个要素相互咬合，在庞大人口规模下维持了基本的社会稳定。其内在张力不来自设计的失败，而来自这套设计本身无法消除的结构性矛盾：效率与公平、控制与激励、短期稳定与长期流动性之间的权衡，在任何体量的社会里都没有完美的解法。</w:t>
      </w:r>
    </w:p>
    <w:bookmarkEnd w:id="261"/>
    <w:bookmarkEnd w:id="262"/>
    <w:bookmarkStart w:id="267" w:name="国际金融体系"/>
    <w:p>
      <w:pPr>
        <w:pStyle w:val="Heading2"/>
      </w:pPr>
      <w:r>
        <w:t xml:space="preserve">4.13　国际金融体系</w:t>
      </w:r>
    </w:p>
    <w:bookmarkStart w:id="263" w:name="各类货币在2072年的格局演化"/>
    <w:p>
      <w:pPr>
        <w:pStyle w:val="Heading3"/>
      </w:pPr>
      <w:r>
        <w:t xml:space="preserve">4.13.1　各类货币在2072年的格局演化</w:t>
      </w:r>
    </w:p>
    <w:p>
      <w:pPr>
        <w:pStyle w:val="FirstParagraph"/>
      </w:pPr>
      <w:r>
        <w:t xml:space="preserve">货币需求的系统性下降是2072年货币体系演化的基本背景。货币需求由三个变量决定：交易需求（贸易减少+配给替代部分市场交换，总交易规模下降）、储值需求（配给覆盖基本生存后「需要存钱备不时之需」的动机弱化）、投机需求（市场规模萎缩，持有货币等待投资机会的需求下降）。这三个变量在2072年对所有货币都在下降，只是各类货币的承压程度不同。</w:t>
      </w:r>
    </w:p>
    <w:p>
      <w:pPr>
        <w:pStyle w:val="BodyText"/>
      </w:pPr>
      <w:r>
        <w:rPr>
          <w:bCs/>
          <w:b/>
        </w:rPr>
        <w:t xml:space="preserve">A1体系（美元）。</w:t>
      </w:r>
      <w:r>
        <w:t xml:space="preserve">美元的全球储备货币地位建立在三重基础上：石油美元（大宗商品美元计价）、美国国债（全球最深流动性资产）、SWIFT结算网络（全球支付基础设施）。聚变使石油美元瓦解，贸易减少使SWIFT处理量下降，但美元不会崩溃——美国国债仍然是全球最可信的价值储存资产，法治和产权保护使美元资产有制度性溢价。美元从「全球储备货币」退化为「A1体系内的主要结算货币+全球最可信的价值储存工具之一」，地位下降但不消失。储备规模系统性下降，功能从「贸易结算必需」变为「战略工具选择」，更多受政治关系驱动而非经济必要性驱动。</w:t>
      </w:r>
    </w:p>
    <w:p>
      <w:pPr>
        <w:pStyle w:val="BodyText"/>
      </w:pPr>
      <w:r>
        <w:rPr>
          <w:bCs/>
          <w:b/>
        </w:rPr>
        <w:t xml:space="preserve">A2体系（人民币）。</w:t>
      </w:r>
      <w:r>
        <w:t xml:space="preserve">人民币的国际化在2072年仍然受制度性障碍限制。资本项目管制与配给监控体系根本兼容——开放资本项目意味着人们可以把配给额度兑换成外部资产转移，这直接破坏配给分配逻辑。A2体系不会为国际化放弃资本管制，人民币因此只能是「A2体系内的结算货币」，不可自由兑换，无法成为真正的国际储备货币。数字人民币在A2体系内深度整合配给监控，功能极其特定，不向外延伸。</w:t>
      </w:r>
    </w:p>
    <w:p>
      <w:pPr>
        <w:pStyle w:val="BodyText"/>
      </w:pPr>
      <w:r>
        <w:rPr>
          <w:bCs/>
          <w:b/>
        </w:rPr>
        <w:t xml:space="preserve">B1类（欧元等）。</w:t>
      </w:r>
      <w:r>
        <w:t xml:space="preserve">欧元有资本项目完全开放+独立央行+法治保护产权，这些A1体系的制度条件使欧元维持真实的国际货币地位。贸易减少使欧元流通需求下降，但欧元区经济体量支撑其作为储备货币的合理性。欧元在2072年是「A1体系内的次级储备货币」，地位稳定但相对美元有限。黄金由于不依赖任何制度框架，物理稀缺性在任何条件下成立，在A1/B1类经济体里仍然是「终极避险资产」。</w:t>
      </w:r>
    </w:p>
    <w:p>
      <w:pPr>
        <w:pStyle w:val="BodyText"/>
      </w:pPr>
      <w:r>
        <w:rPr>
          <w:bCs/>
          <w:b/>
        </w:rPr>
        <w:t xml:space="preserve">D类（化石能源国货币）。</w:t>
      </w:r>
      <w:r>
        <w:t xml:space="preserve">这是货币压力最大的类型。化石能源收入崩溃使国家产出下降，主权货币的经济背书减弱；贸易需求下降使外部持有其货币用于结算的需求消失；财政压力迫使货币扩张，通胀压力上升。财政储备薄弱的化石能源出口国（委内瑞拉式路径）本币实质崩溃，转向美元化（进入A1美元区）或数字人民币化（进入A2体系）。中等规模化石能源出口国货币维持但持续贬值压力，储备货币地位完全消失。</w:t>
      </w:r>
    </w:p>
    <w:p>
      <w:pPr>
        <w:pStyle w:val="BodyText"/>
      </w:pPr>
      <w:r>
        <w:rPr>
          <w:bCs/>
          <w:b/>
        </w:rPr>
        <w:t xml:space="preserve">C类（对冲自主体货币）。</w:t>
      </w:r>
      <w:r>
        <w:t xml:space="preserve">印度卢比、土耳其里拉、沙特里亚尔等C类货币的特殊处境：维持双轨金融（同时接入A1和A2结算体系）是战略选择，代价是货币政策的复杂性和两套系统的维护成本。印度卢比体量最大，有真实的国内市场支撑，是C类里唯一有潜力维持区域储备货币地位的。C类整体形成「非对齐货币区」的雏形，在两套体系之间提供中性结算服务，B1类城邦型经济体（新加坡、阿联酋）是这个功能的最优载体。</w:t>
      </w:r>
    </w:p>
    <w:p>
      <w:pPr>
        <w:pStyle w:val="BodyText"/>
      </w:pPr>
      <w:r>
        <w:rPr>
          <w:bCs/>
          <w:b/>
        </w:rPr>
        <w:t xml:space="preserve">E类（边缘经济体货币）。</w:t>
      </w:r>
      <w:r>
        <w:t xml:space="preserve">本币实质意义极小。进入A2体系的E类国家使用数字人民币或A2指定结算货币；与A1体系有联系的E类使用美元化或货币局制度。真正的「本币」只在国内小范围流通，用于无法进入任何体系的本地交换，购买力极低。这些货币的「信用支持」来自国家强制力（纳税义务），但强制力本身因冲突和制度失能而薄弱。</w:t>
      </w:r>
    </w:p>
    <w:p>
      <w:pPr>
        <w:pStyle w:val="BodyText"/>
      </w:pPr>
      <w:r>
        <w:rPr>
          <w:bCs/>
          <w:b/>
        </w:rPr>
        <w:t xml:space="preserve">去中心化数字货币的最终位置。</w:t>
      </w:r>
      <w:r>
        <w:t xml:space="preserve">货币需求系统性下降+聚变改变挖矿成本（能源仍有价，但大幅降低）+政府控制能源分配（对挖矿大概率不友好）三个因素叠加，使比特币类资产面临根本性困难：有廉价聚变电力的地方（A1/A2核心）不允许挖矿；愿意允许挖矿的地方（监管弱的边缘经济体）没有廉价电力。这个矛盾使挖矿找不到理想的地理落脚点。同时需求基础薄弱：跨体系转移需求有限，配给体系边缘的地下经济规模受监控能力限制，算法稀缺性在需求萎缩时依赖纯粹社会共识维持——比黄金的物理稀缺性更脆弱。去中心化数字货币退缩为「制度缝隙里的意识形态工件」：持有者主要是相信去国家化价值存储理念的少数人，市值比2020年代高峰萎缩90%以上，波动极大，保值功能极弱，但不归零，因为真实需求的底线仍然存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类型</w:t>
            </w:r>
          </w:p>
        </w:tc>
        <w:tc>
          <w:tcPr/>
          <w:p>
            <w:pPr>
              <w:pStyle w:val="Compact"/>
              <w:jc w:val="left"/>
            </w:pPr>
            <w:r>
              <w:rPr>
                <w:bCs/>
                <w:b/>
              </w:rPr>
              <w:t xml:space="preserve">货币</w:t>
            </w:r>
          </w:p>
        </w:tc>
        <w:tc>
          <w:tcPr/>
          <w:p>
            <w:pPr>
              <w:pStyle w:val="Compact"/>
              <w:jc w:val="left"/>
            </w:pPr>
            <w:r>
              <w:rPr>
                <w:bCs/>
                <w:b/>
              </w:rPr>
              <w:t xml:space="preserve">2072年地位</w:t>
            </w:r>
          </w:p>
        </w:tc>
        <w:tc>
          <w:tcPr/>
          <w:p>
            <w:pPr>
              <w:pStyle w:val="Compact"/>
              <w:jc w:val="left"/>
            </w:pPr>
            <w:r>
              <w:rPr>
                <w:bCs/>
                <w:b/>
              </w:rPr>
              <w:t xml:space="preserve">主要压力来源</w:t>
            </w:r>
          </w:p>
        </w:tc>
      </w:tr>
      <w:tr>
        <w:tc>
          <w:tcPr/>
          <w:p>
            <w:pPr>
              <w:pStyle w:val="Compact"/>
              <w:jc w:val="left"/>
            </w:pPr>
            <w:r>
              <w:t xml:space="preserve">A1</w:t>
            </w:r>
          </w:p>
        </w:tc>
        <w:tc>
          <w:tcPr/>
          <w:p>
            <w:pPr>
              <w:pStyle w:val="Compact"/>
              <w:jc w:val="left"/>
            </w:pPr>
            <w:r>
              <w:t xml:space="preserve">美元</w:t>
            </w:r>
          </w:p>
        </w:tc>
        <w:tc>
          <w:tcPr/>
          <w:p>
            <w:pPr>
              <w:pStyle w:val="Compact"/>
              <w:jc w:val="left"/>
            </w:pPr>
            <w:r>
              <w:t xml:space="preserve">A1体系内主要结算货币+全球最可信价值储存工具之一，储备规模下降，功能从贸易必需变为战略工具选择</w:t>
            </w:r>
          </w:p>
        </w:tc>
        <w:tc>
          <w:tcPr/>
          <w:p>
            <w:pPr>
              <w:pStyle w:val="Compact"/>
              <w:jc w:val="left"/>
            </w:pPr>
            <w:r>
              <w:t xml:space="preserve">石油美元瓦解，贸易减少使流通需求下降</w:t>
            </w:r>
          </w:p>
        </w:tc>
      </w:tr>
      <w:tr>
        <w:tc>
          <w:tcPr/>
          <w:p>
            <w:pPr>
              <w:pStyle w:val="Compact"/>
              <w:jc w:val="left"/>
            </w:pPr>
            <w:r>
              <w:t xml:space="preserve">A2</w:t>
            </w:r>
          </w:p>
        </w:tc>
        <w:tc>
          <w:tcPr/>
          <w:p>
            <w:pPr>
              <w:pStyle w:val="Compact"/>
              <w:jc w:val="left"/>
            </w:pPr>
            <w:r>
              <w:t xml:space="preserve">人民币</w:t>
            </w:r>
          </w:p>
        </w:tc>
        <w:tc>
          <w:tcPr/>
          <w:p>
            <w:pPr>
              <w:pStyle w:val="Compact"/>
              <w:jc w:val="left"/>
            </w:pPr>
            <w:r>
              <w:t xml:space="preserve">A2体系内结算货币，资本管制使其无法国际化，数字人民币深度整合配给监控</w:t>
            </w:r>
          </w:p>
        </w:tc>
        <w:tc>
          <w:tcPr/>
          <w:p>
            <w:pPr>
              <w:pStyle w:val="Compact"/>
              <w:jc w:val="left"/>
            </w:pPr>
            <w:r>
              <w:t xml:space="preserve">资本管制不可放开，无法成为真正国际储备货币</w:t>
            </w:r>
          </w:p>
        </w:tc>
      </w:tr>
      <w:tr>
        <w:tc>
          <w:tcPr/>
          <w:p>
            <w:pPr>
              <w:pStyle w:val="Compact"/>
              <w:jc w:val="left"/>
            </w:pPr>
            <w:r>
              <w:t xml:space="preserve">B</w:t>
            </w:r>
          </w:p>
        </w:tc>
        <w:tc>
          <w:tcPr/>
          <w:p>
            <w:pPr>
              <w:pStyle w:val="Compact"/>
              <w:jc w:val="left"/>
            </w:pPr>
            <w:r>
              <w:t xml:space="preserve">欧元等</w:t>
            </w:r>
          </w:p>
        </w:tc>
        <w:tc>
          <w:tcPr/>
          <w:p>
            <w:pPr>
              <w:pStyle w:val="Compact"/>
              <w:jc w:val="left"/>
            </w:pPr>
            <w:r>
              <w:t xml:space="preserve">A1体系内次级储备货币，制度条件完整，地位稳定但相对有限</w:t>
            </w:r>
          </w:p>
        </w:tc>
        <w:tc>
          <w:tcPr/>
          <w:p>
            <w:pPr>
              <w:pStyle w:val="Compact"/>
              <w:jc w:val="left"/>
            </w:pPr>
            <w:r>
              <w:t xml:space="preserve">贸易减少使流通需求下降，A1体系内竞争</w:t>
            </w:r>
          </w:p>
        </w:tc>
      </w:tr>
      <w:tr>
        <w:tc>
          <w:tcPr/>
          <w:p>
            <w:pPr>
              <w:pStyle w:val="Compact"/>
              <w:jc w:val="left"/>
            </w:pPr>
            <w:r>
              <w:t xml:space="preserve">D</w:t>
            </w:r>
          </w:p>
        </w:tc>
        <w:tc>
          <w:tcPr/>
          <w:p>
            <w:pPr>
              <w:pStyle w:val="Compact"/>
              <w:jc w:val="left"/>
            </w:pPr>
            <w:r>
              <w:t xml:space="preserve">资源国货币</w:t>
            </w:r>
          </w:p>
        </w:tc>
        <w:tc>
          <w:tcPr/>
          <w:p>
            <w:pPr>
              <w:pStyle w:val="Compact"/>
              <w:jc w:val="left"/>
            </w:pPr>
            <w:r>
              <w:t xml:space="preserve">部分实质崩溃，转向美元化或数字人民币化；中等规模国家持续贬值</w:t>
            </w:r>
          </w:p>
        </w:tc>
        <w:tc>
          <w:tcPr/>
          <w:p>
            <w:pPr>
              <w:pStyle w:val="Compact"/>
              <w:jc w:val="left"/>
            </w:pPr>
            <w:r>
              <w:t xml:space="preserve">化石能源收入崩溃，产出下降，外部持有需求消失</w:t>
            </w:r>
          </w:p>
        </w:tc>
      </w:tr>
      <w:tr>
        <w:tc>
          <w:tcPr/>
          <w:p>
            <w:pPr>
              <w:pStyle w:val="Compact"/>
              <w:jc w:val="left"/>
            </w:pPr>
            <w:r>
              <w:t xml:space="preserve">G</w:t>
            </w:r>
          </w:p>
        </w:tc>
        <w:tc>
          <w:tcPr/>
          <w:p>
            <w:pPr>
              <w:pStyle w:val="Compact"/>
              <w:jc w:val="left"/>
            </w:pPr>
            <w:r>
              <w:t xml:space="preserve">摇摆体货币</w:t>
            </w:r>
          </w:p>
        </w:tc>
        <w:tc>
          <w:tcPr/>
          <w:p>
            <w:pPr>
              <w:pStyle w:val="Compact"/>
              <w:jc w:val="left"/>
            </w:pPr>
            <w:r>
              <w:t xml:space="preserve">双轨结算使货币政策复杂，印度卢比有区域储备地位潜力</w:t>
            </w:r>
          </w:p>
        </w:tc>
        <w:tc>
          <w:tcPr/>
          <w:p>
            <w:pPr>
              <w:pStyle w:val="Compact"/>
              <w:jc w:val="left"/>
            </w:pPr>
            <w:r>
              <w:t xml:space="preserve">两套体系维护成本高，政策自主性受限</w:t>
            </w:r>
          </w:p>
        </w:tc>
      </w:tr>
      <w:tr>
        <w:tc>
          <w:tcPr/>
          <w:p>
            <w:pPr>
              <w:pStyle w:val="Compact"/>
              <w:jc w:val="left"/>
            </w:pPr>
            <w:r>
              <w:t xml:space="preserve">I</w:t>
            </w:r>
          </w:p>
        </w:tc>
        <w:tc>
          <w:tcPr/>
          <w:p>
            <w:pPr>
              <w:pStyle w:val="Compact"/>
              <w:jc w:val="left"/>
            </w:pPr>
            <w:r>
              <w:t xml:space="preserve">边缘国货币</w:t>
            </w:r>
          </w:p>
        </w:tc>
        <w:tc>
          <w:tcPr/>
          <w:p>
            <w:pPr>
              <w:pStyle w:val="Compact"/>
              <w:jc w:val="left"/>
            </w:pPr>
            <w:r>
              <w:t xml:space="preserve">实质意义极小，主要靠纳税强制维持国内流通</w:t>
            </w:r>
          </w:p>
        </w:tc>
        <w:tc>
          <w:tcPr/>
          <w:p>
            <w:pPr>
              <w:pStyle w:val="Compact"/>
              <w:jc w:val="left"/>
            </w:pPr>
            <w:r>
              <w:t xml:space="preserve">强制力薄弱，购买力极低</w:t>
            </w:r>
          </w:p>
        </w:tc>
      </w:tr>
      <w:tr>
        <w:tc>
          <w:tcPr/>
          <w:p>
            <w:pPr>
              <w:pStyle w:val="Compact"/>
              <w:jc w:val="left"/>
            </w:pPr>
            <w:r>
              <w:t xml:space="preserve">—</w:t>
            </w:r>
          </w:p>
        </w:tc>
        <w:tc>
          <w:tcPr/>
          <w:p>
            <w:pPr>
              <w:pStyle w:val="Compact"/>
              <w:jc w:val="left"/>
            </w:pPr>
            <w:r>
              <w:t xml:space="preserve">黄金</w:t>
            </w:r>
          </w:p>
        </w:tc>
        <w:tc>
          <w:tcPr/>
          <w:p>
            <w:pPr>
              <w:pStyle w:val="Compact"/>
              <w:jc w:val="left"/>
            </w:pPr>
            <w:r>
              <w:t xml:space="preserve">终极避险资产，物理稀缺性无需共识维持，不依赖任何制度框架</w:t>
            </w:r>
          </w:p>
        </w:tc>
        <w:tc>
          <w:tcPr/>
          <w:p>
            <w:pPr>
              <w:pStyle w:val="Compact"/>
              <w:jc w:val="left"/>
            </w:pPr>
            <w:r>
              <w:t xml:space="preserve">日常使用极少，主要是「不信任任何体系」的信号</w:t>
            </w:r>
          </w:p>
        </w:tc>
      </w:tr>
      <w:tr>
        <w:tc>
          <w:tcPr/>
          <w:p>
            <w:pPr>
              <w:pStyle w:val="Compact"/>
              <w:jc w:val="left"/>
            </w:pPr>
            <w:r>
              <w:t xml:space="preserve">—</w:t>
            </w:r>
          </w:p>
        </w:tc>
        <w:tc>
          <w:tcPr/>
          <w:p>
            <w:pPr>
              <w:pStyle w:val="Compact"/>
              <w:jc w:val="left"/>
            </w:pPr>
            <w:r>
              <w:t xml:space="preserve">去中心化数字货币</w:t>
            </w:r>
          </w:p>
        </w:tc>
        <w:tc>
          <w:tcPr/>
          <w:p>
            <w:pPr>
              <w:pStyle w:val="Compact"/>
              <w:jc w:val="left"/>
            </w:pPr>
            <w:r>
              <w:t xml:space="preserve">意识形态工件，制度缝隙生态，规模极小，波动极大</w:t>
            </w:r>
          </w:p>
        </w:tc>
        <w:tc>
          <w:tcPr/>
          <w:p>
            <w:pPr>
              <w:pStyle w:val="Compact"/>
              <w:jc w:val="left"/>
            </w:pPr>
            <w:r>
              <w:t xml:space="preserve">挖矿困境（能源+政府管制），需求基础薄弱，社会共识稀缺性脆弱</w:t>
            </w:r>
          </w:p>
        </w:tc>
      </w:tr>
    </w:tbl>
    <w:bookmarkEnd w:id="263"/>
    <w:bookmarkStart w:id="264" w:name="石油美元体系的瓦解"/>
    <w:p>
      <w:pPr>
        <w:pStyle w:val="Heading3"/>
      </w:pPr>
      <w:r>
        <w:t xml:space="preserve">4.13.2　石油美元体系的瓦解</w:t>
      </w:r>
    </w:p>
    <w:p>
      <w:pPr>
        <w:pStyle w:val="FirstParagraph"/>
      </w:pPr>
      <w:r>
        <w:t xml:space="preserve">石油美元体系的物质基础是化石能源以美元计价的大宗贸易——这使全球各国必须持有美元作为支付储备，形成了美元国际地位的循环自我强化。聚变使化石能源需求系统性萎缩，这个循环的物质基础从2055年开始侵蚀，2065年后进入加速阶段。</w:t>
      </w:r>
    </w:p>
    <w:p>
      <w:pPr>
        <w:pStyle w:val="BodyText"/>
      </w:pPr>
      <w:r>
        <w:t xml:space="preserve">美元失去的不是货币地位，而是大宗商品结算的硬性需求。没有了能源贸易的驱动，美元的国际使用从”贸易必需”转为”战略选择”，各国的美元储备决策更多受政治关系和制度信任驱动，而非经济必要性。这使美元的国际地位结构发生根本性转变：对制度性因素（美债流动性、法治保护、产权确定性）的依赖程度上升，对贸易流量的依赖程度下降。制度性锚定比贸易性锚定更稳定，但规模系统性收缩——美元不会崩溃，但其作为全球储备货币的覆盖广度从高峰时期的约60%向显著更低的水平收缩。</w:t>
      </w:r>
    </w:p>
    <w:p>
      <w:pPr>
        <w:pStyle w:val="BodyText"/>
      </w:pPr>
      <w:r>
        <w:t xml:space="preserve">石油美元瓦解与美元地位的收缩并不等同，这一点容易被混淆。前者是特定历史阶段的物质支柱消失，后者是货币国际地位的整体重新定价。美元从”贸易体系的润滑剂”退化为”A1体系的制度性背书工具”，角色更集中、更深，但覆盖范围更窄。</w:t>
      </w:r>
    </w:p>
    <w:p>
      <w:pPr>
        <w:pStyle w:val="BodyText"/>
      </w:pPr>
      <w:r>
        <w:rPr>
          <w:iCs/>
          <w:i/>
        </w:rPr>
        <w:t xml:space="preserve">2072年国际金融体系的本质是技术-制度双重断裂的产物：聚变使大宗商品美元计价体系失去物质基础，AI和配给系统使货币需求系统性下降。在这个背景下，货币地位不再主要由贸易流量决定，而由制度信任（法治、产权、资本项目开放）和政治结构（A1/A2体系边界）决定。美元退而守其制度性溢价，人民币困于资本管制，黄金回归终极避险角色，去中心化数字货币退缩为意识形态工件。这是一个货币格局整体性降级但分化性稳定的新均衡。</w:t>
      </w:r>
    </w:p>
    <w:bookmarkEnd w:id="264"/>
    <w:bookmarkStart w:id="265" w:name="境外美元化规模变化与联储的非对称有效性"/>
    <w:p>
      <w:pPr>
        <w:pStyle w:val="Heading3"/>
      </w:pPr>
      <w:r>
        <w:t xml:space="preserve">4.13.3　境外美元化：规模变化与联储的非对称有效性</w:t>
      </w:r>
    </w:p>
    <w:p>
      <w:pPr>
        <w:pStyle w:val="FirstParagraph"/>
      </w:pPr>
      <w:r>
        <w:t xml:space="preserve">化石能源出口国货币崩溃是渐进过程，但主要集中在2058—2065年财政危机临界点之后。本币实质失效后，这些国家的人口转向更可信的外部货币，路径取决于体系归属：与A1体系有历史联系的转向美元化；进入A2体系轨道的转向数字人民币化。2072年美元化涉及的人口规模可能达到数亿——远超历史上巴拿马、厄瓜多尔等小国美元化案例，对联准会的政策传导产生了结构性的新挑战。</w:t>
      </w:r>
    </w:p>
    <w:p>
      <w:pPr>
        <w:pStyle w:val="BodyText"/>
      </w:pPr>
      <w:r>
        <w:rPr>
          <w:bCs/>
          <w:b/>
        </w:rPr>
        <w:t xml:space="preserve">美元使用扩大，联储控制力下降</w:t>
      </w:r>
    </w:p>
    <w:p>
      <w:pPr>
        <w:pStyle w:val="BodyText"/>
      </w:pPr>
      <w:r>
        <w:t xml:space="preserve">境外美元化扩大了美元的使用范围，但这部分增量美元完全不响应联准会的货币政策操作。美元化国家没有本国央行参与货币互换协议，其境内美元流通既不在联准会的监测体系内，也不通过传统回流渠道（购买美债）与美国金融市场连接。联准会发出的政策信号在这些经济体里等同于没有发出——这是境外美元化最核心的悖论：使用美元的人口增加，但这部分人口不受联准会货币政策影响。</w:t>
      </w:r>
    </w:p>
    <w:p>
      <w:pPr>
        <w:pStyle w:val="BodyText"/>
      </w:pPr>
      <w:r>
        <w:rPr>
          <w:bCs/>
          <w:b/>
        </w:rPr>
        <w:t xml:space="preserve">资产价格作为短期传导渠道</w:t>
      </w:r>
    </w:p>
    <w:p>
      <w:pPr>
        <w:pStyle w:val="BodyText"/>
      </w:pPr>
      <w:r>
        <w:t xml:space="preserve">联准会对境外美元化经济体的影响，主要通过资产价格间接传导，而非政策利率直接传导。当这些国家发生政治危机或经济动荡时，境内美元资金有两条出路：资本外逃进入美国资产市场（推高价格），或恐慌性抛售美元资产换取其他储值工具（压低价格）。联准会的利率工具对这个传导渠道有结构性的不对称有效性：升息能有效抑制资产价格进一步泡沫化（当危机资金大规模流入推高价格时），但降息的托底效果在恐慌性流出情境下高度不确定。抑制推涨比托底下跌更有力，这个不对称是境外美元化冲击下货币政策的内在约束。</w:t>
      </w:r>
    </w:p>
    <w:p>
      <w:pPr>
        <w:pStyle w:val="BodyText"/>
      </w:pPr>
      <w:r>
        <w:rPr>
          <w:bCs/>
          <w:b/>
        </w:rPr>
        <w:t xml:space="preserve">长期：市场深度提供自然平滑</w:t>
      </w:r>
    </w:p>
    <w:p>
      <w:pPr>
        <w:pStyle w:val="BodyText"/>
      </w:pPr>
      <w:r>
        <w:t xml:space="preserve">境外美元化危机性资金的流入或流出，相对于美国股债市场的日均交易量，即使规模放大后仍属于可被吸收的量级。套利行为、对冲基金的反向操作、资产价格偏离基本面后的需求回流，会在数天到数周内对方向性偏离产生自然平滑效果。联准会的实际操作选择是：将境外美元化纳入背景变量监测，追踪其与美国资产价格的相关性，而非试图直接管理这部分流通。这是对不可控变量的务实承认，不是政策失误。</w:t>
      </w:r>
    </w:p>
    <w:p>
      <w:pPr>
        <w:pStyle w:val="BodyText"/>
      </w:pPr>
      <w:r>
        <w:t xml:space="preserve">财政传导渠道同样值得关注。资本利得税在2072年占联邦税收约三成，对资产价格的弹性远高于工业时代。境外美元化危机引发资产价格下跌时，资本利得实现量骤降，联邦税收出现缺口；同期BSC支出需求可能因进口通胀或供应链冲击而上升。财政压力最大的时刻恰好是税收最少的时刻，这个双向压缩在货币政策层面无法直接应对，是4.11节双锚协议面临的外部冲击之一。</w:t>
      </w:r>
    </w:p>
    <w:bookmarkEnd w:id="265"/>
    <w:bookmarkStart w:id="266" w:name="ai主导的金融市场"/>
    <w:p>
      <w:pPr>
        <w:pStyle w:val="Heading3"/>
      </w:pPr>
      <w:r>
        <w:t xml:space="preserve">4.13.4　AI主导的金融市场</w:t>
      </w:r>
    </w:p>
    <w:p>
      <w:pPr>
        <w:pStyle w:val="FirstParagraph"/>
      </w:pPr>
      <w:r>
        <w:t xml:space="preserve">2030年代AI成为金融市场的主要参与者，2072年市场基本是AI系统之间的博弈。市场效率极高，价格发现速度和套利消除速度达到人类交易时代无法企及的水平。数据充裕度的大幅提升和科学化的数据处理，使可量化风险的管理能力系统性增强——大量在工业时代属于”不可知”的风险变量，在2072年已有稳定的量化框架和监控手段。</w:t>
      </w:r>
    </w:p>
    <w:p>
      <w:pPr>
        <w:pStyle w:val="BodyText"/>
      </w:pPr>
      <w:r>
        <w:t xml:space="preserve">算法共振（大量AI系统共享相似训练数据、模型架构、风险参数，对同一信号高度同步响应，形成正反馈放大而非相互对冲的市场结构）作为已知的系统性偏差，在2072年已有成熟的工程化应对：自动熔断机制的响应速度匹配AI交易的毫秒级时序，模型多样性监管要求限制单一架构的市场占比，实时偏差检验系统在共振形成初期触发干预。利益驱动使金融机构和监管机构在已知风险类型的处理上保持较高效率——钱的问题总是能调动足够的注意力和资源。</w:t>
      </w:r>
    </w:p>
    <w:p>
      <w:pPr>
        <w:pStyle w:val="BodyText"/>
      </w:pPr>
      <w:r>
        <w:t xml:space="preserve">残余的主要风险不是算法共振这类已知问题，而是两类更深层的不确定性：其一是反身性——AI预测越准确、越被广泛采用，市场就越会围绕AI预测本身重新定价，使预测失效，这是数据充裕无法消解的结构性循环；其二是新型系统性风险在常规监控边界之外形成，跨机构、跨体系的隐性关联在风险爆发前不可见，历史上每次重大金融危机都有这个特征。2072年的金融监管体系已经解决了上一代的主要问题，但这两类更深层的不确定性构成下一代尚未完全应对的挑战。</w:t>
      </w:r>
    </w:p>
    <w:bookmarkEnd w:id="266"/>
    <w:bookmarkEnd w:id="267"/>
    <w:bookmarkStart w:id="274" w:name="文化经济学"/>
    <w:p>
      <w:pPr>
        <w:pStyle w:val="Heading2"/>
      </w:pPr>
      <w:r>
        <w:t xml:space="preserve">4.14　文化经济学</w:t>
      </w:r>
    </w:p>
    <w:p>
      <w:pPr>
        <w:pStyle w:val="FirstParagraph"/>
      </w:pPr>
      <w:r>
        <w:t xml:space="preserve">当物质生产高度自动化、制造业就业系统性萎缩，文化产品成为少数在经济上仍具有人类劳动溢价的领域之一。文化消费的总需求因时间充裕（工时压缩、BSC覆盖基本生存）而持续扩大，文化经济在服务业中的份额显著上升；但由于AI内容边际成本趋近于零，这个扩张更多体现在消费量和消费时间上，而非货币化产值的绝对规模。</w:t>
      </w:r>
    </w:p>
    <w:bookmarkStart w:id="268" w:name="ai对文化娱乐业的结构性冲击"/>
    <w:p>
      <w:pPr>
        <w:pStyle w:val="Heading3"/>
      </w:pPr>
      <w:r>
        <w:t xml:space="preserve">4.14.1　AI对文化娱乐业的结构性冲击</w:t>
      </w:r>
    </w:p>
    <w:p>
      <w:pPr>
        <w:pStyle w:val="FirstParagraph"/>
      </w:pPr>
      <w:r>
        <w:t xml:space="preserve">AI对文化娱乐业的冲击，在结构上类似于工业化对手工业的冲击：技术手段以统计学逻辑替代美学判断，以偏好预测模型为核心大规模生产迎合人类喜好的内容，边际成本趋近于零，产品丰裕度和可及性大幅提高。拥有数据和算法的AI内容公司不只是生产者，同时控制分发渠道——算法决定可见度，人类创作即使存在也面临系统性的可见度压制。AI内容在2050年代成为文娱市场的绝对主流，覆盖音乐、短视频、游戏、小说、视觉艺术的绝大多数消费量。</w:t>
      </w:r>
    </w:p>
    <w:p>
      <w:pPr>
        <w:pStyle w:val="BodyText"/>
      </w:pPr>
      <w:r>
        <w:t xml:space="preserve">这个冲击对文化产业的职业结构造成了深度破坏。被摧毁的不主要是顶端或底端，而是</w:t>
      </w:r>
      <w:r>
        <w:rPr>
          <w:bCs/>
          <w:b/>
        </w:rPr>
        <w:t xml:space="preserve">中间层</w:t>
      </w:r>
      <w:r>
        <w:t xml:space="preserve">：职业但非顶尖的创作者——商业插画师、职业流行音乐人、中级网络作家、商业广告导演——面临需求的系统性萎缩。AI以极低成本完成了他们此前提供的服务，且在迎合偏好的维度上不弱于他们。中间层的消失使文化产业的职业路径出现两极分化：顶端少数精英凭借品牌溢价和社会网络维持高收入，底端大量人口将创作回归为无经济价值的社区活动和个人表达。</w:t>
      </w:r>
    </w:p>
    <w:bookmarkEnd w:id="268"/>
    <w:bookmarkStart w:id="269" w:name="人类创作的市场分化奢侈品与社区活动"/>
    <w:p>
      <w:pPr>
        <w:pStyle w:val="Heading3"/>
      </w:pPr>
      <w:r>
        <w:t xml:space="preserve">4.14.2　人类创作的市场分化：奢侈品与社区活动</w:t>
      </w:r>
    </w:p>
    <w:p>
      <w:pPr>
        <w:pStyle w:val="FirstParagraph"/>
      </w:pPr>
      <w:r>
        <w:t xml:space="preserve">AI内容的泛滥使”人类制造”本身成为可验证的稀缺属性。市场对此产生了类似有机食品与工业食品的分化反应：一个愿意为人类创作支付溢价的细分市场真实存在，但规模相对有限。</w:t>
      </w:r>
    </w:p>
    <w:p>
      <w:pPr>
        <w:pStyle w:val="BodyText"/>
      </w:pPr>
      <w:r>
        <w:rPr>
          <w:bCs/>
          <w:b/>
        </w:rPr>
        <w:t xml:space="preserve">顶端溢价市场。</w:t>
      </w:r>
      <w:r>
        <w:t xml:space="preserve"> </w:t>
      </w:r>
      <w:r>
        <w:t xml:space="preserve">区块链溯源的人类创作认证成为验证机制：每件认证作品携带不可伪造的创作过程记录（时间戳、草稿、修改痕迹），使购买者能够确认”这是某个人类在具体生命经历中花费真实时间和情感创作的”。这个知识本身改变了接收体验——</w:t>
      </w:r>
      <w:r>
        <w:t xml:space="preserve">“</w:t>
      </w:r>
      <w:r>
        <w:t xml:space="preserve">有人在这里</w:t>
      </w:r>
      <w:r>
        <w:t xml:space="preserve">”</w:t>
      </w:r>
      <w:r>
        <w:t xml:space="preserve">是无法被AI复制的，不是能力问题，而是AI不能产生那个”有人”。顶端人类创作在这个逻辑下形成高溢价的收藏市场，但受众是少数有经济能力的主动寻求者。</w:t>
      </w:r>
    </w:p>
    <w:p>
      <w:pPr>
        <w:pStyle w:val="BodyText"/>
      </w:pPr>
      <w:r>
        <w:rPr>
          <w:bCs/>
          <w:b/>
        </w:rPr>
        <w:t xml:space="preserve">底端社区化。</w:t>
      </w:r>
      <w:r>
        <w:t xml:space="preserve"> </w:t>
      </w:r>
      <w:r>
        <w:t xml:space="preserve">大量原本职业化的创作活动回归为社区层面的非经济实践：本地乐队在社区活动中演奏，业余作家在本地阅读圈分享，手工艺人在邻里集市展示技艺。这些活动不产生经济价值，其规模在多态社会的社区化趋势下反而扩大。其社会功能不亚于经济功能：定期的创作聚集形成稳定的面对面社会网络，这个网络同时承载情感支持、信息交换和非正式互助——创作是表面动机，社会连接是实质产出。在职业身份弱化、工作时间压缩的背景下，创作社群成为许多人获得”被需要”感和社区归属感的主要场所之一，是4.17.2节贡献动机重组在文化领域的具体表现形式。</w:t>
      </w:r>
    </w:p>
    <w:p>
      <w:pPr>
        <w:pStyle w:val="BodyText"/>
      </w:pPr>
      <w:r>
        <w:rPr>
          <w:bCs/>
          <w:b/>
        </w:rPr>
        <w:t xml:space="preserve">主动消费者与被动消费者的分化。</w:t>
      </w:r>
      <w:r>
        <w:t xml:space="preserve"> </w:t>
      </w:r>
      <w:r>
        <w:t xml:space="preserve">部分受众会主动区分并寻找人类创作，愿意为此付出时间和金钱成本；大多数受众在AI内容充裕的环境下不会主动区分来源，形成两类消费者群体的永久共存。这个分化与深度文化消费和即时消费的层级分化高度重叠。</w:t>
      </w:r>
    </w:p>
    <w:bookmarkEnd w:id="269"/>
    <w:bookmarkStart w:id="270" w:name="娱乐产业的消费层级化"/>
    <w:p>
      <w:pPr>
        <w:pStyle w:val="Heading3"/>
      </w:pPr>
      <w:r>
        <w:t xml:space="preserve">4.14.3　娱乐产业的消费层级化</w:t>
      </w:r>
    </w:p>
    <w:p>
      <w:pPr>
        <w:pStyle w:val="FirstParagraph"/>
      </w:pPr>
      <w:r>
        <w:t xml:space="preserve">2072年的娱乐产业按深度分三层：</w:t>
      </w:r>
      <w:r>
        <w:rPr>
          <w:bCs/>
          <w:b/>
        </w:rPr>
        <w:t xml:space="preserve">即时满足层</w:t>
      </w:r>
      <w:r>
        <w:t xml:space="preserve">（AI生成、算法推荐，成本接近零，消费量最大）；</w:t>
      </w:r>
      <w:r>
        <w:rPr>
          <w:bCs/>
          <w:b/>
        </w:rPr>
        <w:t xml:space="preserve">协作制作层</w:t>
      </w:r>
      <w:r>
        <w:t xml:space="preserve">（有制作质量的人类与AI协作内容，人类负责叙事框架和情感核心，AI负责执行和优化）；</w:t>
      </w:r>
      <w:r>
        <w:rPr>
          <w:bCs/>
          <w:b/>
        </w:rPr>
        <w:t xml:space="preserve">深度参与层</w:t>
      </w:r>
      <w:r>
        <w:t xml:space="preserve">（需要主动学习和持续投入的内容，如高质量长篇小说、复杂音乐、深度游戏，以及认证人类创作的收藏市场）。三层的消费人群比例大约是80/15/5，但深度参与层的人均消费额远超前两层。</w:t>
      </w:r>
    </w:p>
    <w:p>
      <w:pPr>
        <w:pStyle w:val="BodyText"/>
      </w:pPr>
      <w:r>
        <w:t xml:space="preserve">协作制作层是三层中经济体量最具活力的中间地带：顶端人类创作者以少量输入撬动AI的大量执行，产出规模和质量均超出纯人类创作，同时保留了人类创意的核心价值。这一层的经济逻辑是：人类提供无法统计学化的创意起点，AI提供执行规模，两者结合的产品在市场上既有品质溢价又有规模可及性。</w:t>
      </w:r>
    </w:p>
    <w:bookmarkEnd w:id="270"/>
    <w:bookmarkStart w:id="271" w:name="地方文化的价值复兴"/>
    <w:p>
      <w:pPr>
        <w:pStyle w:val="Heading3"/>
      </w:pPr>
      <w:r>
        <w:t xml:space="preserve">4.14.4　地方文化的价值复兴</w:t>
      </w:r>
    </w:p>
    <w:p>
      <w:pPr>
        <w:pStyle w:val="FirstParagraph"/>
      </w:pPr>
      <w:r>
        <w:t xml:space="preserve">全球化时代被压制的地方文化形态在多态社会中重新浮现并获得经济价值。本地手工艺、本地语言文学、本地仪式音乐在2060年代后出现了”价值再发现”的市场现象，驱动力是两个方向的合力：AI内容同质化使差异化的本地文化产生稀缺价值；多态社会的社区化趋势使本地归属感的文化需求上升，对本地文化的参与从旅游式的外部欣赏转向内部认同的实践。地方文化复兴是多态社会寻找非全球化价值锚点的更大运动的组成部分，其经济规模有限但社会功能显著。</w:t>
      </w:r>
    </w:p>
    <w:p>
      <w:pPr>
        <w:pStyle w:val="BodyText"/>
      </w:pPr>
      <w:r>
        <w:t xml:space="preserve">社会功能主要体现在三个维度。第一是</w:t>
      </w:r>
      <w:r>
        <w:rPr>
          <w:bCs/>
          <w:b/>
        </w:rPr>
        <w:t xml:space="preserve">本地认同的重建</w:t>
      </w:r>
      <w:r>
        <w:t xml:space="preserve">：在AI内容全球同质化的背景下，使用本地语言、传承本地技艺、参与本地仪式，成为区分”我们”与”其他地方的人”的有意义方式——不是排他的民族主义，而是在流动性降低的多态社会中，地理归属感填补了职业身份弱化留下的认同空缺。第二是</w:t>
      </w:r>
      <w:r>
        <w:rPr>
          <w:bCs/>
          <w:b/>
        </w:rPr>
        <w:t xml:space="preserve">跨代际的意义传递</w:t>
      </w:r>
      <w:r>
        <w:t xml:space="preserve">：地方文化的传承要求面对面的师徒关系和时间投入，这个过程本身提供了工业时代学徒制消失后长期缺位的代际连接形式——老年人在地方文化传承中恢复了社区功能性角色，而非单纯的照护对象。第三是</w:t>
      </w:r>
      <w:r>
        <w:rPr>
          <w:bCs/>
          <w:b/>
        </w:rPr>
        <w:t xml:space="preserve">社区韧性的基础设施</w:t>
      </w:r>
      <w:r>
        <w:t xml:space="preserve">：共同参与地方节庆、仪式和创作的人群，在面对外部冲击（经济收缩、气候事件、人口外流）时，比缺乏共同文化实践的社区表现出更强的集体协调能力——文化共同体与互助网络在人员和机制上高度重叠。</w:t>
      </w:r>
    </w:p>
    <w:bookmarkEnd w:id="271"/>
    <w:bookmarkStart w:id="272" w:name="精神健康的医疗化与娱乐的替代争议"/>
    <w:p>
      <w:pPr>
        <w:pStyle w:val="Heading3"/>
      </w:pPr>
      <w:r>
        <w:t xml:space="preserve">4.14.5　精神健康的医疗化与娱乐的替代争议</w:t>
      </w:r>
    </w:p>
    <w:p>
      <w:pPr>
        <w:pStyle w:val="FirstParagraph"/>
      </w:pPr>
      <w:r>
        <w:t xml:space="preserve">深度文化消费与心理健康指标之间的正相关在2060年代的纵向研究中被反复证实，但因果方向仍有争议。AI娱乐的即时满足设计与心理健康的相关性研究同期大量涌现，部分研究显示高度算法化的即时娱乐消费与意义感危机的加深存在相关性，但同样面临因果方向的争议。这个争议在2072年尚无定论，但已成为A1文化政策讨论的重要议题之一。</w:t>
      </w:r>
    </w:p>
    <w:bookmarkEnd w:id="272"/>
    <w:bookmarkStart w:id="273" w:name="舆论极化注意力疲劳与内容需求的结构性漂移"/>
    <w:p>
      <w:pPr>
        <w:pStyle w:val="Heading3"/>
      </w:pPr>
      <w:r>
        <w:t xml:space="preserve">4.14.6　舆论极化、注意力疲劳与内容需求的结构性漂移</w:t>
      </w:r>
    </w:p>
    <w:p>
      <w:pPr>
        <w:pStyle w:val="FirstParagraph"/>
      </w:pPr>
      <w:r>
        <w:t xml:space="preserve">动荡期（2027—2044）的政治文化经济学有一个特征：高情绪强度内容具有显著的注意力竞争优势。算法分发的逻辑使愤怒、恐惧、道德义愤比中性信息拥有更高的点击率和分享率，平台经济因此系统性地向极化内容倾斜——不是阴谋，而是流量变现逻辑的自然产物。这一阶段的文化市场形成了以情绪烈度为主要竞争维度的内容生态，极化内容的生产和消费同步扩张。</w:t>
      </w:r>
    </w:p>
    <w:p>
      <w:pPr>
        <w:pStyle w:val="BodyText"/>
      </w:pPr>
      <w:r>
        <w:rPr>
          <w:bCs/>
          <w:b/>
        </w:rPr>
        <w:t xml:space="preserve">注意力疲劳的市场机制。</w:t>
      </w:r>
      <w:r>
        <w:t xml:space="preserve"> </w:t>
      </w:r>
      <w:r>
        <w:t xml:space="preserve">高情绪强度内容的持续消费有边际效用递减的特性：刺激阈值随暴露时间上升，相同烈度的内容需要逐步升级才能维持同等的情绪响应。这个递减过程在个体层面表现为”已经麻木”，在人口层面表现为对极化内容的集体脱敏。2040年代中期起，部分早期重度消费者开始主动退出高强度信息流——不是观念上的转变，而是神经性的过载反应。这个群体在市场上形成了一个有效需求：低刺激、低对抗、可预测的内容。</w:t>
      </w:r>
    </w:p>
    <w:p>
      <w:pPr>
        <w:pStyle w:val="BodyText"/>
      </w:pPr>
      <w:r>
        <w:t xml:space="preserve">慢生活内容、手工创作记录、自然景观流媒体、非竞争性游戏的需求在2045—2055年出现了超出AI内容整体扩张趋势的增速，是注意力疲劳市场化的早期信号。这类内容的共同特征是：认知负荷低、情绪安全、不要求立场表态。它们不是深度文化消费（不需要主动学习），也不是即时满足型算法内容（不依赖情绪峰值），构成4.14.3节三层消费模型之外的第四种形态——</w:t>
      </w:r>
      <w:r>
        <w:rPr>
          <w:bCs/>
          <w:b/>
        </w:rPr>
        <w:t xml:space="preserve">恢复性消费</w:t>
      </w:r>
      <w:r>
        <w:t xml:space="preserve">。</w:t>
      </w:r>
    </w:p>
    <w:p>
      <w:pPr>
        <w:pStyle w:val="BodyText"/>
      </w:pPr>
      <w:r>
        <w:rPr>
          <w:bCs/>
          <w:b/>
        </w:rPr>
        <w:t xml:space="preserve">A1与A2的不对称演化。</w:t>
      </w:r>
      <w:r>
        <w:t xml:space="preserve"> </w:t>
      </w:r>
      <w:r>
        <w:t xml:space="preserve">A1体系的极化疲劳经历了从市场问题到政策议题的演化：平台监管讨论、算法透明度立法、媒体素养教育（见2.5.4节）都是这一疲劳在制度层面的折射，但政策响应的速度慢于内容技术的演化速度。市场自发的调整更快：恢复性内容平台的商业化、订阅制慢内容的兴起、去算法化的策展服务，都是资本对需求漂移的响应。</w:t>
      </w:r>
    </w:p>
    <w:p>
      <w:pPr>
        <w:pStyle w:val="BodyText"/>
      </w:pPr>
      <w:r>
        <w:t xml:space="preserve">A2体系的极化形态在结构上不同：官方叙事管控使内容极化主要沿”爱国/不爱国”而非”左/右”轴展开，疲劳的形式因此也不同——不是对立场对抗的厌倦，而是对强制性情感动员的脱敏。A2用户的应对方式是退缩到与政治无关的内容（烹饪、手工、宠物、地方生活），而非主动寻求”平衡”——这个退缩行为在消费形态上与A1的恢复性消费高度相似，但动机路径不同。</w:t>
      </w:r>
    </w:p>
    <w:p>
      <w:pPr>
        <w:pStyle w:val="BodyText"/>
      </w:pPr>
      <w:r>
        <w:rPr>
          <w:bCs/>
          <w:b/>
        </w:rPr>
        <w:t xml:space="preserve">2072年的稳态分布。</w:t>
      </w:r>
      <w:r>
        <w:t xml:space="preserve"> </w:t>
      </w:r>
      <w:r>
        <w:t xml:space="preserve">极化内容在2072年仍然存在且有市场，但其消费者构成已发生变化：重度消费者趋向年轻化和边缘化（被遗忘地带、低保障覆盖人群），核心区成年人口的极化内容消费比动荡期高峰显著下降。文化市场的情绪强度中枢整体下移，是多态社会稳定性的文化侧组成部分——注意力疲劳通过消费行为的自发调整，部分消化了动荡期遗留的集体激动状态。这个过程没有被规划，但结果与相互忽视均衡的主观形成条件高度吻合（见1.4.6节）。</w:t>
      </w:r>
    </w:p>
    <w:bookmarkEnd w:id="273"/>
    <w:bookmarkEnd w:id="274"/>
    <w:bookmarkStart w:id="279" w:name="医疗经济学"/>
    <w:p>
      <w:pPr>
        <w:pStyle w:val="Heading2"/>
      </w:pPr>
      <w:r>
        <w:t xml:space="preserve">4.15　医疗经济学</w:t>
      </w:r>
    </w:p>
    <w:p>
      <w:pPr>
        <w:pStyle w:val="FirstParagraph"/>
      </w:pPr>
      <w:r>
        <w:t xml:space="preserve">医疗是2072年经济中最复杂的领域之一，同时受到技术变革（AI诊断、机器人手术、精准医疗）和人口结构变化（老龄化、寿命延长）的双重压力，而且在大多数社会中具有高度政治敏感性。</w:t>
      </w:r>
    </w:p>
    <w:bookmarkStart w:id="275" w:name="成本结构的根本改变"/>
    <w:p>
      <w:pPr>
        <w:pStyle w:val="Heading3"/>
      </w:pPr>
      <w:r>
        <w:t xml:space="preserve">4.15.1　成本结构的根本改变</w:t>
      </w:r>
    </w:p>
    <w:p>
      <w:pPr>
        <w:pStyle w:val="FirstParagraph"/>
      </w:pPr>
      <w:r>
        <w:t xml:space="preserve">AI诊断使诊断成本接近零——任何有手机和传感器的人都可以获得专业水平的初诊。这把医疗成本结构从「诊断为主」转向「治疗和护理为主」。净效果：医疗总成本占GDP比例在大多数路径中持续上升，尽管在每个具体治疗类型上成本下降。以美国为代表的A1核心国家，医疗支出从2025年约18%升至2072年约28—32%；A1整体均值（含欧洲等医疗支出较低的成员）从约10%升至约18—22%。悖论的解释：更便宜的单次治疗使之前无法治疗的疾病得到治疗，需求从受价格抑制的状态释放；老龄化人口的医疗需求密度显著高于年轻人口。</w:t>
      </w:r>
    </w:p>
    <w:bookmarkEnd w:id="275"/>
    <w:bookmarkStart w:id="276" w:name="寿命经济学与阶层固化"/>
    <w:p>
      <w:pPr>
        <w:pStyle w:val="Heading3"/>
      </w:pPr>
      <w:r>
        <w:t xml:space="preserve">4.15.2　寿命经济学与阶层固化</w:t>
      </w:r>
    </w:p>
    <w:p>
      <w:pPr>
        <w:pStyle w:val="FirstParagraph"/>
      </w:pPr>
      <w:r>
        <w:t xml:space="preserve">延寿技术的可及性差异产生了2072年最深刻的经济不平等机制。在技术先进路径中，标准延寿套餐（基因治疗+细胞更新+精准预防）可将预期寿命延至120–140年，成本约为一次性50万美元（2024购买力），超出全球大多数人的终身积累能力。</w:t>
      </w:r>
    </w:p>
    <w:p>
      <w:pPr>
        <w:pStyle w:val="BodyText"/>
      </w:pPr>
      <w:r>
        <w:t xml:space="preserve">「寿命差距」成为21世纪后半叶最深刻的不平等来源之一——不是机会不平等，而是存在本身的时长不平等。这个争论在2072年没有解决，预期在2090年代前后进入临界政治冲突。</w:t>
      </w:r>
    </w:p>
    <w:p>
      <w:pPr>
        <w:pStyle w:val="BodyText"/>
      </w:pPr>
      <w:r>
        <w:t xml:space="preserve">寿命差距的社会后果渗透到多个层面。在代际流动上，寿命延长使财富转移时间轴拉伸——能负担延寿套餐的家庭，其资本可以在同一代人手中持续增值数十年，传承给下一代时已远超无法延寿家庭的终身积累；这不只是起点不平等，而是起点差距在时间轴上被持续放大的机制。在家庭结构上，同一家庭内部出现寿命分层的可能性随财富分化而上升——父母能负担延寿而子女无法全员覆盖的情境在中产阶层并非罕见，形成一种新型的家庭内部张力。在政治正当性上，</w:t>
      </w:r>
      <w:r>
        <w:t xml:space="preserve">“</w:t>
      </w:r>
      <w:r>
        <w:t xml:space="preserve">努力就能改变命运</w:t>
      </w:r>
      <w:r>
        <w:t xml:space="preserve">”</w:t>
      </w:r>
      <w:r>
        <w:t xml:space="preserve">的叙事在寿命差距面前面临根本性挑战：当生命时长本身成为财富函数，个人努力的边际作用被压缩至存在时限之内，而富裕者的存在时限可以是穷人的两倍。这个张力在2072年已经进入公共叙事，但制度性回应仍然停留在边缘——延寿技术的可及性平等在A1体系是政治争议而非政策，在A2体系是叙事禁区而非公开议题。</w:t>
      </w:r>
    </w:p>
    <w:bookmarkEnd w:id="276"/>
    <w:bookmarkStart w:id="277" w:name="精神健康的医疗化争议"/>
    <w:p>
      <w:pPr>
        <w:pStyle w:val="Heading3"/>
      </w:pPr>
      <w:r>
        <w:t xml:space="preserve">4.15.3　精神健康的医疗化争议</w:t>
      </w:r>
    </w:p>
    <w:p>
      <w:pPr>
        <w:pStyle w:val="FirstParagraph"/>
      </w:pPr>
      <w:r>
        <w:t xml:space="preserve">随着神经药理学的精确化，「调整情绪状态」变得越来越技术上可行且安全。这引发了一场关于什么应该被医疗化的深层争议：意义感缺失是疾病还是人类状况的一部分？慢性低度抑郁是神经功能障碍还是对客观处境的合理反应？</w:t>
      </w:r>
    </w:p>
    <w:p>
      <w:pPr>
        <w:pStyle w:val="BodyText"/>
      </w:pPr>
      <w:r>
        <w:t xml:space="preserve">不同路径给出了不同的制度性回答。A2体系路径：慢性抑郁被纳入医疗管理体系，目标是「功能正常」而非「主观幸福感」。欧亚民主路径：情感状态被视为个体主权，医疗化干预需要本人主动选择。A1体系路径：AI精神科医生处方权在2058年获得联邦认可，年度处方量以数十亿计，精神活性药物成为日常消费品。</w:t>
      </w:r>
    </w:p>
    <w:p>
      <w:pPr>
        <w:pStyle w:val="BodyText"/>
      </w:pPr>
      <w:r>
        <w:t xml:space="preserve">这三种回答背后有一个共同的深层张力：医疗系统的扩张正在将越来越多的人类处境纳入其定义权范围。工业时代的医疗边界相对清晰——器质性疾病属于医疗，情绪和意义属于个人或宗教。当神经药理学使情绪状态可被精确干预，这个边界开始溶解：「正常」的定义从描述性概念变成可操作的目标，医疗系统获得了一种前所未有的社会规范权——不是通过强制，而是通过将偏离均值的状态定义为「需要治疗的」。意义感缺失、持续性低动力、对现状的深度不满，在不同的框架下可以是人类对客观处境的合理反应，也可以是需要药物干预的神经失调。选择哪个框架，不只是医学判断，也是政治选择——它决定了社会是应该改变让人痛苦的处境，还是调整感受痛苦的神经系统。</w:t>
      </w:r>
    </w:p>
    <w:bookmarkEnd w:id="277"/>
    <w:bookmarkStart w:id="278" w:name="医疗产业的经济效益与后ai时代的地位上升"/>
    <w:p>
      <w:pPr>
        <w:pStyle w:val="Heading3"/>
      </w:pPr>
      <w:r>
        <w:t xml:space="preserve">4.15.4　医疗产业的经济效益与后AI时代的地位上升</w:t>
      </w:r>
    </w:p>
    <w:p>
      <w:pPr>
        <w:pStyle w:val="FirstParagraph"/>
      </w:pPr>
      <w:r>
        <w:rPr>
          <w:bCs/>
          <w:b/>
        </w:rPr>
        <w:t xml:space="preserve">医疗产业的后AI时代结构性地位。</w:t>
      </w:r>
      <w:r>
        <w:t xml:space="preserve"> </w:t>
      </w:r>
      <w:r>
        <w:t xml:space="preserve">在AI替代系统性压缩可结构化劳动的背景下，医疗是少数真正难以被完全替代的产业领域。原因不是技术能力的缺失，而是核心价值交付要求真实的人类在场：手术的精准执行可以机器人化，但术前沟通、术后心理支持、复杂病情的整体判断需要人类医生；慢性病的长期管理、老年患者的照护协调、心理治疗的共情关系，都要求持续的人际连接而非单次技术介入。这个不可替代性使医疗在后AI时代的经济权重系统性上升——不是绝对规模的扩张，而是在劳动密集型产业普遍萎缩的背景下，相对重要性的提高。</w:t>
      </w:r>
    </w:p>
    <w:p>
      <w:pPr>
        <w:pStyle w:val="BodyText"/>
      </w:pPr>
      <w:r>
        <w:t xml:space="preserve">医疗同时是地理上不可迁移的本地经济锚点。制造业可以外包，金融服务可以集中，但医院必须在地提供服务。在人口外流和产业空洞化的地区，医疗机构往往是维持本地经济活力、防止社区失活的核心支撑之一（教育机构承担同等锚定功能，见4.16.3节）。</w:t>
      </w:r>
    </w:p>
    <w:p>
      <w:pPr>
        <w:pStyle w:val="BodyText"/>
      </w:pPr>
      <w:r>
        <w:rPr>
          <w:bCs/>
          <w:b/>
        </w:rPr>
        <w:t xml:space="preserve">医疗产业的围绕性经济。</w:t>
      </w:r>
      <w:r>
        <w:t xml:space="preserve"> </w:t>
      </w:r>
      <w:r>
        <w:t xml:space="preserve">一所规模中等的综合医院直接带动数百至数千个本地岗位，并在其周边形成规模可观的围绕性经济：药店、康复中心、专科诊所、医疗器械维护、家庭护理服务、附近的餐饮和住宿——这些服务因医院存在而存在，随医院规模扩张而扩展。医疗旅游是围绕性经济的跨地域延伸：技术先进路径的医疗中心吸引来自技术落后路径的患者，带来的消费支出超出医疗本身，覆盖住宿、陪护、康复期间的生活费用。</w:t>
      </w:r>
    </w:p>
    <w:p>
      <w:pPr>
        <w:pStyle w:val="BodyText"/>
      </w:pPr>
      <w:r>
        <w:rPr>
          <w:bCs/>
          <w:b/>
        </w:rPr>
        <w:t xml:space="preserve">A1体系。</w:t>
      </w:r>
      <w:r>
        <w:t xml:space="preserve"> </w:t>
      </w:r>
      <w:r>
        <w:t xml:space="preserve">医疗产业在A1是最大的单一就业部门之一，2072年医疗支出占GDP约28—32%（美国代表值），其中相当比例转化为本地就业。AI替代压缩了放射科、病理科等高度可结构化的诊断岗位，但释放了对护理、心理支持、复杂病例协调等高情境密度岗位的需求。医疗是A1体系中少数供给侧就业不因AI替代而系统性萎缩的产业，主要因为需求侧（老龄化人口的医疗需求）增速超过AI替代的压缩速度。BSC体系中医疗覆盖作为基本保障品类，使需求有稳定的支付来源，但同时也使医疗成本控制成为A1财政可持续性的核心政治议题。</w:t>
      </w:r>
    </w:p>
    <w:p>
      <w:pPr>
        <w:pStyle w:val="BodyText"/>
      </w:pPr>
      <w:r>
        <w:rPr>
          <w:bCs/>
          <w:b/>
        </w:rPr>
        <w:t xml:space="preserve">A2体系。</w:t>
      </w:r>
      <w:r>
        <w:t xml:space="preserve"> </w:t>
      </w:r>
      <w:r>
        <w:t xml:space="preserve">医疗是A2国家统一配给的核心品类，财政逻辑与A1不同：不是通过保险市场定价，而是由国家直接分配资源。品质分层与行政级别挂钩的程度在医疗领域尤为显著——顶尖医疗资源集中在一线城市和高行政级别机构，县城及农村的医疗配给在技术设备和专科医生可及性上差距悬殊。医疗质量梯度是A2人口向城市集中的重要推力之一，延寿技术的可及性差异更是直接将医疗配给与个体预期寿命挂钩，形成最具实质性的路径内不平等。</w:t>
      </w:r>
    </w:p>
    <w:bookmarkEnd w:id="278"/>
    <w:bookmarkEnd w:id="279"/>
    <w:bookmarkStart w:id="284" w:name="教育经济学"/>
    <w:p>
      <w:pPr>
        <w:pStyle w:val="Heading2"/>
      </w:pPr>
      <w:r>
        <w:t xml:space="preserve">4.16　教育经济学</w:t>
      </w:r>
    </w:p>
    <w:p>
      <w:pPr>
        <w:pStyle w:val="FirstParagraph"/>
      </w:pPr>
      <w:r>
        <w:t xml:space="preserve">教育在2072年同时承担三个经济角色：人力资本形成机制（功能已根本重组）、社会保障体系的实物组成环节（K12作为儿童福利的核心载体）、财政再分配工具（免费高等教育作为隐性保障扩展路径）。本节以经济功能为主轴，A1/A2对比为结构展开。教育的社会性塑造功能见4.8节；高等教育普及对意义感危机和相互忽视均衡的影响见5.8节。</w:t>
      </w:r>
    </w:p>
    <w:bookmarkStart w:id="280" w:name="k12教育从劳动力供给到儿童福利基础设施"/>
    <w:p>
      <w:pPr>
        <w:pStyle w:val="Heading3"/>
      </w:pPr>
      <w:r>
        <w:t xml:space="preserve">4.16.1　K12教育：从劳动力供给到儿童福利基础设施</w:t>
      </w:r>
    </w:p>
    <w:p>
      <w:pPr>
        <w:pStyle w:val="FirstParagraph"/>
      </w:pPr>
      <w:r>
        <w:t xml:space="preserve">工业时代K12教育的经济逻辑建立在一个现在已不再成立的假设上：标准化基础教育产出标准化劳动力，后者进入市场参与生产、缴纳税收、支撑公共财政。AI替代使这个传导链条的末端系统性弱化——K12的产出不再自动对应劳动市场的吸纳能力，</w:t>
      </w:r>
      <w:r>
        <w:t xml:space="preserve">“</w:t>
      </w:r>
      <w:r>
        <w:t xml:space="preserve">培养可就业的劳动力</w:t>
      </w:r>
      <w:r>
        <w:t xml:space="preserve">”</w:t>
      </w:r>
      <w:r>
        <w:t xml:space="preserve">作为K12的核心经济目标在2072年已大幅退位。</w:t>
      </w:r>
    </w:p>
    <w:p>
      <w:pPr>
        <w:pStyle w:val="BodyText"/>
      </w:pPr>
      <w:r>
        <w:t xml:space="preserve">K12的经济价值重心转移到两个方向：儿童福利的实物载体功能，以及作为不可迁移的社区经济锚点。</w:t>
      </w:r>
    </w:p>
    <w:p>
      <w:pPr>
        <w:pStyle w:val="BodyText"/>
      </w:pPr>
      <w:r>
        <w:rPr>
          <w:bCs/>
          <w:b/>
        </w:rPr>
        <w:t xml:space="preserve">K12作为儿童福利的核心载体。</w:t>
      </w:r>
      <w:r>
        <w:t xml:space="preserve"> </w:t>
      </w:r>
      <w:r>
        <w:t xml:space="preserve">在低收入家庭的保障结构中，K12承担的非教学功能具有不可忽视的经济权重：免费或补贴午餐提供每日热量保障，医疗筛查和疫苗接种替代了家庭自行负担的医疗支出，课后托管覆盖了双职工或单亲家庭的照料缺口，心理支持服务吸收了部分原本需要外部干预的家庭压力。这些功能在中高收入家庭中是可以被市场或私人资源替代的，但在保障依赖家庭中，K12是这些服务的唯一来源。学校停办对此类家庭的实际冲击，远超对教学质量的影响。</w:t>
      </w:r>
    </w:p>
    <w:p>
      <w:pPr>
        <w:pStyle w:val="BodyText"/>
      </w:pPr>
      <w:r>
        <w:rPr>
          <w:bCs/>
          <w:b/>
        </w:rPr>
        <w:t xml:space="preserve">K12作为社区经济锚点。</w:t>
      </w:r>
      <w:r>
        <w:t xml:space="preserve"> </w:t>
      </w:r>
      <w:r>
        <w:t xml:space="preserve">学校是社区中少数真正不可迁移的经济单元之一——它不能外包、不能跨城市集约、必须在地提供服务。一所K12学校直接带动教师和行政人员的本地消费，间接支撑周边餐饮、文具、托管、交通等围绕性服务业。在人口外流压缩商业密度的内陆小城镇，学校往往是维持本地服务业存活所需的消费密度的关键支撑。学校关闭不只是教育设施的消失，它是家长社群这一核心组织节点的解体，触发社区失活的临界点机制——人口外流加速、商业进一步萎缩、剩余人口面临更高的生活成本，形成难以内部逆转的负向循环。</w:t>
      </w:r>
    </w:p>
    <w:p>
      <w:pPr>
        <w:pStyle w:val="BodyText"/>
      </w:pPr>
      <w:r>
        <w:rPr>
          <w:bCs/>
          <w:b/>
        </w:rPr>
        <w:t xml:space="preserve">A1体系。</w:t>
      </w:r>
      <w:r>
        <w:t xml:space="preserve"> </w:t>
      </w:r>
      <w:r>
        <w:t xml:space="preserve">BSC体系将儿童教育单独列为特殊目的积分品类，覆盖学校供餐、基础校服、课外活动等子品类，由联邦设定基准、州补充差异化额度。K12实际上是A1保障体系在家庭层面的实物兑现节点——积分通过学校系统转化为可及的实物服务，绕过了现金转移在消费用途上的不确定性。州际差异是A1体系K12保障分化的主要来源：财政能力强的州在联邦基准之上大幅补充，财政薄弱州仅维持基准线，导致同一联邦框架内儿童福利的实际享受水平相差显著。</w:t>
      </w:r>
    </w:p>
    <w:p>
      <w:pPr>
        <w:pStyle w:val="BodyText"/>
      </w:pPr>
      <w:r>
        <w:rPr>
          <w:bCs/>
          <w:b/>
        </w:rPr>
        <w:t xml:space="preserve">A2体系。</w:t>
      </w:r>
      <w:r>
        <w:t xml:space="preserve"> </w:t>
      </w:r>
      <w:r>
        <w:t xml:space="preserve">义务教育是A2国家统一配给的组成部分，不经积分渠道，直接以免费服务形式提供。教育品质与行政层级高度挂钩：一线城市学校配置聚变能源、AI辅助教学、齐全的硬件设施；县城学校受限于财政转移支付的层级递减，硬件和师资质量系统性落后；农村义务教育在法规层面保障入学，实际质量差距悬殊。这个分层是A2人口流向引导信号的重要组成部分——优质K12资源集中在城市，是家庭迁移决策的隐性激励之一。A2的K12同时承担显性的政治社会化功能：国家叙事传递、爱国主义教育、集体主义规范的早期植入，都是课程设计的明确目标，构成K12经济成本之外不可省略的政治性支出项。</w:t>
      </w:r>
    </w:p>
    <w:bookmarkEnd w:id="280"/>
    <w:bookmarkStart w:id="281" w:name="高等教育隐性再分配工具与意义缓冲"/>
    <w:p>
      <w:pPr>
        <w:pStyle w:val="Heading3"/>
      </w:pPr>
      <w:r>
        <w:t xml:space="preserve">4.16.2　高等教育：隐性再分配工具与意义缓冲</w:t>
      </w:r>
    </w:p>
    <w:p>
      <w:pPr>
        <w:pStyle w:val="FirstParagraph"/>
      </w:pPr>
      <w:r>
        <w:rPr>
          <w:bCs/>
          <w:b/>
        </w:rPr>
        <w:t xml:space="preserve">免费高等教育的政治经济逻辑。</w:t>
      </w:r>
      <w:r>
        <w:t xml:space="preserve"> </w:t>
      </w:r>
      <w:r>
        <w:t xml:space="preserve">聚变商业化在2044年确立后，能源成本骤降带来的生产率红利为长期在政治上可行但财政上困难的政策提供了落地条件。A1和欧洲路径在财政尚未全面平衡的过渡期推进免费高等教育，并非源于充裕的财政空间，而是因为这一政策同时满足了再分配工具中最罕见的多重条件。</w:t>
      </w:r>
    </w:p>
    <w:p>
      <w:pPr>
        <w:pStyle w:val="BodyText"/>
      </w:pPr>
      <w:r>
        <w:t xml:space="preserve">从需求端看，就业岗位系统性萎缩时青年群体最先承压——失业、失向、意义真空同步出现。现金转移可以缓解物质匮乏，但无法提供结构化时间、身份认同与社会化环境；教育体系天然具备这三个功能，是将”无事可做的人”转化为”有秩序活动的人”成本最低的现成机制。</w:t>
      </w:r>
    </w:p>
    <w:p>
      <w:pPr>
        <w:pStyle w:val="BodyText"/>
      </w:pPr>
      <w:r>
        <w:t xml:space="preserve">从政策端看，直接现金转移面临”养懒人”的政治争议，大规模公共就业的组织成本和效率质疑使其难以快速通过，强制缩短工时遭遇企业阻力。相比之下，教育支出被普遍框架为”人力资本投资”而非”福利发放”，政治阻力显著低于其他同等规模的再分配方案，更容易获得中产阶级支持并通过立法。</w:t>
      </w:r>
    </w:p>
    <w:p>
      <w:pPr>
        <w:pStyle w:val="BodyText"/>
      </w:pPr>
      <w:r>
        <w:t xml:space="preserve">从财政端看，即使在结构性赤字背景下，教育支出在预算分类上可归入资本性支出，政治包装成本低于现金转移，本质上是”隐性福利”替代”显性福利”的路径选择。从系统端看，大学、社区学院、在线教育体系在政策推进时已大规模存在，扩张的边际实施成本远低于从零建立新体制。</w:t>
      </w:r>
    </w:p>
    <w:p>
      <w:pPr>
        <w:pStyle w:val="BodyText"/>
      </w:pPr>
      <w:r>
        <w:t xml:space="preserve">从时序功能看，在资本税扩大、BSC完整覆盖等更深层分配改革尚在政治博弈中的阶段，免费高等教育充当了社会冲击的缓冲层——将劳动市场结构性冲击分摊至时间轴，避免即时爆发，为制度转型争取空间。从叙事功能看，当”努力→成功”的传统路径被系统性弱化，社会仍然需要一个可被普遍接受的正当性故事——</w:t>
      </w:r>
      <w:r>
        <w:t xml:space="preserve">“</w:t>
      </w:r>
      <w:r>
        <w:t xml:space="preserve">你仍然可以通过学习提升自己</w:t>
      </w:r>
      <w:r>
        <w:t xml:space="preserve">”</w:t>
      </w:r>
      <w:r>
        <w:t xml:space="preserve">。这一叙事本身具有稳定价值，即使其实际工具性回报已大幅削减。</w:t>
      </w:r>
    </w:p>
    <w:p>
      <w:pPr>
        <w:pStyle w:val="BodyText"/>
      </w:pPr>
      <w:r>
        <w:t xml:space="preserve">上述多重条件在其他再分配工具上鲜有同时成立，这解释了为何免费高等教育能在财政并不宽裕的过渡期率先实现。当社会无法保证”人人有工作”时，教育是成本最低、最易被接受、也最易扩展的”人人有去处”的制度解。</w:t>
      </w:r>
    </w:p>
    <w:p>
      <w:pPr>
        <w:pStyle w:val="BodyText"/>
      </w:pPr>
      <w:r>
        <w:rPr>
          <w:bCs/>
          <w:b/>
        </w:rPr>
        <w:t xml:space="preserve">代际滞后与教育溢价稀释。</w:t>
      </w:r>
      <w:r>
        <w:t xml:space="preserve"> </w:t>
      </w:r>
      <w:r>
        <w:t xml:space="preserve">免费高教的社会效应有双重滞后：入学到毕业约4—6年，个体到社会层面的扩散需要一代人（20—25年）。2072年真正受过高等教育训练的人口，是2044年后入学、2050—2066年前后毕业的那批，目前约25—45岁，是社会的中坚层但非人口主力。</w:t>
      </w:r>
    </w:p>
    <w:p>
      <w:pPr>
        <w:pStyle w:val="BodyText"/>
      </w:pPr>
      <w:r>
        <w:t xml:space="preserve">与此同时，高等教育的社会溢价在全面普及后系统性稀释。</w:t>
      </w:r>
      <w:r>
        <w:t xml:space="preserve">“</w:t>
      </w:r>
      <w:r>
        <w:t xml:space="preserve">有学位</w:t>
      </w:r>
      <w:r>
        <w:t xml:space="preserve">”</w:t>
      </w:r>
      <w:r>
        <w:t xml:space="preserve">在所有人都有学位的世界里不再是差异化优势，而变成门槛：没有它会更差，但有了它不意味着会好。教育形成的代际期望与实际获得的回报之间的系统性落差，是2072年意义感危机的一个专属来源——不是”没受过教育所以不知道会更好”，而是”受过教育、理解了为什么，然后仍然无法找到与教育承诺相符的位置”。这个落差对部分人是更清醒也更难以名状的心理挑战，对另一部分人，理解处境的过程本身反而加速了接受和重新定向。</w:t>
      </w:r>
    </w:p>
    <w:p>
      <w:pPr>
        <w:pStyle w:val="BodyText"/>
      </w:pPr>
      <w:r>
        <w:rPr>
          <w:bCs/>
          <w:b/>
        </w:rPr>
        <w:t xml:space="preserve">A1体系。</w:t>
      </w:r>
      <w:r>
        <w:t xml:space="preserve"> </w:t>
      </w:r>
      <w:r>
        <w:t xml:space="preserve">免费高等教育与BSC形成制度互补：BSC覆盖基本生存，高等教育提供结构化时间和身份认同，两者共同填补了”物质有保障但生活无结构”的空洞。社区学院和在线教育是扩张的主要载体，传统四年制大学在制度声望上仍有溢价但入学已不构成资源门槛。高等教育的财政可行性在聚变红利到位后显著改善，2052年后各州陆续完成免费高等教育立法，进度与各州财政状况高度相关。</w:t>
      </w:r>
    </w:p>
    <w:p>
      <w:pPr>
        <w:pStyle w:val="BodyText"/>
      </w:pPr>
      <w:r>
        <w:rPr>
          <w:bCs/>
          <w:b/>
        </w:rPr>
        <w:t xml:space="preserve">A2体系。</w:t>
      </w:r>
      <w:r>
        <w:t xml:space="preserve"> </w:t>
      </w:r>
      <w:r>
        <w:t xml:space="preserve">高等教育在A2继续发挥选拔漏斗功能——高考和研究生考试是平民进入体制的主要通道，这个功能在AI时代反而因岗位稀缺而强化。学历通货膨胀是显著后果：本科学历的体制竞争价值下降，竞争压力上移至研究生和特定专业学位。高校同时作为政治性就业扩张的载体：教师编制随高校扩张而扩大，辅导员、思政课教师、党务行政人员的岗位随之增加，高校成为体制吸纳剩余劳动力的重要渠道之一。</w:t>
      </w:r>
    </w:p>
    <w:p>
      <w:pPr>
        <w:pStyle w:val="BodyText"/>
      </w:pPr>
      <w:r>
        <w:rPr>
          <w:iCs/>
          <w:i/>
        </w:rPr>
        <w:t xml:space="preserve">免费高等教育对意义感危机的缓冲作用、对相互忽视均衡的认知化解功能，以及吸收躁动期人口、提高社会韧性等四个社会功能，详见5.8.2节。</w:t>
      </w:r>
    </w:p>
    <w:bookmarkEnd w:id="281"/>
    <w:bookmarkStart w:id="282" w:name="教育产业的经济效益"/>
    <w:p>
      <w:pPr>
        <w:pStyle w:val="Heading3"/>
      </w:pPr>
      <w:r>
        <w:t xml:space="preserve">4.16.3　教育产业的经济效益</w:t>
      </w:r>
    </w:p>
    <w:p>
      <w:pPr>
        <w:pStyle w:val="FirstParagraph"/>
      </w:pPr>
      <w:r>
        <w:rPr>
          <w:bCs/>
          <w:b/>
        </w:rPr>
        <w:t xml:space="preserve">教育产业的后AI时代结构性地位。</w:t>
      </w:r>
      <w:r>
        <w:t xml:space="preserve"> </w:t>
      </w:r>
      <w:r>
        <w:t xml:space="preserve">在AI替代系统性压缩可结构化劳动的背景下，教育与医疗是少数真正难以被完全替代的产业领域。原因不是技术能力的缺失，而是核心价值交付要求真实的人类在场：AI可以传授知识，但课堂的集体动态、师生关系的情感维度、学习共同体的建立和同伴社会化无法数字化替代。这个不可替代性使教育在后AI时代的经济权重系统性上升——不是绝对规模的扩张，而是在劳动密集型产业普遍萎缩的背景下相对重要性的提高。</w:t>
      </w:r>
    </w:p>
    <w:p>
      <w:pPr>
        <w:pStyle w:val="BodyText"/>
      </w:pPr>
      <w:r>
        <w:rPr>
          <w:bCs/>
          <w:b/>
        </w:rPr>
        <w:t xml:space="preserve">不可迁移的本地经济发动机。</w:t>
      </w:r>
      <w:r>
        <w:t xml:space="preserve"> </w:t>
      </w:r>
      <w:r>
        <w:t xml:space="preserve">教育机构——无论K12还是高等教育——是少数在地理上真正不可迁移的经济单元。制造业可以外包、服务业可以线上化、金融业可以集中于少数城市，但教育的社会化功能要求物理在场，无法完全数字化替代。这一特性使教育机构在人口外流、产业萎缩的背景下，成为中等城市和内陆地区维持经济活力的关键锚点。</w:t>
      </w:r>
    </w:p>
    <w:p>
      <w:pPr>
        <w:pStyle w:val="BodyText"/>
      </w:pPr>
      <w:r>
        <w:t xml:space="preserve">一所规模中等的大学直接带动数百至数千个本地岗位，其学生消费支撑周边餐饮、住宿、零售、文化娱乐等完整的服务业生态。在流动人口萎缩、制造业向沿海或机器人化集中的背景下，高校作为稳定消费群体的供给来源，其经济锚定功能比工业时代更为突出。许多内陆中等城市在2072年的商业密度，主要靠高校和大型医院这两类不可迁移机构维持。K12在更小的地理尺度上发挥同样的锚定作用，是县城和小城镇层级的核心经济节点。</w:t>
      </w:r>
    </w:p>
    <w:p>
      <w:pPr>
        <w:pStyle w:val="BodyText"/>
      </w:pPr>
      <w:r>
        <w:rPr>
          <w:bCs/>
          <w:b/>
        </w:rPr>
        <w:t xml:space="preserve">AI替代的边界与剩余岗位的性质变化。</w:t>
      </w:r>
      <w:r>
        <w:t xml:space="preserve"> </w:t>
      </w:r>
      <w:r>
        <w:t xml:space="preserve">AI替代在教育产业中的渗透是不均匀的。知识传授、标准化测评、行政管理、基础课程开发等高度可结构化的功能，在2040年代后已被大规模替代，教育产业的就业规模扩张带来的岗位增量远小于学生人数增幅。但社会性塑造功能——课堂的集体动态、师生关系、同伴竞争、现场判断——是AI在结构上无法替代的，不是能力问题，而是它要求真实的人类在场和真实的社会情境。</w:t>
      </w:r>
    </w:p>
    <w:p>
      <w:pPr>
        <w:pStyle w:val="BodyText"/>
      </w:pPr>
      <w:r>
        <w:t xml:space="preserve">这个替代边界的划定，使剩余教师岗位的性质发生了根本性变化：AI承担认知内容传递，人类教师专门负责社会情境的组织和引导。留下来的工作是最难的部分，职业门槛提高而非降低。就业总量的净效应因此是：岗位数量不因学生扩招而等比例增长，剩余岗位的技能要求系统性提升，但实际薪资走向受供需结构制约，不自动随门槛提高而上升——具体路径在A1与A2体系间存在显著差异，见下文。</w:t>
      </w:r>
    </w:p>
    <w:p>
      <w:pPr>
        <w:pStyle w:val="BodyText"/>
      </w:pPr>
      <w:r>
        <w:rPr>
          <w:bCs/>
          <w:b/>
        </w:rPr>
        <w:t xml:space="preserve">A1体系。</w:t>
      </w:r>
      <w:r>
        <w:t xml:space="preserve"> </w:t>
      </w:r>
      <w:r>
        <w:t xml:space="preserve">教育产业在A1形成公立与私立并行的市场结构：K12以公立为主，联邦基准加州补充；高等教育在免费化后公立扩张显著，但私立精英大学凭借品牌溢价、社会网络和研究能力维持差异化定位，入学无费用门槛但竞争门槛反而因候选人池扩大而提升。AI替代知识传授岗位后，剩余教师工作的职业门槛提高——需要更强的现场判断力和社会情境管理能力。但师资供给在劳动市场整体萎缩的背景下并不稀缺，薪资的实际方向受供给过剩压制，门槛提高不自动转化为薪资上升。各州在财政压力下对教师薪资的调整进度差异显著，整体仍受制于公共财政约束。</w:t>
      </w:r>
    </w:p>
    <w:p>
      <w:pPr>
        <w:pStyle w:val="BodyText"/>
      </w:pPr>
      <w:r>
        <w:rPr>
          <w:bCs/>
          <w:b/>
        </w:rPr>
        <w:t xml:space="preserve">A2体系。</w:t>
      </w:r>
      <w:r>
        <w:t xml:space="preserve"> </w:t>
      </w:r>
      <w:r>
        <w:t xml:space="preserve">教育产业在A2是国家垄断形态，私立高等教育受到严格限制，K12私立学校存在但受监管覆盖。高校的区域分布受行政配置逻辑影响：重点高校集中在一线城市，区域性大学按行政规划分布于各省会和部分地级市，形成与行政层级高度对应的教育资源梯度。高校作为区域经济中心的功能在A2更为显性——许多三四线城市的核心经济活动围绕当地高校和附属医院展开，这两类机构的行政配置决定了城市的经济天花板。教师岗位的政治绑定程度随教育扩张而加深：AI承担知识传授后，人类教师的不可替代部分转向政治性社会化，岗位数量可能不降反升，但职业内容的政治密度随之提高，薪资与体制身份和政治表现的挂钩程度超过与教学质量的挂钩程度。A2教师岗位的实际薪资水平受供给过剩的结构性压制，体制身份的稳定性而非薪资水平是主要激励来源。</w:t>
      </w:r>
    </w:p>
    <w:bookmarkEnd w:id="282"/>
    <w:bookmarkStart w:id="283" w:name="教育配给的a1a2制度差异与经济后果"/>
    <w:p>
      <w:pPr>
        <w:pStyle w:val="Heading3"/>
      </w:pPr>
      <w:r>
        <w:t xml:space="preserve">4.16.4　教育配给的A1/A2制度差异与经济后果</w:t>
      </w:r>
    </w:p>
    <w:p>
      <w:pPr>
        <w:pStyle w:val="FirstParagraph"/>
      </w:pPr>
      <w:r>
        <w:rPr>
          <w:bCs/>
          <w:b/>
        </w:rPr>
        <w:t xml:space="preserve">A1：积分覆盖逻辑与州际分化。</w:t>
      </w:r>
      <w:r>
        <w:t xml:space="preserve"> </w:t>
      </w:r>
      <w:r>
        <w:t xml:space="preserve">教育在BSC体系中以两个层级呈现：K12阶段以特殊目的积分直接覆盖学校供餐、基础物资、课外活动等子品类；高等教育免费化后学费不再是门槛，BSC生活积分覆盖在校期间的基本生活成本，使教育成本对保障依赖家庭实质上趋近于零。州际差异是A1教育保障分化的主要来源——联邦设定下限，各州在此之上的补充空间差异极大，导致同一联邦框架内儿童和青年所获得的教育资源实际差距显著。这个分化在2072年是政治上可见的张力来源，但在A1的政治结构下难以通过联邦立法完全消除。</w:t>
      </w:r>
    </w:p>
    <w:p>
      <w:pPr>
        <w:pStyle w:val="BodyText"/>
      </w:pPr>
      <w:r>
        <w:rPr>
          <w:bCs/>
          <w:b/>
        </w:rPr>
        <w:t xml:space="preserve">A2：分层配给作为人口流向信号。</w:t>
      </w:r>
      <w:r>
        <w:t xml:space="preserve"> </w:t>
      </w:r>
      <w:r>
        <w:t xml:space="preserve">A2的教育配给不经积分渠道，以直接免费服务形式提供，但品质分层是系统性的、有意为之的。城市优质教育资源（重点中学、重点大学）的存在，是引导人口向特定城市集中的制度信号之一，与住房配给、医疗配给共同构成A2人口调配工具包的组成部分。农村义务教育在法规层面保障覆盖，实质品质差距构成向城迁移的持续推力，在政策意图上是可接受的——人口集中化是A2的整体治理逻辑，教育分层在这个逻辑下是功能性的而非被动的失败。</w:t>
      </w:r>
    </w:p>
    <w:p>
      <w:pPr>
        <w:pStyle w:val="BodyText"/>
      </w:pPr>
      <w:r>
        <w:rPr>
          <w:bCs/>
          <w:b/>
        </w:rPr>
        <w:t xml:space="preserve">共同的结构性问题：政治周期与教育回报周期的永久错配。</w:t>
      </w:r>
      <w:r>
        <w:t xml:space="preserve"> </w:t>
      </w:r>
      <w:r>
        <w:t xml:space="preserve">教育投资的回报周期是20—30年，民主选举周期是4—5年，威权规划周期是5—10年。两者之间存在永久性的制度错配：当资源有限时，A1各州倾向于把资金集中在医疗（对现有老龄选民有即时可见效果），而非教育（效果需等待未来选民）；A2的规划周期虽然更长，但教育投资的政治收益同样集中于未来，与当期经济指标的竞争中处于劣势。这个错配在两套体系中产生相同的系统性偏差：教育投入在政治上持续被低估，实际资源配置持续低于最优水平，差距由家庭自付和社区资源填补，形成保障质量与家庭收入高度相关的分化结构。</w:t>
      </w:r>
    </w:p>
    <w:bookmarkEnd w:id="283"/>
    <w:bookmarkEnd w:id="284"/>
    <w:bookmarkStart w:id="290" w:name="个人经济行为获得贡献与非正式经济"/>
    <w:p>
      <w:pPr>
        <w:pStyle w:val="Heading2"/>
      </w:pPr>
      <w:r>
        <w:t xml:space="preserve">4.17　个人经济行为：获得、贡献与非正式经济</w:t>
      </w:r>
    </w:p>
    <w:p>
      <w:pPr>
        <w:pStyle w:val="FirstParagraph"/>
      </w:pPr>
      <w:r>
        <w:t xml:space="preserve">AI、聚变与自动化对宏观经济的影响——生产力提升、劳动力价格相对下降、基础保障体系建立——最终通过个人层面的行为变化转化为社会现实。本节以个人经济行为为主轴，描述2072年获得与贡献两个维度的结构性变化，以及由此生长出的非正式经济形态。</w:t>
      </w:r>
    </w:p>
    <w:bookmarkStart w:id="285" w:name="获得层的结构性变化"/>
    <w:p>
      <w:pPr>
        <w:pStyle w:val="Heading3"/>
      </w:pPr>
      <w:r>
        <w:t xml:space="preserve">4.17.1　获得层的结构性变化</w:t>
      </w:r>
    </w:p>
    <w:p>
      <w:pPr>
        <w:pStyle w:val="FirstParagraph"/>
      </w:pPr>
      <w:r>
        <w:t xml:space="preserve">生产力提升与物质丰裕正相关，但传导路径经过制度中介。动荡期各主要经济体持续的财政赤字，在一定程度上反映了生产扩张跟不上消费预期的结构性张力——适度赤字是财政体系对社会需求的主动响应，不只是失控的表征。随着聚变和AI带来的生产率红利在2050年代后逐步释放，这一张力趋向缓解，BSC等基础保障体系的实际覆盖质量系统性上升。</w:t>
      </w:r>
    </w:p>
    <w:p>
      <w:pPr>
        <w:pStyle w:val="BodyText"/>
      </w:pPr>
      <w:r>
        <w:t xml:space="preserve">获得层的根本性变化不是物质数量的增加，而是获得与劳动贡献之间的制度性脱钩：个人的基本物质获得不再以市场劳动为前提条件。这在历史上是真正新颖的——工业时代”不劳动者不得食”是物质约束，不是道德选择；2072年的保障覆盖使这个约束在A1/A2核心区实质上解除。</w:t>
      </w:r>
    </w:p>
    <w:p>
      <w:pPr>
        <w:pStyle w:val="BodyText"/>
      </w:pPr>
      <w:r>
        <w:t xml:space="preserve">物质丰裕的改善是绝对的，但相对地位的焦虑不随之等比例下降——获得层的普遍提升同时上移了比较基准，绝对获得与相对感受之间的落差在稳态下仍然存在，构成意义感问题的物质背景。</w:t>
      </w:r>
    </w:p>
    <w:bookmarkEnd w:id="285"/>
    <w:bookmarkStart w:id="286" w:name="贡献层的动机重组"/>
    <w:p>
      <w:pPr>
        <w:pStyle w:val="Heading3"/>
      </w:pPr>
      <w:r>
        <w:t xml:space="preserve">4.17.2　贡献层的动机重组</w:t>
      </w:r>
    </w:p>
    <w:p>
      <w:pPr>
        <w:pStyle w:val="FirstParagraph"/>
      </w:pPr>
      <w:r>
        <w:t xml:space="preserve">历史上人口本身是财富的载体。奴隶制、农奴制、劳动密集型工业的底层逻辑一脉相承：人力是核心生产要素，对人口的争夺本质上是对生产能力的争夺。AI替代从根本上瓦解了这个前提——当大多数可量化的生产任务可以由机器以更低成本完成，人口的财富属性系统性萎缩，控制人口的经济动机随之弱化。这个过程的反向效应是：个体在历史上首次可以在相对宽松的经济约束下选择如何贡献。</w:t>
      </w:r>
    </w:p>
    <w:p>
      <w:pPr>
        <w:pStyle w:val="BodyText"/>
      </w:pPr>
      <w:r>
        <w:t xml:space="preserve">贡献行为因此从生存驱动转向定位驱动。即使个人自行生产某件物品的成本远高于市场获取成本，劳动仍然发生——因为它的功能不是效率最大化，而是在社区中确立自己是谁、能做什么、被谁需要。这是1.4.5节价值感机制的经济学表述：贡献是自我定位的手段，定位是社会存在的基础。</w:t>
      </w:r>
    </w:p>
    <w:p>
      <w:pPr>
        <w:pStyle w:val="BodyText"/>
      </w:pPr>
      <w:r>
        <w:t xml:space="preserve">这个动机转变产生了一个以往任何时代都未曾出现的现象：大量人口同时以定位为目的从事创作、照料、修缮、教授、记录等活动，动机的混合包括意义寻求、技艺发展和社区归属。这些活动在市场层面多数无法定价，但在社区层面有真实的功能价值——它们在工业时代被视为低效率，在获得有保障的条件下恢复了其社会位置。</w:t>
      </w:r>
    </w:p>
    <w:p>
      <w:pPr>
        <w:pStyle w:val="BodyText"/>
      </w:pPr>
      <w:r>
        <w:rPr>
          <w:bCs/>
          <w:b/>
        </w:rPr>
        <w:t xml:space="preserve">贡献能力的校准问题。</w:t>
      </w:r>
      <w:r>
        <w:t xml:space="preserve"> </w:t>
      </w:r>
      <w:r>
        <w:t xml:space="preserve">工业时代，贡献能力通过职业化路径校准——市场筛选、专业训练、同行评审共同将个人能力定价。这个路径在2072年对大多数人已不再适用。教育体系在这个背景下承接了部分校准功能：不是职业技能训练，而是两类更基础的能力——批判性评估自身贡献质量的能力（区分”我觉得有价值”与”这在社区层面有意义”），以及将个人实践与更广泛知识框架连接的能力。这两类能力使个人的贡献行为更有可能在社区层面产生实质定位效果，是地方文化复兴和社区非正式经济活力的隐性基础设施之一。</w:t>
      </w:r>
    </w:p>
    <w:p>
      <w:pPr>
        <w:pStyle w:val="BodyText"/>
      </w:pPr>
      <w:r>
        <w:rPr>
          <w:bCs/>
          <w:b/>
        </w:rPr>
        <w:t xml:space="preserve">A1与A2的不对称性。</w:t>
      </w:r>
      <w:r>
        <w:t xml:space="preserve"> </w:t>
      </w:r>
      <w:r>
        <w:t xml:space="preserve">A1体系中，获得层与贡献层的分离较为彻底，个人在两个维度上有较大的自主空间。A2体系中，配给的实际质量与政治顺从性之间存在隐性关联，独立于体制贡献之外的个人面临系统性的社会压力；贡献层的自主空间在制度上受到更多约束，与A1逻辑有根本性差异。</w:t>
      </w:r>
    </w:p>
    <w:bookmarkEnd w:id="286"/>
    <w:bookmarkStart w:id="287" w:name="非正式经济贡献行为的自发组织形态"/>
    <w:p>
      <w:pPr>
        <w:pStyle w:val="Heading3"/>
      </w:pPr>
      <w:r>
        <w:t xml:space="preserve">4.17.3　非正式经济：贡献行为的自发组织形态</w:t>
      </w:r>
    </w:p>
    <w:p>
      <w:pPr>
        <w:pStyle w:val="FirstParagraph"/>
      </w:pPr>
      <w:r>
        <w:t xml:space="preserve">上一节描述的是个体动机的转变——贡献从生存驱动变为定位驱动。这一节描述这些分散的定位驱动行为如何在社区层面自发组织成可识别的经济形态。非正式经济是获得-贡献分离之后贡献行为的自发组织结果，不是正式经济的补充，而是在保障边界之外独立运作的平行体系。2072年的非正式经济规模比工业时代更大、更系统化，驱动力正是获得有保障之后贡献动机向定位转移。</w:t>
      </w:r>
    </w:p>
    <w:p>
      <w:pPr>
        <w:pStyle w:val="BodyText"/>
      </w:pPr>
      <w:r>
        <w:t xml:space="preserve">配给经济覆盖基本需求，但人类需求的层次远超基本需求——在配给边界之外，交换是自发的。去中心化支付技术提供了不依赖国家金融体系的交换媒介。AI系统难以监控高度分散的个体间交换，监控成本超过税收收益，使非正式经济在技术上得以大规模存在。</w:t>
      </w:r>
    </w:p>
    <w:p>
      <w:pPr>
        <w:pStyle w:val="BodyText"/>
      </w:pPr>
      <w:r>
        <w:rPr>
          <w:bCs/>
          <w:b/>
        </w:rPr>
        <w:t xml:space="preserve">情感劳动市场。</w:t>
      </w:r>
      <w:r>
        <w:t xml:space="preserve"> </w:t>
      </w:r>
      <w:r>
        <w:t xml:space="preserve">陪伴、倾听、真实的人类关注，是非正式经济中价值密度最高的部分。付费陪伴不同于工业时代的性工作——它是泛化的人际连接商品化，包括但不限于性，更多反映深度孤独社会中对人类注意力的原始需求。</w:t>
      </w:r>
    </w:p>
    <w:p>
      <w:pPr>
        <w:pStyle w:val="BodyText"/>
      </w:pPr>
      <w:r>
        <w:rPr>
          <w:bCs/>
          <w:b/>
        </w:rPr>
        <w:t xml:space="preserve">地下知识传递。</w:t>
      </w:r>
      <w:r>
        <w:t xml:space="preserve"> </w:t>
      </w:r>
      <w:r>
        <w:t xml:space="preserve">未经配给系统过滤的知识——政治禁书、被算法压制的历史、本地民间知识——在社区间通过实体媒介传递。这个市场的规模直接反映信息管控的程度。</w:t>
      </w:r>
    </w:p>
    <w:p>
      <w:pPr>
        <w:pStyle w:val="BodyText"/>
      </w:pPr>
      <w:r>
        <w:rPr>
          <w:bCs/>
          <w:b/>
        </w:rPr>
        <w:t xml:space="preserve">手工精品市场。</w:t>
      </w:r>
      <w:r>
        <w:t xml:space="preserve"> </w:t>
      </w:r>
      <w:r>
        <w:t xml:space="preserve">有人类故事和情感价值的物品，不依赖AI认证系统，通过口碑和社区信任流通。这个市场与4.14节描述的人类创作溢价市场在供给侧高度重叠——两者共同依赖以定位为目的从事创作的个体，而非来自职业文化产业的有意规划。</w:t>
      </w:r>
    </w:p>
    <w:p>
      <w:pPr>
        <w:pStyle w:val="BodyText"/>
      </w:pPr>
      <w:r>
        <w:rPr>
          <w:bCs/>
          <w:b/>
        </w:rPr>
        <w:t xml:space="preserve">技能交换网络。</w:t>
      </w:r>
      <w:r>
        <w:t xml:space="preserve"> </w:t>
      </w:r>
      <w:r>
        <w:t xml:space="preserve">不通过货币的直接服务互换——医生治疗换农产品、木工修理换IT支持，形成本地经济的微循环。这个形态在遗忘地带最普遍，在城市社区中有复兴趋势，是贡献行为在社区尺度内自我组织的最直接形态。</w:t>
      </w:r>
    </w:p>
    <w:p>
      <w:pPr>
        <w:pStyle w:val="BodyText"/>
      </w:pPr>
      <w:r>
        <w:rPr>
          <w:bCs/>
          <w:b/>
        </w:rPr>
        <w:t xml:space="preserve">加密经济的灰色地带。</w:t>
      </w:r>
      <w:r>
        <w:t xml:space="preserve"> </w:t>
      </w:r>
      <w:r>
        <w:t xml:space="preserve">用加密货币进行的跨境价值转移，绕过国家金融管制。主要功能：汇款（遗忘地带的移民向家庭转账）、小额投资、非法商品交易。各方普遍认同其占全球经济活动的5—10%。</w:t>
      </w:r>
    </w:p>
    <w:bookmarkEnd w:id="287"/>
    <w:bookmarkStart w:id="288" w:name="bsc衰减函数对低产出社区的双重效应"/>
    <w:p>
      <w:pPr>
        <w:pStyle w:val="Heading3"/>
      </w:pPr>
      <w:r>
        <w:t xml:space="preserve">4.17.4　BSC衰减函数对低产出社区的双重效应</w:t>
      </w:r>
    </w:p>
    <w:p>
      <w:pPr>
        <w:pStyle w:val="FirstParagraph"/>
      </w:pPr>
      <w:r>
        <w:t xml:space="preserve">BSC的90天衰减函数在低产出社区产生两个方向相反的效应，合力塑造了这类社区非正式经济的边界条件。</w:t>
      </w:r>
    </w:p>
    <w:p>
      <w:pPr>
        <w:pStyle w:val="BodyText"/>
      </w:pPr>
      <w:r>
        <w:t xml:space="preserve">正向效应是催生本地交换凭证经济。衰减函数使BSC持有者的时间视野被锁定在三个月以内，</w:t>
      </w:r>
      <w:r>
        <w:t xml:space="preserve">“</w:t>
      </w:r>
      <w:r>
        <w:t xml:space="preserve">用在当下</w:t>
      </w:r>
      <w:r>
        <w:t xml:space="preserve">”</w:t>
      </w:r>
      <w:r>
        <w:t xml:space="preserve">比”留给以后”更理性，这推动了密集的本地消费和邻里互助——照看孩子、修理器具、分享食物等互助服务通过非正式积分记录，在BSC衰减逻辑之外形成补充网络。这套网络增加了社区黏性，使技能交换和情感劳动在没有货币结算的情况下也能持续运转。</w:t>
      </w:r>
    </w:p>
    <w:p>
      <w:pPr>
        <w:pStyle w:val="BodyText"/>
      </w:pPr>
      <w:r>
        <w:t xml:space="preserve">逆向效应是系统性抑制跨期积累能力。衰减函数不只作用于个人，同样作用于社区层面：当绝大多数成员的可支配资源都锁定在三个月周期内，社区几乎无法通过内部积累形成足以建设外部接口的资本。这种能力的缺失不是意愿问题，而是制度结构导致的资产积累上限。低产出社区因此对外部资源注入高度依赖，没有外部渠道的社区，内部非正式经济再活跃，也难以积累建设接口所需的初始资本。</w:t>
      </w:r>
    </w:p>
    <w:bookmarkEnd w:id="288"/>
    <w:bookmarkStart w:id="289" w:name="a1低产出社区的外部收入渠道与分化机制"/>
    <w:p>
      <w:pPr>
        <w:pStyle w:val="Heading3"/>
      </w:pPr>
      <w:r>
        <w:t xml:space="preserve">4.17.5　A1低产出社区的外部收入渠道与分化机制</w:t>
      </w:r>
    </w:p>
    <w:p>
      <w:pPr>
        <w:pStyle w:val="FirstParagraph"/>
      </w:pPr>
      <w:r>
        <w:t xml:space="preserve">低产出社区的内部非正式经济提供了稳定性，但实际生活水平的长期差异，主要由是否打通了与外部经济的收入渠道决定。2072年A1低产出社区存在两类有实质意义的外部渠道，各自有不同的前提条件和规模上限。</w:t>
      </w:r>
    </w:p>
    <w:p>
      <w:pPr>
        <w:pStyle w:val="BodyText"/>
      </w:pPr>
      <w:r>
        <w:rPr>
          <w:bCs/>
          <w:b/>
        </w:rPr>
        <w:t xml:space="preserve">体验经济接口。</w:t>
      </w:r>
      <w:r>
        <w:t xml:space="preserve">”真实慢速生活”作为可消费品卖给高速经济体的访客，是部分慢生活社区实现净财富流入的核心机制。聚变后核心区人口时间充裕，意义感危机推动对真实性的主动需求，而低产出社区恰好保留了城市集群已经消失的生活质感——手工技艺、本地食物体系、慢节奏的人际互动。这个需求是真实的，但接口不会自动形成，需要真实性密度、基本接待基础设施和可持续的品牌积累同时满足。条件均满足时，体验经济形成稳定的外部资金流入，且与BSC脱钩——它是通过提供真实人类体验换取的市场收入，不受衰减函数约束，可用于长期投资。</w:t>
      </w:r>
    </w:p>
    <w:p>
      <w:pPr>
        <w:pStyle w:val="BodyText"/>
      </w:pPr>
      <w:r>
        <w:rPr>
          <w:bCs/>
          <w:b/>
        </w:rPr>
        <w:t xml:space="preserve">养老移民接口。</w:t>
      </w:r>
      <w:r>
        <w:t xml:space="preserve"> </w:t>
      </w:r>
      <w:r>
        <w:t xml:space="preserve">核心区退休人口迁入低成本地区居住，带来消费支出、退休资产和稳定性。但这条渠道有硬门槛：只有当低产出社区建设了有质量的老年医疗设施时，养老移民流入才会实际发生。医疗质量满足则形成正循环，不满足则渠道关闭。</w:t>
      </w:r>
    </w:p>
    <w:p>
      <w:pPr>
        <w:pStyle w:val="BodyText"/>
      </w:pPr>
      <w:r>
        <w:t xml:space="preserve">两条渠道的共同特征是：都需要外部资源的初始注入或政策支持作为启动条件，不能靠社区内部积累自然建成。这解释了同样依赖BSC托底的低产出社区为何形成轨迹的持久性分化——差别不在于居民的努力程度或非正式经济的活跃度，而在于历史时机、政策介入和初始资源禀赋是否恰好触发了某条渠道的建立。一旦建立，渠道产生自我强化；一旦错过窗口，在没有外部介入的情况下几乎无法追回。</w:t>
      </w:r>
    </w:p>
    <w:bookmarkEnd w:id="289"/>
    <w:bookmarkEnd w:id="290"/>
    <w:bookmarkStart w:id="295" w:name="年的经济稳态"/>
    <w:p>
      <w:pPr>
        <w:pStyle w:val="Heading2"/>
      </w:pPr>
      <w:r>
        <w:t xml:space="preserve">4.18　2072年的经济稳态</w:t>
      </w:r>
    </w:p>
    <w:bookmarkStart w:id="291" w:name="各类角色最终定位"/>
    <w:p>
      <w:pPr>
        <w:pStyle w:val="Heading3"/>
      </w:pPr>
      <w:r>
        <w:t xml:space="preserve">4.18.1　各类角色最终定位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类型</w:t>
            </w:r>
          </w:p>
        </w:tc>
        <w:tc>
          <w:tcPr/>
          <w:p>
            <w:pPr>
              <w:pStyle w:val="Compact"/>
              <w:jc w:val="left"/>
            </w:pPr>
            <w:r>
              <w:rPr>
                <w:bCs/>
                <w:b/>
              </w:rPr>
              <w:t xml:space="preserve">名称</w:t>
            </w:r>
          </w:p>
        </w:tc>
        <w:tc>
          <w:tcPr/>
          <w:p>
            <w:pPr>
              <w:pStyle w:val="Compact"/>
              <w:jc w:val="left"/>
            </w:pPr>
            <w:r>
              <w:rPr>
                <w:bCs/>
                <w:b/>
              </w:rPr>
              <w:t xml:space="preserve">2072年稳态定位</w:t>
            </w:r>
          </w:p>
        </w:tc>
        <w:tc>
          <w:tcPr/>
          <w:p>
            <w:pPr>
              <w:pStyle w:val="Compact"/>
              <w:jc w:val="left"/>
            </w:pPr>
            <w:r>
              <w:rPr>
                <w:bCs/>
                <w:b/>
              </w:rPr>
              <w:t xml:space="preserve">主要风险</w:t>
            </w:r>
          </w:p>
        </w:tc>
      </w:tr>
      <w:tr>
        <w:tc>
          <w:tcPr/>
          <w:p>
            <w:pPr>
              <w:pStyle w:val="Compact"/>
              <w:jc w:val="left"/>
            </w:pPr>
            <w:r>
              <w:t xml:space="preserve">A1</w:t>
            </w:r>
          </w:p>
        </w:tc>
        <w:tc>
          <w:tcPr/>
          <w:p>
            <w:pPr>
              <w:pStyle w:val="Compact"/>
              <w:jc w:val="left"/>
            </w:pPr>
            <w:r>
              <w:t xml:space="preserve">民主体系核心</w:t>
            </w:r>
          </w:p>
        </w:tc>
        <w:tc>
          <w:tcPr/>
          <w:p>
            <w:pPr>
              <w:pStyle w:val="Compact"/>
              <w:jc w:val="left"/>
            </w:pPr>
            <w:r>
              <w:t xml:space="preserve">技术标准与金融体系制定者；AI和聚变红利最大受益者；内部分配极化</w:t>
            </w:r>
          </w:p>
        </w:tc>
        <w:tc>
          <w:tcPr/>
          <w:p>
            <w:pPr>
              <w:pStyle w:val="Compact"/>
              <w:jc w:val="left"/>
            </w:pPr>
            <w:r>
              <w:t xml:space="preserve">AI资本税再分配力度的慢性制度争议；延寿技术可及性的公平争议；对外技术标准竞争</w:t>
            </w:r>
          </w:p>
        </w:tc>
      </w:tr>
      <w:tr>
        <w:tc>
          <w:tcPr/>
          <w:p>
            <w:pPr>
              <w:pStyle w:val="Compact"/>
              <w:jc w:val="left"/>
            </w:pPr>
            <w:r>
              <w:t xml:space="preserve">A2</w:t>
            </w:r>
          </w:p>
        </w:tc>
        <w:tc>
          <w:tcPr/>
          <w:p>
            <w:pPr>
              <w:pStyle w:val="Compact"/>
              <w:jc w:val="left"/>
            </w:pPr>
            <w:r>
              <w:t xml:space="preserve">威权体系核心</w:t>
            </w:r>
          </w:p>
        </w:tc>
        <w:tc>
          <w:tcPr/>
          <w:p>
            <w:pPr>
              <w:pStyle w:val="Compact"/>
              <w:jc w:val="left"/>
            </w:pPr>
            <w:r>
              <w:t xml:space="preserve">基础设施输出网络顶端；物质保障覆盖率高；私营创新集中于应用层</w:t>
            </w:r>
          </w:p>
        </w:tc>
        <w:tc>
          <w:tcPr/>
          <w:p>
            <w:pPr>
              <w:pStyle w:val="Compact"/>
              <w:jc w:val="left"/>
            </w:pPr>
            <w:r>
              <w:t xml:space="preserve">人口萎缩，创新不足，阶级固化倾向较明显</w:t>
            </w:r>
          </w:p>
        </w:tc>
      </w:tr>
      <w:tr>
        <w:tc>
          <w:tcPr/>
          <w:p>
            <w:pPr>
              <w:pStyle w:val="Compact"/>
              <w:jc w:val="left"/>
            </w:pPr>
            <w:r>
              <w:t xml:space="preserve">B</w:t>
            </w:r>
          </w:p>
        </w:tc>
        <w:tc>
          <w:tcPr/>
          <w:p>
            <w:pPr>
              <w:pStyle w:val="Compact"/>
              <w:jc w:val="left"/>
            </w:pPr>
            <w:r>
              <w:t xml:space="preserve">西方跟随者</w:t>
            </w:r>
          </w:p>
        </w:tc>
        <w:tc>
          <w:tcPr/>
          <w:p>
            <w:pPr>
              <w:pStyle w:val="Compact"/>
              <w:jc w:val="left"/>
            </w:pPr>
            <w:r>
              <w:t xml:space="preserve">A1体系次级受益者；福利体系承受财政压力；技术自主部分保留</w:t>
            </w:r>
          </w:p>
        </w:tc>
        <w:tc>
          <w:tcPr/>
          <w:p>
            <w:pPr>
              <w:pStyle w:val="Compact"/>
              <w:jc w:val="left"/>
            </w:pPr>
            <w:r>
              <w:t xml:space="preserve">中产阶级空洞化，政治右倾，对A1技术依赖加深</w:t>
            </w:r>
          </w:p>
        </w:tc>
      </w:tr>
      <w:tr>
        <w:tc>
          <w:tcPr/>
          <w:p>
            <w:pPr>
              <w:pStyle w:val="Compact"/>
              <w:jc w:val="left"/>
            </w:pPr>
            <w:r>
              <w:t xml:space="preserve">C</w:t>
            </w:r>
          </w:p>
        </w:tc>
        <w:tc>
          <w:tcPr/>
          <w:p>
            <w:pPr>
              <w:pStyle w:val="Compact"/>
              <w:jc w:val="left"/>
            </w:pPr>
            <w:r>
              <w:t xml:space="preserve">威权体系整合者</w:t>
            </w:r>
          </w:p>
        </w:tc>
        <w:tc>
          <w:tcPr/>
          <w:p>
            <w:pPr>
              <w:pStyle w:val="Compact"/>
              <w:jc w:val="left"/>
            </w:pPr>
            <w:r>
              <w:t xml:space="preserve">获得基础设施和聚变红利，以资源权益和政治依附为代价</w:t>
            </w:r>
          </w:p>
        </w:tc>
        <w:tc>
          <w:tcPr/>
          <w:p>
            <w:pPr>
              <w:pStyle w:val="Compact"/>
              <w:jc w:val="left"/>
            </w:pPr>
            <w:r>
              <w:t xml:space="preserve">主权侵蚀，A2体系内分配不公</w:t>
            </w:r>
          </w:p>
        </w:tc>
      </w:tr>
      <w:tr>
        <w:tc>
          <w:tcPr/>
          <w:p>
            <w:pPr>
              <w:pStyle w:val="Compact"/>
              <w:jc w:val="left"/>
            </w:pPr>
            <w:r>
              <w:t xml:space="preserve">D</w:t>
            </w:r>
          </w:p>
        </w:tc>
        <w:tc>
          <w:tcPr/>
          <w:p>
            <w:pPr>
              <w:pStyle w:val="Compact"/>
              <w:jc w:val="left"/>
            </w:pPr>
            <w:r>
              <w:t xml:space="preserve">资源出口国</w:t>
            </w:r>
          </w:p>
        </w:tc>
        <w:tc>
          <w:tcPr/>
          <w:p>
            <w:pPr>
              <w:pStyle w:val="Compact"/>
              <w:jc w:val="left"/>
            </w:pPr>
            <w:r>
              <w:t xml:space="preserve">内部深度分化：化石能源国收入崩溃，矿产国面临深海竞争</w:t>
            </w:r>
          </w:p>
        </w:tc>
        <w:tc>
          <w:tcPr/>
          <w:p>
            <w:pPr>
              <w:pStyle w:val="Compact"/>
              <w:jc w:val="left"/>
            </w:pPr>
            <w:r>
              <w:t xml:space="preserve">价值链被截取，化石能源国结构性衰退</w:t>
            </w:r>
          </w:p>
        </w:tc>
      </w:tr>
      <w:tr>
        <w:tc>
          <w:tcPr/>
          <w:p>
            <w:pPr>
              <w:pStyle w:val="Compact"/>
              <w:jc w:val="left"/>
            </w:pPr>
            <w:r>
              <w:t xml:space="preserve">E</w:t>
            </w:r>
          </w:p>
        </w:tc>
        <w:tc>
          <w:tcPr/>
          <w:p>
            <w:pPr>
              <w:pStyle w:val="Compact"/>
              <w:jc w:val="left"/>
            </w:pPr>
            <w:r>
              <w:t xml:space="preserve">农业出口国</w:t>
            </w:r>
          </w:p>
        </w:tc>
        <w:tc>
          <w:tcPr/>
          <w:p>
            <w:pPr>
              <w:pStyle w:val="Compact"/>
              <w:jc w:val="left"/>
            </w:pPr>
            <w:r>
              <w:t xml:space="preserve">大宗粮食地位相对稳定，蛋白质出口受替代冲击</w:t>
            </w:r>
          </w:p>
        </w:tc>
        <w:tc>
          <w:tcPr/>
          <w:p>
            <w:pPr>
              <w:pStyle w:val="Compact"/>
              <w:jc w:val="left"/>
            </w:pPr>
            <w:r>
              <w:t xml:space="preserve">合成食品长期替代，农村人口城镇化压力</w:t>
            </w:r>
          </w:p>
        </w:tc>
      </w:tr>
      <w:tr>
        <w:tc>
          <w:tcPr/>
          <w:p>
            <w:pPr>
              <w:pStyle w:val="Compact"/>
              <w:jc w:val="left"/>
            </w:pPr>
            <w:r>
              <w:t xml:space="preserve">F</w:t>
            </w:r>
          </w:p>
        </w:tc>
        <w:tc>
          <w:tcPr/>
          <w:p>
            <w:pPr>
              <w:pStyle w:val="Compact"/>
              <w:jc w:val="left"/>
            </w:pPr>
            <w:r>
              <w:t xml:space="preserve">制造业人口大国</w:t>
            </w:r>
          </w:p>
        </w:tc>
        <w:tc>
          <w:tcPr/>
          <w:p>
            <w:pPr>
              <w:pStyle w:val="Compact"/>
              <w:jc w:val="left"/>
            </w:pPr>
            <w:r>
              <w:t xml:space="preserve">传统发展路径切断；青年结构性失业高峰已过但持续承压</w:t>
            </w:r>
          </w:p>
        </w:tc>
        <w:tc>
          <w:tcPr/>
          <w:p>
            <w:pPr>
              <w:pStyle w:val="Compact"/>
              <w:jc w:val="left"/>
            </w:pPr>
            <w:r>
              <w:t xml:space="preserve">大规模结构性失业，政治极度不稳定</w:t>
            </w:r>
          </w:p>
        </w:tc>
      </w:tr>
      <w:tr>
        <w:tc>
          <w:tcPr/>
          <w:p>
            <w:pPr>
              <w:pStyle w:val="Compact"/>
              <w:jc w:val="left"/>
            </w:pPr>
            <w:r>
              <w:t xml:space="preserve">G</w:t>
            </w:r>
          </w:p>
        </w:tc>
        <w:tc>
          <w:tcPr/>
          <w:p>
            <w:pPr>
              <w:pStyle w:val="Compact"/>
              <w:jc w:val="left"/>
            </w:pPr>
            <w:r>
              <w:t xml:space="preserve">摇摆/自主体</w:t>
            </w:r>
          </w:p>
        </w:tc>
        <w:tc>
          <w:tcPr/>
          <w:p>
            <w:pPr>
              <w:pStyle w:val="Compact"/>
              <w:jc w:val="left"/>
            </w:pPr>
            <w:r>
              <w:t xml:space="preserve">两体系间战略模糊，双轨金融和技术标准并行</w:t>
            </w:r>
          </w:p>
        </w:tc>
        <w:tc>
          <w:tcPr/>
          <w:p>
            <w:pPr>
              <w:pStyle w:val="Compact"/>
              <w:jc w:val="left"/>
            </w:pPr>
            <w:r>
              <w:t xml:space="preserve">被迫选边的压力，内部分化的政治爆发</w:t>
            </w:r>
          </w:p>
        </w:tc>
      </w:tr>
      <w:tr>
        <w:tc>
          <w:tcPr/>
          <w:p>
            <w:pPr>
              <w:pStyle w:val="Compact"/>
              <w:jc w:val="left"/>
            </w:pPr>
            <w:r>
              <w:t xml:space="preserve">H</w:t>
            </w:r>
          </w:p>
        </w:tc>
        <w:tc>
          <w:tcPr/>
          <w:p>
            <w:pPr>
              <w:pStyle w:val="Compact"/>
              <w:jc w:val="left"/>
            </w:pPr>
            <w:r>
              <w:t xml:space="preserve">城邦整合者</w:t>
            </w:r>
          </w:p>
        </w:tc>
        <w:tc>
          <w:tcPr/>
          <w:p>
            <w:pPr>
              <w:pStyle w:val="Compact"/>
              <w:jc w:val="left"/>
            </w:pPr>
            <w:r>
              <w:t xml:space="preserve">高度整合A1体系；技术覆盖率最高；物质极富</w:t>
            </w:r>
          </w:p>
        </w:tc>
        <w:tc>
          <w:tcPr/>
          <w:p>
            <w:pPr>
              <w:pStyle w:val="Compact"/>
              <w:jc w:val="left"/>
            </w:pPr>
            <w:r>
              <w:t xml:space="preserve">极度依赖全球体系稳定，本地人口萎缩</w:t>
            </w:r>
          </w:p>
        </w:tc>
      </w:tr>
      <w:tr>
        <w:tc>
          <w:tcPr/>
          <w:p>
            <w:pPr>
              <w:pStyle w:val="Compact"/>
              <w:jc w:val="left"/>
            </w:pPr>
            <w:r>
              <w:t xml:space="preserve">I</w:t>
            </w:r>
          </w:p>
        </w:tc>
        <w:tc>
          <w:tcPr/>
          <w:p>
            <w:pPr>
              <w:pStyle w:val="Compact"/>
              <w:jc w:val="left"/>
            </w:pPr>
            <w:r>
              <w:t xml:space="preserve">边缘脱嵌</w:t>
            </w:r>
          </w:p>
        </w:tc>
        <w:tc>
          <w:tcPr/>
          <w:p>
            <w:pPr>
              <w:pStyle w:val="Compact"/>
              <w:jc w:val="left"/>
            </w:pPr>
            <w:r>
              <w:t xml:space="preserve">技术鸿沟持续扩大；不在两大体系主动覆盖范围内</w:t>
            </w:r>
          </w:p>
        </w:tc>
        <w:tc>
          <w:tcPr/>
          <w:p>
            <w:pPr>
              <w:pStyle w:val="Compact"/>
              <w:jc w:val="left"/>
            </w:pPr>
            <w:r>
              <w:t xml:space="preserve">差距固化可能是永久性的，暴力和贫困危机持续</w:t>
            </w:r>
          </w:p>
        </w:tc>
      </w:tr>
    </w:tbl>
    <w:p>
      <w:pPr>
        <w:pStyle w:val="BodyText"/>
      </w:pPr>
      <w:r>
        <w:t xml:space="preserve">2072年A1体系内部仍存在政治争议，但其性质与动荡期的极化根本不同。动荡期的极化有特定的结构性来源：裸露期经济压力尚未被制度吸收，大量人口处于身份真空，民粹动员有充足的受众和议题。这些条件在2072年已系统性弱化——BSC覆盖了基本生存，高等教育普及提高了公民对集体行动成本的认知，L4文化吸收部分完成。当前的政治争议集中在AI资本税的再分配力度、延寿技术的公平可及性、BSC品类扩张的财政边界等具体制度议题，是慢性的结构性争议而非动荡期那种急性的身份危机。意识形态对抗的能量也在相当程度上从国内政治转移到体系间竞争（A1 vs A2叙事战），进一步稀释了国内极化的强度。稳态下的政治争议是民主制度的正常运作，不构成对体系的系统性威胁。</w:t>
      </w:r>
    </w:p>
    <w:bookmarkEnd w:id="291"/>
    <w:bookmarkStart w:id="292" w:name="两大体系的互依与脱钩边界"/>
    <w:p>
      <w:pPr>
        <w:pStyle w:val="Heading3"/>
      </w:pPr>
      <w:r>
        <w:t xml:space="preserve">4.18.2　两大体系的互依与脱钩边界</w:t>
      </w:r>
    </w:p>
    <w:p>
      <w:pPr>
        <w:pStyle w:val="FirstParagraph"/>
      </w:pPr>
      <w:r>
        <w:t xml:space="preserve">战略技术层已经脱钩（AI核心算法、聚变关键设备、半导体），非战略商品仍然跨体系流通。「战略脱钩+商业互依」的共存是2072年国际经济关系的基本形态。</w:t>
      </w:r>
    </w:p>
    <w:p>
      <w:pPr>
        <w:pStyle w:val="BodyText"/>
      </w:pPr>
      <w:r>
        <w:t xml:space="preserve">货币层面同样遵循这个逻辑，但需要区分两个不同维度。</w:t>
      </w:r>
      <w:r>
        <w:rPr>
          <w:bCs/>
          <w:b/>
        </w:rPr>
        <w:t xml:space="preserve">贸易项目</w:t>
      </w:r>
      <w:r>
        <w:t xml:space="preserve">：两大体系之间持续存在的商品贸易使完全的货币隔离不可能发生——跨体系贸易结算需要某种汇兑渠道，人民币对跨体系贸易项目有条件开放，美元在C类和B1类城邦中介的协助下仍可间接参与A2体系内的部分结算。</w:t>
      </w:r>
      <w:r>
        <w:rPr>
          <w:bCs/>
          <w:b/>
        </w:rPr>
        <w:t xml:space="preserve">资本项目</w:t>
      </w:r>
      <w:r>
        <w:t xml:space="preserve">：人民币的资本账户管制是结构性的，不可能为国际化而放开——一旦开放，配给额度可被兑换为外部资产转移，直接破坏配给分配逻辑（详见4.13.1节）。两个维度的区分是准确理解人民币在A2体系地位的前提：人民币是A2体系内的主导结算货币，但不是可自由兑换的国际储备货币，两者是不同层次的概念。</w:t>
      </w:r>
    </w:p>
    <w:p>
      <w:pPr>
        <w:pStyle w:val="BodyText"/>
      </w:pPr>
      <w:r>
        <w:t xml:space="preserve">人民币在A2体系内获得结算主导地位的机制，不是从国际化逻辑推导的，而有其正面的形成原因：B2类国家（威权整合者）本币普遍脆弱，缺乏可信的替代储值工具；A2体系的基础设施援助以人民币或人民币等价资产计价，确立了贸易定价的起点；A2内部的跨境大宗商品交易随政治整合深化转向人民币结算。这使人民币在A2体系内的结算功能是真实且稳定的，即便其储备货币功能受资本管制约束而十分有限。</w:t>
      </w:r>
    </w:p>
    <w:p>
      <w:pPr>
        <w:pStyle w:val="BodyText"/>
      </w:pPr>
      <w:r>
        <w:t xml:space="preserve">汇率机制方面，人民币延续受控浮动，汇率由A2数据监控体系下的市场力量决定而非行政固定；跨体系大额交易通过C类和B1类城邦的双轨金融中介完成，直接兑换受限，但间接渠道充分存在，两套货币体系并非完全隔绝。C类对冲自主体在这个缝隙里生存，B1类城邦型经济体靠服务两个体系的贸易流动维持繁荣。</w:t>
      </w:r>
    </w:p>
    <w:p>
      <w:pPr>
        <w:pStyle w:val="BodyText"/>
      </w:pPr>
      <w:r>
        <w:rPr>
          <w:iCs/>
          <w:i/>
        </w:rPr>
        <w:t xml:space="preserve">2072年各类货币体系的详细演化见4.13节国际金融体系。</w:t>
      </w:r>
    </w:p>
    <w:bookmarkEnd w:id="292"/>
    <w:bookmarkStart w:id="293" w:name="多态社会的经济物质基础"/>
    <w:p>
      <w:pPr>
        <w:pStyle w:val="Heading3"/>
      </w:pPr>
      <w:r>
        <w:t xml:space="preserve">4.18.3　多态社会的经济物质基础</w:t>
      </w:r>
    </w:p>
    <w:p>
      <w:pPr>
        <w:pStyle w:val="FirstParagraph"/>
      </w:pPr>
      <w:r>
        <w:t xml:space="preserve">聚变使能源密集型商品的生产成本大幅下降，配给体系的实物成本因此降至可持续运转的量级，相互忽视均衡在经济上是最低成本的选择——维持稳定比镇压便宜，忽视比整合便宜。各社区在不同的物质水平上维持自身存在，不需要统一的经济逻辑。这一物质基础的形成机制详见4.9.6节。</w:t>
      </w:r>
    </w:p>
    <w:p>
      <w:pPr>
        <w:pStyle w:val="BodyText"/>
      </w:pPr>
      <w:r>
        <w:t xml:space="preserve">这个稳态伴随若干结构性张力：经济极化持续存在；劳动收入占GDP比重下降使意义感与经济参与的关联减弱；物资配给约束消费自主性（A2体系）；现金保障维持消费自主但依赖保障的人口占多数（A1体系）。这些张力是多态社会经济基础的组成部分，不自动导致系统崩溃，也不会自动消解。</w:t>
      </w:r>
    </w:p>
    <w:p>
      <w:pPr>
        <w:pStyle w:val="BodyText"/>
      </w:pPr>
      <w:r>
        <w:t xml:space="preserve">经济线描述的是技术进展如何通过分配机制影响各类经济体的物质条件和社会结构。技术带来了物质充裕的条件，但充裕的分配结果高度不均等；体系带来了秩序，但秩序的代价因路径而异。分配问题和意义问题作为未解决的张力，构成社会线的起点。</w:t>
      </w:r>
    </w:p>
    <w:bookmarkEnd w:id="293"/>
    <w:bookmarkStart w:id="294" w:name="人口-资源稳态"/>
    <w:p>
      <w:pPr>
        <w:pStyle w:val="Heading3"/>
      </w:pPr>
      <w:r>
        <w:t xml:space="preserve">4.18.4　人口-资源稳态</w:t>
      </w:r>
    </w:p>
    <w:p>
      <w:pPr>
        <w:pStyle w:val="FirstParagraph"/>
      </w:pPr>
      <w:r>
        <w:t xml:space="preserve">多个结构性力量从不同方向产生作用——配给降低了经济障碍、高等教育改变了生育意愿、空间和资源条件形成自然上限——各路径在不同时间节点陆续趋向低水平动态平衡。这个平衡不是任何主体设计的结果，而是个体在各自条件下做出选择后的集体涌现。</w:t>
      </w:r>
    </w:p>
    <w:p>
      <w:pPr>
        <w:pStyle w:val="BodyText"/>
      </w:pPr>
      <w:r>
        <w:t xml:space="preserve">城市集群路径的生育率持续低于替代水平，小城镇和内陆地区略高但同样低迷，被遗忘地带因马尔萨斯约束和信息渗透并存而维持在相对较高但持续下降的水平。全球人口规模在稳态下将显著低于工业时代高峰，但对应更高的人均资源占有量——聚变使能源充裕，深海采矿补充材料供应，合成食品减少农业用地需求，资源约束在这个人口规模下是宽松的而非紧张的。</w:t>
      </w:r>
    </w:p>
    <w:p>
      <w:pPr>
        <w:pStyle w:val="BodyText"/>
      </w:pPr>
      <w:r>
        <w:t xml:space="preserve">2072年处于走向稳态的途中，不是稳态本身。经济障碍刚刚被配给覆盖，心理障碍正在被高等教育普及推高，代际差异开始可见但未成断裂，反弹正在被抵消。这个”途中”的不确定性——方向已定但幅度仍在演化——是2072年故事节点最有张力的人口背景。</w:t>
      </w:r>
    </w:p>
    <w:bookmarkEnd w:id="294"/>
    <w:bookmarkEnd w:id="295"/>
    <w:bookmarkEnd w:id="296"/>
    <w:bookmarkStart w:id="347" w:name="第五部分-社会发展时间线多态并行"/>
    <w:p>
      <w:pPr>
        <w:pStyle w:val="Heading1"/>
      </w:pPr>
      <w:r>
        <w:t xml:space="preserve">第五部分　社会发展时间线（多态并行）</w:t>
      </w:r>
    </w:p>
    <w:bookmarkStart w:id="301" w:name="第一分化阶段约20312045制度响应分叉"/>
    <w:p>
      <w:pPr>
        <w:pStyle w:val="Heading2"/>
      </w:pPr>
      <w:r>
        <w:t xml:space="preserve">5.1　第一分化阶段（约2031—2045）：制度响应分叉</w:t>
      </w:r>
    </w:p>
    <w:p>
      <w:pPr>
        <w:pStyle w:val="FirstParagraph"/>
      </w:pPr>
      <w:r>
        <w:t xml:space="preserve">背景条件：AGI临界（2027）→ AI就业替代成为主要经济现实（L2，各路径2030—2035）→ 制度响应滞后约4—12年（L3）→ 裸露期跨度因路径而异</w:t>
      </w:r>
    </w:p>
    <w:p>
      <w:pPr>
        <w:pStyle w:val="BodyText"/>
      </w:pPr>
      <w:r>
        <w:t xml:space="preserve">AI替代就业的冲击在2027年后持续渗透，不存在单一触发时刻，各路径的制度响应是随着就业压力积累逐步展开的历时过程。本阶段的核心现象不是某个节点上的分叉，而是制度响应速度的结构性差异在2031—2045年间将各路径逐步推向不同轨道。</w:t>
      </w:r>
    </w:p>
    <w:p>
      <w:pPr>
        <w:pStyle w:val="BodyText"/>
      </w:pPr>
      <w:r>
        <w:t xml:space="preserve">中国的制度响应最快，无需经过民主协商，技术官僚体制在就业压力累积之前已部署应对框架。美国的制度响应是多轮渐进立法的产物：从失业救济扩大（2030年代初），到资本收入税调整立法（2036—2040年，同期专项自动化税立法政治影响大于财政实效），到工时压缩，到积分体系雏形在州级先行，再到联邦BSC框架正式成型（2052—2055年）——每一步都是当期政治博弈的结果，没有哪一步是预先设计好的终点。欧洲的多国协商机制使响应进一步推迟，但各国劳工保护法律也对替代速度形成部分阻力。裸露期（AI替代已在压缩就业，而制度保障尚未到位）在全球南方最长，且不随时间自动解决——其根本原因是没有可分配的经济红利作为制度建设的财政基础，是结构性的而非协商成本问题。裸露期内的社会压力积累构成第七部分动荡期的核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中国</w:t>
            </w:r>
          </w:p>
        </w:tc>
        <w:tc>
          <w:tcPr/>
          <w:p>
            <w:pPr>
              <w:pStyle w:val="Compact"/>
              <w:jc w:val="left"/>
            </w:pPr>
            <w:r>
              <w:rPr>
                <w:bCs/>
                <w:b/>
              </w:rPr>
              <w:t xml:space="preserve">美国</w:t>
            </w:r>
          </w:p>
        </w:tc>
        <w:tc>
          <w:tcPr/>
          <w:p>
            <w:pPr>
              <w:pStyle w:val="Compact"/>
              <w:jc w:val="left"/>
            </w:pPr>
            <w:r>
              <w:rPr>
                <w:bCs/>
                <w:b/>
              </w:rPr>
              <w:t xml:space="preserve">欧亚民主</w:t>
            </w:r>
          </w:p>
        </w:tc>
      </w:tr>
      <w:tr>
        <w:tc>
          <w:tcPr/>
          <w:p>
            <w:pPr>
              <w:pStyle w:val="Compact"/>
              <w:jc w:val="left"/>
            </w:pPr>
            <w:r>
              <w:rPr>
                <w:bCs/>
                <w:b/>
              </w:rPr>
              <w:t xml:space="preserve">技术官僚缓冲期</w:t>
            </w:r>
            <w:r>
              <w:t xml:space="preserve"> </w:t>
            </w:r>
            <w:r>
              <w:t xml:space="preserve">政府和事业单位编制扩张吸收第一波替代压力，表面失业率受控，新增市场性就业实质停止。年轻人涌向公务员考试，录取名额同步压缩，竞争烈度上升。制度响应（就业税收抵免、国有AI资本利润配给化、基础保障框架）在2033—2040年间无需协商即推进。供应票据体系同步扩大覆盖范围，但额度受制于人均GDP水平，仅能保障基本粮食和初级医疗，住房、教育、交通等品类的配给远贫乏于A1积分体系——这个差距是设计逻辑的组成部分：维持“有单位”与“只有票据”之间的可见物质落差，使进入体制成为真实的奋斗目标。</w:t>
            </w:r>
          </w:p>
        </w:tc>
        <w:tc>
          <w:tcPr/>
          <w:p>
            <w:pPr>
              <w:pStyle w:val="Compact"/>
              <w:jc w:val="left"/>
            </w:pPr>
            <w:r>
              <w:rPr>
                <w:bCs/>
                <w:b/>
              </w:rPr>
              <w:t xml:space="preserve">市场震荡期</w:t>
            </w:r>
            <w:r>
              <w:t xml:space="preserve"> </w:t>
            </w:r>
            <w:r>
              <w:t xml:space="preserve">白领中层替代加速，企业以”AI协作”名义裁员。政治层面2036年前无共识，2036—2040年民粹联盟推动”工作分享”立法。个人层面：努力方向突然失去参照，意义感危机最早在精英层显现。</w:t>
            </w:r>
          </w:p>
        </w:tc>
        <w:tc>
          <w:tcPr/>
          <w:p>
            <w:pPr>
              <w:pStyle w:val="Compact"/>
              <w:jc w:val="left"/>
            </w:pPr>
            <w:r>
              <w:rPr>
                <w:bCs/>
                <w:b/>
              </w:rPr>
              <w:t xml:space="preserve">协商摩擦期</w:t>
            </w:r>
            <w:r>
              <w:t xml:space="preserve"> </w:t>
            </w:r>
            <w:r>
              <w:t xml:space="preserve">劳工立法保护制造替代阻力，使L2渗透速度略慢，但也延迟了L3的完成。各国响应速度不一，欧盟层面协调困难，2038—2045年间陆续完成基础保障立法。</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全球南方</w:t>
            </w:r>
          </w:p>
        </w:tc>
        <w:tc>
          <w:tcPr/>
          <w:p>
            <w:pPr>
              <w:pStyle w:val="Compact"/>
              <w:jc w:val="left"/>
            </w:pPr>
            <w:r>
              <w:rPr>
                <w:bCs/>
                <w:b/>
              </w:rPr>
              <w:t xml:space="preserve">被遗忘地带</w:t>
            </w:r>
          </w:p>
        </w:tc>
      </w:tr>
      <w:tr>
        <w:tc>
          <w:tcPr/>
          <w:p>
            <w:pPr>
              <w:pStyle w:val="Compact"/>
              <w:jc w:val="left"/>
            </w:pPr>
            <w:r>
              <w:rPr>
                <w:bCs/>
                <w:b/>
              </w:rPr>
              <w:t xml:space="preserve">比较优势侵蚀期</w:t>
            </w:r>
            <w:r>
              <w:t xml:space="preserve"> </w:t>
            </w:r>
            <w:r>
              <w:t xml:space="preserve">制造业劳动力成本优势开始失效，跨国企业撤资信号出现。AI替代与制度保障空白的叠加制造了裸露期中最脆弱的社会状态。精英层开始评估中美技术依附选项。</w:t>
            </w:r>
          </w:p>
        </w:tc>
        <w:tc>
          <w:tcPr/>
          <w:p>
            <w:pPr>
              <w:pStyle w:val="Compact"/>
              <w:jc w:val="left"/>
            </w:pPr>
            <w:r>
              <w:rPr>
                <w:bCs/>
                <w:b/>
              </w:rPr>
              <w:t xml:space="preserve">尚未感知</w:t>
            </w:r>
            <w:r>
              <w:t xml:space="preserve"> </w:t>
            </w:r>
            <w:r>
              <w:t xml:space="preserve">AI替代主要冲击正式就业部门，这些地区非正式经济占主体，影响通过侨汇减少间接传入。与外部世界的技术鸿沟开始在这个节点扩大。</w:t>
            </w:r>
          </w:p>
        </w:tc>
      </w:tr>
    </w:tbl>
    <w:p>
      <w:pPr>
        <w:pStyle w:val="BodyText"/>
      </w:pPr>
      <w:r>
        <w:t xml:space="preserve">中国这一阶段面临一个制度性矛盾：AI自主可控的民族主义叙事，与AI系统实际依赖的底层技术仍有部分外部差距之间的张力。官方叙事强调”国产替代”，内部认知是”核心应用层可控、基础层仍在追赶”。到2031—2035年间，中国在特定应用层（工业部署、城市治理）确实完成了真正的领先，</w:t>
      </w:r>
      <w:r>
        <w:t xml:space="preserve">“</w:t>
      </w:r>
      <w:r>
        <w:t xml:space="preserve">自主可控</w:t>
      </w:r>
      <w:r>
        <w:t xml:space="preserve">”</w:t>
      </w:r>
      <w:r>
        <w:t xml:space="preserve">的内涵被技术现实静默地从”所有层次独立”收窄为”核心应用层可控”，民族主义叙事框架得到维持，但内涵已被重新定义。</w:t>
      </w:r>
    </w:p>
    <w:bookmarkStart w:id="297" w:name="a1体系的渐进立法路径从补丁到bsc"/>
    <w:p>
      <w:pPr>
        <w:pStyle w:val="Heading3"/>
      </w:pPr>
      <w:r>
        <w:t xml:space="preserve">5.1.1　A1体系的渐进立法路径：从补丁到BSC</w:t>
      </w:r>
    </w:p>
    <w:p>
      <w:pPr>
        <w:pStyle w:val="FirstParagraph"/>
      </w:pPr>
      <w:r>
        <w:t xml:space="preserve">A1体系的基础保障制度不是在某个时间点一次性立法完成的，而是在现有福利制度基础上历经二十余年的多轮修补，逐步演化为BSC框架的。这个过程的每一步都由当期政治压力驱动，没有哪一届政府拥有完整的蓝图。</w:t>
      </w:r>
    </w:p>
    <w:p>
      <w:pPr>
        <w:pStyle w:val="BodyText"/>
      </w:pPr>
      <w:r>
        <w:rPr>
          <w:bCs/>
          <w:b/>
        </w:rPr>
        <w:t xml:space="preserve">第一阶段（2030—2037）：现有制度的应急扩张。</w:t>
      </w:r>
      <w:r>
        <w:t xml:space="preserve"> </w:t>
      </w:r>
      <w:r>
        <w:t xml:space="preserve">AI替代白领中层的冲击在2030—2035年间快速渗透，失业救济申请量突破政策设计边界。国会在两党均有选举压力的条件下通过了失业救济持续期延长（从26周到52周，部分州到104周）和资格条件放宽。职业再培训补贴随之扩大，但效果有限——被替代的认知劳动者再培训进入的往往是同样面临AI替代的相邻岗位。这一阶段的立法逻辑仍然是“帮助人们重新就业”，没有在联邦层面承认结构性失业。</w:t>
      </w:r>
    </w:p>
    <w:p>
      <w:pPr>
        <w:pStyle w:val="BodyText"/>
      </w:pPr>
      <w:r>
        <w:rPr>
          <w:bCs/>
          <w:b/>
        </w:rPr>
        <w:t xml:space="preserve">第二阶段（2036—2044）：资本税调节与工时压缩的政治联盟。</w:t>
      </w:r>
      <w:r>
        <w:t xml:space="preserve"> </w:t>
      </w:r>
      <w:r>
        <w:t xml:space="preserve">2036年中期选举后，民粹联盟（工会残余、中低收入选民、部分制造业州议员）在国会形成短暂多数，推动了两项关联立法：专项自动化税提案与“工作分享”法案（将标准工时从40小时压缩为32小时，超时薪酬系数提高到1.5倍）。专项自动化税的政治叙事极强，但在立法过程中因税基界定争议被大幅压缩——最终通过的版本覆盖范围有限，税率经过多轮妥协，实际财政收入低于预期；更实质的财政工作由同期推进的企业所得税和资本利得税扩基调整承担，后者税基清晰，审计可操作，构成L3财政重组的主干。这是联邦立法第一次明确承认“有些工作不会回来”。</w:t>
      </w:r>
    </w:p>
    <w:p>
      <w:pPr>
        <w:pStyle w:val="BodyText"/>
      </w:pPr>
      <w:r>
        <w:rPr>
          <w:bCs/>
          <w:b/>
        </w:rPr>
        <w:t xml:space="preserve">第三阶段（2044—2052）：积分体系雏形的州级试验。</w:t>
      </w:r>
      <w:r>
        <w:t xml:space="preserve"> </w:t>
      </w:r>
      <w:r>
        <w:t xml:space="preserve">聚变电力上线使合成食品和基本物资的生产成本骤降，几个深度蓝州在州财政条件改善后率先推行积分体系试验：以积分形式发放食品、医疗、住房补贴，与生物识别绑定，不可现金化。这个设计回避了“基本收入”的政治标签（现金分发在参众两院阻力极大），同时实现了基本生存保障的实质功能。各州方案差异显著，联邦层面形成竞争性学习效应，行政可行性逐步被证明。</w:t>
      </w:r>
    </w:p>
    <w:p>
      <w:pPr>
        <w:pStyle w:val="BodyText"/>
      </w:pPr>
      <w:r>
        <w:rPr>
          <w:bCs/>
          <w:b/>
        </w:rPr>
        <w:t xml:space="preserve">第四阶段（2052—2055）：联邦BSC框架成型。</w:t>
      </w:r>
      <w:r>
        <w:t xml:space="preserve"> </w:t>
      </w:r>
      <w:r>
        <w:t xml:space="preserve">积分体系试验积累了足够的行政数据和政治合法性，聚变财政条件成立，联邦层面在两党利益最大公约数上通过了BSC框架立法：食品和基础医疗积分全国统一，住房和教育积分额度由州自行确定，衰减函数和生物识别绑定成为联邦技术标准。BSC是当时政治力量均衡的产物，不是设计的终点——覆盖品类和额度在此后仍持续调整，每次调整都是新一轮博弈。</w:t>
      </w:r>
    </w:p>
    <w:p>
      <w:pPr>
        <w:pStyle w:val="BodyText"/>
      </w:pPr>
      <w:r>
        <w:t xml:space="preserve">这条路径揭示了A1体系制度演化的内在逻辑：受益者群体在每一步立法后即刻形成，使后续扩大的政治成本持续降低；同时每一步都制造了新的覆盖边界，边界之外的人构成下一步立法的政治压力来源。BSC不是某人的政治愿景，是这个累积博弈过程的当前形态——因此它的品类“只增不减”是政治动态的自然结果，而非设计缺陷（见4.10.8节）。</w:t>
      </w:r>
    </w:p>
    <w:bookmarkEnd w:id="297"/>
    <w:bookmarkStart w:id="298" w:name="a1制度形成后的跨路径传导"/>
    <w:p>
      <w:pPr>
        <w:pStyle w:val="Heading3"/>
      </w:pPr>
      <w:r>
        <w:t xml:space="preserve">5.1.2　A1制度形成后的跨路径传导</w:t>
      </w:r>
    </w:p>
    <w:p>
      <w:pPr>
        <w:pStyle w:val="FirstParagraph"/>
      </w:pPr>
      <w:r>
        <w:t xml:space="preserve">A1体系的制度形成不只是内部事务，通过贸易、劳动力流动和政策示范向其他路径传导，触发相应的制度响应。传导不是自动的，也不是同步的，需要接收方的政治条件配合。</w:t>
      </w:r>
    </w:p>
    <w:p>
      <w:pPr>
        <w:pStyle w:val="BodyText"/>
      </w:pPr>
      <w:r>
        <w:rPr>
          <w:bCs/>
          <w:b/>
        </w:rPr>
        <w:t xml:space="preserve">贸易条件传导（对B1类）。</w:t>
      </w:r>
      <w:r>
        <w:t xml:space="preserve"> </w:t>
      </w:r>
      <w:r>
        <w:t xml:space="preserve">A1资本收入税调整（含专项自动化税的有限版本）改变了部分出口品的成本结构，倒逼B1类国家（英、德、加、澳等）评估类似税负的竞争均衡。更直接的压力是人才流动：A1工时压缩后劳动条件改善，高技能移民向A1体系净流动在2040年代加速，B1类国家感受到技术人才外流压力，这是B1类立法时间表提前的直接政治压力来源之一。</w:t>
      </w:r>
    </w:p>
    <w:p>
      <w:pPr>
        <w:pStyle w:val="BodyText"/>
      </w:pPr>
      <w:r>
        <w:rPr>
          <w:bCs/>
          <w:b/>
        </w:rPr>
        <w:t xml:space="preserve">政策示范与合法性传导（对B1类）。</w:t>
      </w:r>
      <w:r>
        <w:t xml:space="preserve"> </w:t>
      </w:r>
      <w:r>
        <w:t xml:space="preserve">BSC在美国的正式立法提供了民主程序下通过大规模财富再分配立法的先例，降低了B1类国家同类立法的政治成本——反对者不再能用“这在民主国家根本无法通过”来否定立法可能性。英国、加拿大、澳大利亚在2055—2060年间陆续完成类BSC立法，时差约5—8年，核心技术架构（积分体系、衰减函数、生物识别绑定）高度相似，直接借鉴了A1体系的行政经验。欧洲各国因本有更完善的福利基础，倾向于将现有福利制度改造升级为积分形式，时差约8—12年。</w:t>
      </w:r>
    </w:p>
    <w:p>
      <w:pPr>
        <w:pStyle w:val="BodyText"/>
      </w:pPr>
      <w:r>
        <w:rPr>
          <w:bCs/>
          <w:b/>
        </w:rPr>
        <w:t xml:space="preserve">对C类（对冲自主体）的双向压力。</w:t>
      </w:r>
      <w:r>
        <w:t xml:space="preserve"> </w:t>
      </w:r>
      <w:r>
        <w:t xml:space="preserve">C类国家（印度、土耳其、巴西等维持双轨战略者）面临两个方向的制度压力：A1体系BSC立法使本国劳动力相对成本上升（A1工人有BSC托底，市场工资弹性更大），A2体系配给制度则提供了另一种保障逻辑参照。C类国家的制度响应因此是混合式的，政策碎片化和执行不一致是常态，这本身是C类战略自主代价的组成部分。</w:t>
      </w:r>
    </w:p>
    <w:p>
      <w:pPr>
        <w:pStyle w:val="BodyText"/>
      </w:pPr>
      <w:r>
        <w:rPr>
          <w:bCs/>
          <w:b/>
        </w:rPr>
        <w:t xml:space="preserve">对制造业主导型经济体（C类/B2类成员）的结构性冲击。</w:t>
      </w:r>
      <w:r>
        <w:t xml:space="preserve"> </w:t>
      </w:r>
      <w:r>
        <w:t xml:space="preserve">A1资本税调整与A2生产效率提升的叠加效果，在2038—2048年间系统性终结了以低劳动力成本为核心竞争力的制造业外包模式。这类经济体的传统发展路径在这个阶段被切断，不是因为某项单一政策变化，而是因为A1/A2两个体系同步改变了使这类制造业劳动力有竞争力的经济条件。这个过程在经济上是渐进的，在政治上是突然的——就业数据开始下行时，政治危机迅速积累，构成这类经济体动荡期的核心触发机制。</w:t>
      </w:r>
    </w:p>
    <w:bookmarkEnd w:id="298"/>
    <w:bookmarkStart w:id="299" w:name="a2体系的制度响应配给分层与就业绑定"/>
    <w:p>
      <w:pPr>
        <w:pStyle w:val="Heading3"/>
      </w:pPr>
      <w:r>
        <w:t xml:space="preserve">5.1.3　A2体系的制度响应：配给分层与就业绑定</w:t>
      </w:r>
    </w:p>
    <w:p>
      <w:pPr>
        <w:pStyle w:val="FirstParagraph"/>
      </w:pPr>
      <w:r>
        <w:t xml:space="preserve">A2体系的制度响应速度在A1和A2之间形成最鲜明的对照。无需立法协商使响应可以提前于危机积累，但响应的实质内容受制于人均GDP水平，无法达到A1体系的保障深度。</w:t>
      </w:r>
    </w:p>
    <w:p>
      <w:pPr>
        <w:pStyle w:val="BodyText"/>
      </w:pPr>
      <w:r>
        <w:rPr>
          <w:bCs/>
          <w:b/>
        </w:rPr>
        <w:t xml:space="preserve">供应票据体系的扩张与贫乏性。</w:t>
      </w:r>
      <w:r>
        <w:t xml:space="preserve"> </w:t>
      </w:r>
      <w:r>
        <w:t xml:space="preserve">2033—2040年间，A2基础保障框架快速推进，供应票据覆盖人口从部分城市扩大至全国。但票据额度与A1积分体系之间存在结构性落差：A2票据能保障基本粮食（合成食品和传统粮食混合供给）和初级医疗（社区卫生站层级），住房补贴极为有限且集中在公租房系统，教育和交通补贴基本缺席。这个贫乏性是制度设计的内在要求，而非财政失败：如果票据充裕到接近市场工资的生活水平，</w:t>
      </w:r>
      <w:r>
        <w:t xml:space="preserve">“</w:t>
      </w:r>
      <w:r>
        <w:t xml:space="preserve">有工作单位</w:t>
      </w:r>
      <w:r>
        <w:t xml:space="preserve">”</w:t>
      </w:r>
      <w:r>
        <w:t xml:space="preserve">的身份差距就会消失，政治绑定和激励机制随之瓦解。A2的票据始终维持在“能活，但不舒适”的水平，这个刻度在2072年随人均GDP上升有所提高，但与A1的绝对差距在2050年代之前持续扩大。</w:t>
      </w:r>
    </w:p>
    <w:p>
      <w:pPr>
        <w:pStyle w:val="BodyText"/>
      </w:pPr>
      <w:r>
        <w:rPr>
          <w:bCs/>
          <w:b/>
        </w:rPr>
        <w:t xml:space="preserve">就业税收抵免的A2形态。</w:t>
      </w:r>
      <w:r>
        <w:t xml:space="preserve"> </w:t>
      </w:r>
      <w:r>
        <w:t xml:space="preserve">与A1的立法路径不同，A2的就业税收抵免通过行政指令实施，主要针对私营和混合所有制企业。对人工比例超过行业基准的企业，按超额人工成本给予企业所得税抵免或直接补贴，资金来源是国有AI资本利润的定向再分配。其政治功能与经济功能并行：经济上对冲自动化对就业的侵蚀，政治上维持“体制创造就业”的叙事合法性。随AI能力扩展，有效覆盖的岗位范围持续收缩，2060年代后抵免主要集中在护理、教育、社区服务等AI替代成本仍高的领域。</w:t>
      </w:r>
    </w:p>
    <w:p>
      <w:pPr>
        <w:pStyle w:val="BodyText"/>
      </w:pPr>
      <w:r>
        <w:rPr>
          <w:bCs/>
          <w:b/>
        </w:rPr>
        <w:t xml:space="preserve">就业压力与政治性岗位扩张的财政边界。</w:t>
      </w:r>
      <w:r>
        <w:t xml:space="preserve"> </w:t>
      </w:r>
      <w:r>
        <w:t xml:space="preserve">A2在AI替代冲击下面临双重压力：市场性岗位因自动化持续收缩，而政治性岗位的扩张（见4.8.5节）虽能部分吸纳被替代人口，但扩张规模受制于财政可持续性而非劳动力数量。政治性岗位由政府财政预算支撑，其绝对规模的上限由财政空间决定，而非由人口结构决定。A2人口在2030年代后持续萎缩，年轻劳动力绝对数量减少，但岗位压缩速度快于劳动力萎缩速度——AI替代的渗透速度远高于人口自然减少的速度，使劳动力过剩压力在人口萎缩的背景下仍持续积累。票据依赖人口占比的上升，根本原因在于可供分配的岗位总量受财政约束而无法无限扩张，人口萎缩对这一趋势的缓解作用有限。A2的长期财政压力因此不来自保障额度的提升，而来自依赖人口绝对数量随岗位压缩而扩大。</w:t>
      </w:r>
    </w:p>
    <w:p>
      <w:pPr>
        <w:pStyle w:val="BodyText"/>
      </w:pPr>
      <w:r>
        <w:rPr>
          <w:bCs/>
          <w:b/>
        </w:rPr>
        <w:t xml:space="preserve">双轨分化的可见化。</w:t>
      </w:r>
      <w:r>
        <w:t xml:space="preserve"> </w:t>
      </w:r>
      <w:r>
        <w:t xml:space="preserve">2040年代中期，</w:t>
      </w:r>
      <w:r>
        <w:t xml:space="preserve">“</w:t>
      </w:r>
      <w:r>
        <w:t xml:space="preserve">有单位</w:t>
      </w:r>
      <w:r>
        <w:t xml:space="preserve">”</w:t>
      </w:r>
      <w:r>
        <w:t xml:space="preserve">与“只有票据”的物质生活差距随聚变红利的不均衡分配而扩大：体制内人口通过货币薪资进入城市消费市场，享受聚变能源带来的生活成本下降；票据依赖人口的实际生活水平虽有绝对改善（合成食品成本下降），但相对差距扩大。这个可见的差距是A2激励体系的结构性支撑，同时也是其社会张力的持续来源——差距过大触发稳定性风险，差距消失破坏激励逻辑，维持“恰当的差距”是A2配给政策持续调整的核心目标之一。</w:t>
      </w:r>
    </w:p>
    <w:bookmarkEnd w:id="299"/>
    <w:bookmarkStart w:id="300" w:name="全球南方与被遗忘地带制度响应的结构性缺席"/>
    <w:p>
      <w:pPr>
        <w:pStyle w:val="Heading3"/>
      </w:pPr>
      <w:r>
        <w:t xml:space="preserve">5.1.4　全球南方与被遗忘地带：制度响应的结构性缺席</w:t>
      </w:r>
    </w:p>
    <w:p>
      <w:pPr>
        <w:pStyle w:val="FirstParagraph"/>
      </w:pPr>
      <w:r>
        <w:t xml:space="preserve">A1和A2体系的制度响应以各自的速度和方式推进，共同的前提是存在可分配的经济红利——资本收入税税基扩大、国有AI资本利润配给化、聚变财政改善——作为制度建设的财政基础。全球南方大多数国家和被遗忘地带缺少这个前提，制度响应的缺席因此不是协商成本问题，而是财政结构问题。</w:t>
      </w:r>
    </w:p>
    <w:p>
      <w:pPr>
        <w:pStyle w:val="BodyText"/>
      </w:pPr>
      <w:r>
        <w:t xml:space="preserve">全球南方在裸露期面临的处境是三重叠加：AI替代侵蚀传统制造业和服务业出口（劳动力成本优势失效），而本地消费市场规模不足以支撑内需转型；精英层有能力评估中美技术依附选项，但大多数人口处于制度保障真空中；聚变融资渠道对大多数国家关闭，无法通过廉价能源重建产业竞争力。裸露期在这些国家不随时间自动结束——它是结构性状态，而非过渡阶段。</w:t>
      </w:r>
    </w:p>
    <w:p>
      <w:pPr>
        <w:pStyle w:val="BodyText"/>
      </w:pPr>
      <w:r>
        <w:t xml:space="preserve">被遗忘地带（撒哈拉以南非洲部分地区、冲突区域、内陆孤立区域）甚至未能感知AI替代的正面冲击：当地非正式经济占主体，AI替代的影响主要通过侨汇减少间接传入。技术鸿沟在这个节点开始扩大，不是因为这些地区退步，而是因为其他地区加速了。</w:t>
      </w:r>
    </w:p>
    <w:p>
      <w:pPr>
        <w:pStyle w:val="BodyText"/>
      </w:pPr>
      <w:r>
        <w:rPr>
          <w:iCs/>
          <w:i/>
        </w:rPr>
        <w:t xml:space="preserve">作者说明：本文件对全球南方和被遗忘地带的分析深度远低于A1/A2体系，根本原因是知识储备的不对称——相关社会、政治和经济结构的复杂性超出了本文件的覆盖能力。5.10和5.11节的简述应在此前提下阅读：它们是轮廓性的类推，不是深度分析。</w:t>
      </w:r>
    </w:p>
    <w:bookmarkEnd w:id="300"/>
    <w:bookmarkEnd w:id="301"/>
    <w:bookmarkStart w:id="305" w:name="第二分化阶段约20442072聚变红利扩散与路径分化"/>
    <w:p>
      <w:pPr>
        <w:pStyle w:val="Heading2"/>
      </w:pPr>
      <w:r>
        <w:t xml:space="preserve">5.2　第二分化阶段（约2044—2072）：聚变红利扩散与路径分化</w:t>
      </w:r>
    </w:p>
    <w:p>
      <w:pPr>
        <w:pStyle w:val="FirstParagraph"/>
      </w:pPr>
      <w:r>
        <w:t xml:space="preserve">背景条件：聚变电网上线（2044，L1）→ 生产体系渗透（L2，A2：2049，A1：2051—52，西欧：2052—53）→ 制度响应（L3，A2：2049—52，A1：2052—54，西欧：2056—59）→ 文化吸收（L4，A2：2054起，A1：2059—62，西欧：2062—64）</w:t>
      </w:r>
    </w:p>
    <w:p>
      <w:pPr>
        <w:pStyle w:val="BodyText"/>
      </w:pPr>
      <w:r>
        <w:t xml:space="preserve">本阶段的核心驱动力是聚变红利的渐进扩散。2044年电网上线仅是物理起点，红利真正进入生产体系、传导至居民生活、触发制度响应，是一个跨越数十年、在各路径以不同速度和不同机制展开的历时过程。聚变红利如何传导，首先取决于各路径政府介入市场的方式和介入点；传导结果与5.1节已建立的AI制度响应框架叠合，在2049—2055年窗口期共同奠定多态社会的物质基础。此后各路径的分化，从制度响应速度的差异，转向在已形成的轨道上社会形态如何演化。</w:t>
      </w:r>
    </w:p>
    <w:bookmarkStart w:id="302" w:name="聚变红利的传导机制"/>
    <w:p>
      <w:pPr>
        <w:pStyle w:val="Heading3"/>
      </w:pPr>
      <w:r>
        <w:t xml:space="preserve">5.2.1　聚变红利的传导机制</w:t>
      </w:r>
    </w:p>
    <w:p>
      <w:pPr>
        <w:pStyle w:val="FirstParagraph"/>
      </w:pPr>
      <w:r>
        <w:t xml:space="preserve">聚变红利的主要传导渠道是市场——电力生产者将聚变电力并入电网，通过市场竞争压低电价，能源成本下降再经由供给侧传导至工业品和消费品价格。这是各路径共同的基础逻辑，不因政治体制差异而根本改变。</w:t>
      </w:r>
    </w:p>
    <w:p>
      <w:pPr>
        <w:pStyle w:val="BodyText"/>
      </w:pPr>
      <w:r>
        <w:t xml:space="preserve">各路径的差异不在于传导渠道，而在于政府介入市场的方式和介入点，由此产生传导效率和分配结果的系统性差异。</w:t>
      </w:r>
    </w:p>
    <w:p>
      <w:pPr>
        <w:pStyle w:val="BodyText"/>
      </w:pPr>
      <w:r>
        <w:t xml:space="preserve">A2体系的介入点在定价和分配端。电网国有，电价由国家直接决定，红利流向由计划优先序决定而非市场竞争。工业集群和AI算力基础设施获得优先供给和优惠定价，居民端的传导速度和幅度受政策优先级约束，农村和内陆地区的接入时序则由规划决定。市场机制在这个环节被替代，传导的方向和速度是政策结果而非价格信号的结果。</w:t>
      </w:r>
    </w:p>
    <w:p>
      <w:pPr>
        <w:pStyle w:val="BodyText"/>
      </w:pPr>
      <w:r>
        <w:t xml:space="preserve">A1体系的介入点在监管框架端。电网受监管但定价走市场，政府通过反垄断、普遍服务义务等工具影响传导速度，但不直接决定传导方向。红利通过市场竞争向下扩散，资本方最先受益，再经供给侧竞争逐步传导至工业和消费品价格。传导速度快，但初期分配集中于资本持有者，向居民端的扩散依赖竞争压力和政治压力的共同作用。</w:t>
      </w:r>
    </w:p>
    <w:p>
      <w:pPr>
        <w:pStyle w:val="BodyText"/>
      </w:pPr>
      <w:r>
        <w:t xml:space="preserve">西欧与民主东亚的介入点在电网所有权端。公营或强监管电网使定价决策带有公共政策属性，减少了中间环节的利润截取，红利传导至终端用户的比例更高、速度更均匀——但传导机制仍以市场为基础，与A2的计划分配有本质区别。两者同时具备部分自主聚变技术积累，在设备标准和技术协议上有一定议价空间，接入路径是技术部分自主与监管框架主导的结合。历史上高度依赖化石能源进口，聚变意味着能源自主，政府推进动力强于A1。</w:t>
      </w:r>
    </w:p>
    <w:p>
      <w:pPr>
        <w:pStyle w:val="BodyText"/>
      </w:pPr>
      <w:r>
        <w:t xml:space="preserve">除上述直接传导外，还存在一条对所有路径均有效的间接传导渠道：聚变压低化石能源的竞争地位，全球化石能源价格系统性下行，未直接接入聚变电网的地区通过这一市场价格传导机制获得程度不等的间接红利。传导幅度受当地能源结构和市场开放程度制约，是全球南方和被遗忘地带获得聚变红利的主要渠道。</w:t>
      </w:r>
    </w:p>
    <w:p>
      <w:pPr>
        <w:pStyle w:val="BodyText"/>
      </w:pPr>
      <w:r>
        <w:t xml:space="preserve">聚变红利传导与第四部分的财政和保障制度形成关键衔接：能源成本下降使合成食品和物资配给的边际成本骤降，是各路径配给体系财政可行性成立的物质前提（A2约2052年，A1约2054—2055年，西欧约2056—2058年）。这一传导链条是5.1节制度响应与本阶段红利扩散历史性叠合的具体机制。</w:t>
      </w:r>
    </w:p>
    <w:bookmarkEnd w:id="302"/>
    <w:bookmarkStart w:id="303" w:name="核心路径a1a2与欧亚民主约20442072"/>
    <w:p>
      <w:pPr>
        <w:pStyle w:val="Heading3"/>
      </w:pPr>
      <w:r>
        <w:t xml:space="preserve">5.2.2　核心路径：A1、A2与欧亚民主（约2044—2072）</w:t>
      </w:r>
    </w:p>
    <w:p>
      <w:pPr>
        <w:pStyle w:val="FirstParagraph"/>
      </w:pPr>
      <w:r>
        <w:rPr>
          <w:bCs/>
          <w:b/>
        </w:rPr>
        <w:t xml:space="preserve">A2体系（中国）</w:t>
      </w:r>
    </w:p>
    <w:p>
      <w:pPr>
        <w:pStyle w:val="BodyText"/>
      </w:pPr>
      <w:r>
        <w:t xml:space="preserve">聚变电力优先供给工业集群与AI算力，制造业成本压缩最先体现，工业品价格开始向消费端传导，但红利仍集中在工业侧，普通居民感受滞后约3—5年。农村延迟接入（城市集群电网先行，内陆延迟5—15年）形成新城乡裂缝。</w:t>
      </w:r>
      <w:r>
        <w:t xml:space="preserve">“</w:t>
      </w:r>
      <w:r>
        <w:t xml:space="preserve">能源公平</w:t>
      </w:r>
      <w:r>
        <w:t xml:space="preserve">”</w:t>
      </w:r>
      <w:r>
        <w:t xml:space="preserve">成为政治敏感议题——不平等是真实的，但承认它会引出无法立即解决的分配问题，官方叙事侧重绝对改善而回避相对差距。</w:t>
      </w:r>
    </w:p>
    <w:p>
      <w:pPr>
        <w:pStyle w:val="BodyText"/>
      </w:pPr>
      <w:r>
        <w:t xml:space="preserve">L2完成（2049）与L3制度响应（2049—52）高度重叠，无需政治协商的制度优势在这里体现为约3—5年的加速：国有AI资本利润直接转化为配给扩张，全民基础保障与AI治理体系整合，配给双轨在这一窗口期成形。约2053年为意义危机首次出现的临界点：物质生活可见改善，生存压力系统性降低，但”被需要的感觉”消失。L4文化吸收从2054年起启动，以国家塑造加速为主要方式，意义危机以不被公开命名的方式持续沉淀。到2072年，A2处于L4深度进行中，配给双轨成熟，共处型稳态形成，但双轨之间消费自主度的差距随时间积累，是体系慢性张力的持续来源。</w:t>
      </w:r>
    </w:p>
    <w:p>
      <w:pPr>
        <w:pStyle w:val="BodyText"/>
      </w:pPr>
      <w:r>
        <w:rPr>
          <w:bCs/>
          <w:b/>
        </w:rPr>
        <w:t xml:space="preserve">A1体系（美国）</w:t>
      </w:r>
    </w:p>
    <w:p>
      <w:pPr>
        <w:pStyle w:val="BodyText"/>
      </w:pPr>
      <w:r>
        <w:t xml:space="preserve">私营电力市场使红利随市场竞争逐步向工业和消费品传导。L2完成（2051—52）后工业电价显著下降，供给侧成本压缩开始系统性传导至消费品价格。传导路径经过资本方的初期截取再向下扩散，居民端感受到的红利时序晚于工业端。</w:t>
      </w:r>
    </w:p>
    <w:p>
      <w:pPr>
        <w:pStyle w:val="BodyText"/>
      </w:pPr>
      <w:r>
        <w:t xml:space="preserve">L3制度响应（2052—54）受竞争压力加速——A2配给体系的财政可行性成立对A1形成外部压力，加速了BSC联邦框架的政治博弈收敛。工时缩短的实验（从32小时工作周开始）在部分企业和工会推进，标志着工业时代的基本假设开始动摇；24小时标准工时的最终确立要到2058—2065年经过多轮政治博弈才完成。意义危机在西方浮出水面，有名字，因为西方文化更擅长命名问题。L4从2059—62年启动，多态生活方式格局逐步固定。到2072年，A1处于L4深度进行中，州际人口竞争格局基本成形，BSC覆盖基本生存后人口流动从”跟着工作走”转向”按偏好选”。</w:t>
      </w:r>
    </w:p>
    <w:p>
      <w:pPr>
        <w:pStyle w:val="BodyText"/>
      </w:pPr>
      <w:r>
        <w:rPr>
          <w:bCs/>
          <w:b/>
        </w:rPr>
        <w:t xml:space="preserve">西欧</w:t>
      </w:r>
    </w:p>
    <w:p>
      <w:pPr>
        <w:pStyle w:val="BodyText"/>
      </w:pPr>
      <w:r>
        <w:t xml:space="preserve">公营或强监管电网使聚变红利传导至终端用户的比例较高，分配相对均匀，但L2完成时序（2052—53）比A1滞后约1年，L3多国协商使制度响应进一步推迟至2056—59年。传导过程中，历史上高度依赖化石能源进口的结构性压力使政府推进动力强，能源自主议题在这一阶段具有跨越政治分歧的共识基础。</w:t>
      </w:r>
    </w:p>
    <w:p>
      <w:pPr>
        <w:pStyle w:val="BodyText"/>
      </w:pPr>
      <w:r>
        <w:t xml:space="preserve">AI替代叠加高刚性福利支出，使2044—2055年成为财政压力最集中的窗口：工资税税基萎缩，养老与医疗支出不可压缩，聚变红利传导至财政端尚需时日，部分国家在聚变红利到位之前被迫在福利覆盖范围上做出实质性收窄。政治极化在本阶段达到高峰，AI替代冲击与移民议题在政治叙事中相互叠加，两翼在不同国家交替占上风。工时缩短议题比A1更早进入正式劳资谈判，工会力量使这一过程更具制度性。</w:t>
      </w:r>
    </w:p>
    <w:p>
      <w:pPr>
        <w:pStyle w:val="BodyText"/>
      </w:pPr>
      <w:r>
        <w:t xml:space="preserve">L3完成后（2056—59）聚变红利开始规模性传导至财政端，财政压力系统性缓解，福利再校准在各国陆续以不同形式完成。意义危机比A1/A2晚约5—8年浮现（约2058—2062年），时序差异来自福利缓冲移除了生存焦虑与意义缺失叠加的可能性，使意义危机以更纯粹的文化形态出现。L4从2062—64年启动。到2072年，西欧L4刚启动，历史文化密度为意义框架提供了相对丰富的素材，是这一路径在意义重构上区别于其他路径的结构性资源。</w:t>
      </w:r>
    </w:p>
    <w:p>
      <w:pPr>
        <w:pStyle w:val="BodyText"/>
      </w:pPr>
      <w:r>
        <w:rPr>
          <w:bCs/>
          <w:b/>
        </w:rPr>
        <w:t xml:space="preserve">民主东亚</w:t>
      </w:r>
    </w:p>
    <w:p>
      <w:pPr>
        <w:pStyle w:val="BodyText"/>
      </w:pPr>
      <w:r>
        <w:t xml:space="preserve">国有或强监管公营电网使聚变接入更接近国家基础设施投资决策，红利通过公营电网定价直接覆盖工业和居民端，分配相对均匀。技术独立积累使接入路径不完全依附于A1私人资本，在设备标准上有一定议价空间。化石能源进口依赖历史上极高，能源自主的战略价值使政府推进动力强，L2完成时序与西欧相近。</w:t>
      </w:r>
    </w:p>
    <w:p>
      <w:pPr>
        <w:pStyle w:val="BodyText"/>
      </w:pPr>
      <w:r>
        <w:t xml:space="preserve">深度老龄化对劳动替代产生逆向缓冲：劳动年龄人口的自然退出部分吸收了AI替代造成的就业缺口，失业率上升幅度低于其他民主路径。养老体系完成从工资税向资本收入税与聚变红利的财政来源切换早于西欧约5—10年，城市收缩规划制度化同样先行。移民政治压力几乎不存在，政治极化烈度显著低于西欧。冲击以个体心理内化而非集体政治动员的方式承担——制度适应最充分，心理成本被最系统性地内化而非释放。到2072年，民主东亚是所有路径中制度适应程度最高、外部冲突烈度最低的路径，意义危机真实存在但不外化，故事藏在个体内部时间里而非外部事件中。</w:t>
      </w:r>
    </w:p>
    <w:bookmarkEnd w:id="303"/>
    <w:bookmarkStart w:id="304" w:name="其他路径全球南方与被遗忘地带约20442072"/>
    <w:p>
      <w:pPr>
        <w:pStyle w:val="Heading3"/>
      </w:pPr>
      <w:r>
        <w:t xml:space="preserve">5.2.3　其他路径：全球南方与被遗忘地带（约2044—2072）</w:t>
      </w:r>
    </w:p>
    <w:p>
      <w:pPr>
        <w:pStyle w:val="FirstParagraph"/>
      </w:pPr>
      <w:r>
        <w:t xml:space="preserve">全球南方和被遗忘地带在本阶段与核心路径的分化不是速度差异，而是体系准入差异——大多数国家面对的不是”红利何时到来”的问题，而是”能否进入任何一个红利分配体系”的问题。</w:t>
      </w:r>
    </w:p>
    <w:p>
      <w:pPr>
        <w:pStyle w:val="BodyText"/>
      </w:pPr>
      <w:r>
        <w:rPr>
          <w:bCs/>
          <w:b/>
        </w:rPr>
        <w:t xml:space="preserve">全球南方：有限依附与路径待定</w:t>
      </w:r>
    </w:p>
    <w:p>
      <w:pPr>
        <w:pStyle w:val="BodyText"/>
      </w:pPr>
      <w:r>
        <w:t xml:space="preserve">本阶段全球南方国家面临的处境延续了5.1节描述的三重叠加：AI替代侵蚀传统制造业和服务业的劳动力成本优势，聚变使廉价劳动力的战略价值进一步系统性下降，而大多数国家的聚变融资渠道仍然关闭。与此同时，聚变使石油依赖消失，化石能源出口国和纯劳动力输出国的战略地位在这个节点开始快速衰减，国家战略价值评估框架被整体重写。</w:t>
      </w:r>
    </w:p>
    <w:p>
      <w:pPr>
        <w:pStyle w:val="BodyText"/>
      </w:pPr>
      <w:r>
        <w:t xml:space="preserve">少数有战略价值或地缘重要性的国家获得A2体系的政策性融资，进入A2技术标准体系，以主权代价换取聚变接入；极少数民主倾向强且具备一定资本市场基础的国家通过A1渠道获得聚变投入。已获得融资者面临技术依附和主权代价，但聊胜于无；未获融资者依赖二手设备、技术外溢和非正式渠道缓慢渗透，以及全球化石能源价格下行带来的间接红利，进展极不均衡。</w:t>
      </w:r>
    </w:p>
    <w:p>
      <w:pPr>
        <w:pStyle w:val="BodyText"/>
      </w:pPr>
      <w:r>
        <w:t xml:space="preserve">到2072年，能够进入任一体系聚变融资框架的全球南方国家仍属个别现象。大多数国家既未完成路径选择，也未被任何体系主动纳入——它们不是被锁定在某条路上，而是在两套体系的战略视野边缘持续等待。其对外关系格局由贸易结构、援助依赖和外交惯性决定，与两大体系的关系可以是同时存在的、分领域的。</w:t>
      </w:r>
      <w:r>
        <w:t xml:space="preserve">“</w:t>
      </w:r>
      <w:r>
        <w:t xml:space="preserve">路径待定</w:t>
      </w:r>
      <w:r>
        <w:t xml:space="preserve">”</w:t>
      </w:r>
      <w:r>
        <w:t xml:space="preserve">是对这类国家在2072年处境的准确描述，而非路径锁定。裸露期在这些国家不随时间自动结束——是结构性状态，而非过渡阶段。</w:t>
      </w:r>
    </w:p>
    <w:p>
      <w:pPr>
        <w:pStyle w:val="BodyText"/>
      </w:pPr>
      <w:r>
        <w:rPr>
          <w:bCs/>
          <w:b/>
        </w:rPr>
        <w:t xml:space="preserve">被遗忘地带：结构性排斥</w:t>
      </w:r>
    </w:p>
    <w:p>
      <w:pPr>
        <w:pStyle w:val="BodyText"/>
      </w:pPr>
      <w:r>
        <w:t xml:space="preserve">被遗忘地带甚至未能完整感知AI替代的直接冲击：当地非正式经济占主体，AI替代的影响主要通过侨汇减少间接传入。聚变红利的间接传导渠道（全球化石能源价格下行）对这些地区有名义上的覆盖，但当地能源基础设施和市场结构使实际传导幅度接近于零。</w:t>
      </w:r>
    </w:p>
    <w:p>
      <w:pPr>
        <w:pStyle w:val="BodyText"/>
      </w:pPr>
      <w:r>
        <w:t xml:space="preserve">两套体系均无战略利益动力覆盖，与聚变世界的差距在本阶段开始演变为文明级别的鸿沟。这不是等待问题，而是体系准入问题——没有资源禀赋或地缘价值，就没有进入任何融资框架的谈判筹码。技术鸿沟在这个节点加速扩大，不是因为这些地区退步，而是因为其他地区加速了。到2072年，被遗忘地带仍在L1之前，与聚变世界的差距是体系性的，不随时间自动收敛。</w:t>
      </w:r>
    </w:p>
    <w:p>
      <w:pPr>
        <w:pStyle w:val="BodyText"/>
      </w:pPr>
      <w:r>
        <w:rPr>
          <w:iCs/>
          <w:i/>
        </w:rPr>
        <w:t xml:space="preserve">作者说明：本文件对全球南方和被遗忘地带的分析深度远低于A1/A2体系，根本原因是知识储备的不对称——相关社会、政治和经济结构的复杂性超出了本文件的覆盖能力。以上描述是轮廓性的结构性推演，不是深度分析。</w:t>
      </w:r>
    </w:p>
    <w:p>
      <w:pPr>
        <w:pStyle w:val="BodyText"/>
      </w:pPr>
      <w:r>
        <w:t xml:space="preserve">2049—2072年间，各路径在各自轨道上持续演化：制度响应从立法完成转向社会吸收，红利传导从工业端渗透至居民日常，意义危机在不同时序以不同形态浮现。5.3节起，分析视角从历时性的制度演化过程，转向2072年的社会横截面状态——社区如何形成，人口如何流动，意义如何被寻找。</w:t>
      </w:r>
    </w:p>
    <w:bookmarkEnd w:id="304"/>
    <w:bookmarkEnd w:id="305"/>
    <w:bookmarkStart w:id="310" w:name="社区形态的驱动机制"/>
    <w:p>
      <w:pPr>
        <w:pStyle w:val="Heading2"/>
      </w:pPr>
      <w:r>
        <w:t xml:space="preserve">5.3　社区形态的驱动机制</w:t>
      </w:r>
    </w:p>
    <w:p>
      <w:pPr>
        <w:pStyle w:val="FirstParagraph"/>
      </w:pPr>
      <w:r>
        <w:t xml:space="preserve">2072年A1与A2体系的社区形态，是四类结构性力量长期作用的叠加结果：基础设施的容纳逻辑、历史惯性的阻滞作用、家庭负担能力与生活成本的流动筛选、以及制度引导的主动塑造。这四类力量在两条路径中均同时存在，性质相同，但传导方式和作用速度存在根本差异——A1的机制以分散的个体决策为传导载体，政策只能影响参数，结果由无数个体选择聚合而成；A2的机制以集中的行政决策为传导载体，政策可以直接调节人口流向，但执行副作用同样内嵌于机制本身。两条路径由此收敛于相似的结构性趋势——人口向可及基础设施和有经济活动的区域集中，低密度区域空心化——但形成过程和中间形态不同。</w:t>
      </w:r>
    </w:p>
    <w:bookmarkStart w:id="306" w:name="基础设施决定社区容量与舒适度的硬件逻辑"/>
    <w:p>
      <w:pPr>
        <w:pStyle w:val="Heading3"/>
      </w:pPr>
      <w:r>
        <w:t xml:space="preserve">5.3.1　基础设施：决定社区容量与舒适度的硬件逻辑</w:t>
      </w:r>
    </w:p>
    <w:p>
      <w:pPr>
        <w:pStyle w:val="FirstParagraph"/>
      </w:pPr>
      <w:r>
        <w:t xml:space="preserve">基础设施是这里使用的广义概念，涵盖支撑日常生活所必需的全部硬件系统：交通（道路、公共运输、货运物流）、能源（供电稳定性与成本）、物资供应（商业密度、配给发放网络）、医疗（机构密度、可及性、服务质量）、教育（学校覆盖、师资质量）。这些要素共同决定了一个社区能够容纳多少人口，以及在其中生活的舒适程度。基础设施覆盖充分的社区对人口有持续的吸引力；覆盖薄弱的社区则随人口外流而进一步萎缩，形成自我强化的负向循环。</w:t>
      </w:r>
    </w:p>
    <w:p>
      <w:pPr>
        <w:pStyle w:val="BodyText"/>
      </w:pPr>
      <w:r>
        <w:rPr>
          <w:bCs/>
          <w:b/>
        </w:rPr>
        <w:t xml:space="preserve">基础设施的容量逻辑</w:t>
      </w:r>
    </w:p>
    <w:p>
      <w:pPr>
        <w:pStyle w:val="BodyText"/>
      </w:pPr>
      <w:r>
        <w:t xml:space="preserve">基础设施投资存在规模效应和密度临界点。人口达到一定密度，才有足够的使用量支撑医院、学校、商业的持续运营；低于临界密度，这些设施开始亏损或降质，进一步推动人口外流，再次降低密度。这个正反馈循环是社区空心化的内在机制——不需要任何外力推动，仅靠人口减少本身就足以触发设施萎缩、进而加速外流的螺旋。</w:t>
      </w:r>
    </w:p>
    <w:p>
      <w:pPr>
        <w:pStyle w:val="BodyText"/>
      </w:pPr>
      <w:r>
        <w:t xml:space="preserve">在A1体系，这一机制以市场退出的形式出现：诊所因患者不足而关闭，超市因营业额不足而撤点，学校因生源不足而合并。没有任何机构主动决定”让这个社区衰落”，但分散的商业和公共服务决策聚合后产生了功能等同的结果。在A2体系，技术官僚体系将这一机制纳入规划逻辑，主动通过撤点并校、缩编乡镇卫生院来触发低密度区域的人口外流——刻意利用负向循环加速人口集中化目标的实现。</w:t>
      </w:r>
    </w:p>
    <w:p>
      <w:pPr>
        <w:pStyle w:val="BodyText"/>
      </w:pPr>
      <w:r>
        <w:rPr>
          <w:bCs/>
          <w:b/>
        </w:rPr>
        <w:t xml:space="preserve">基础设施遗产的长期效应</w:t>
      </w:r>
    </w:p>
    <w:p>
      <w:pPr>
        <w:pStyle w:val="BodyText"/>
      </w:pPr>
      <w:r>
        <w:t xml:space="preserve">基础设施存量是历史投资的物质积累，折旧周期以数十年计，不会随人口或经济条件的短期变化即时调整。这使历史上基础设施投入较厚的区域，在新的经济逻辑下仍具有持续的结构性优势：已建成的医院、学校、道路的边际维护成本，远低于从零开始建设的成本，使这类社区能以相对较少的当期投入维持相对较高的服务质量。</w:t>
      </w:r>
    </w:p>
    <w:p>
      <w:pPr>
        <w:pStyle w:val="BodyText"/>
      </w:pPr>
      <w:r>
        <w:t xml:space="preserve">反之，历史上基础设施投入薄弱的区域，即使当期有政策意愿改善，也面临高昂的追赶成本。这个积累差距在2072年既不会因为BSC覆盖基本生存而消失，也不会因为聚变能源降低能源成本而自动弥合——能源只是基础设施的一个组成部分，医疗机构的医生密度、学校的师资质量、道路的覆盖范围，都不随能源成本的变化而改变。在很多社区，能源成本的变化根本不是居民日常感知的主要变量，基础设施可及性才是决定生活质量的直接因素。</w:t>
      </w:r>
    </w:p>
    <w:bookmarkEnd w:id="306"/>
    <w:bookmarkStart w:id="307" w:name="历史惯性资产文化与制度对改变的抵抗"/>
    <w:p>
      <w:pPr>
        <w:pStyle w:val="Heading3"/>
      </w:pPr>
      <w:r>
        <w:t xml:space="preserve">5.3.2　历史惯性：资产、文化与制度对改变的抵抗</w:t>
      </w:r>
    </w:p>
    <w:p>
      <w:pPr>
        <w:pStyle w:val="FirstParagraph"/>
      </w:pPr>
      <w:r>
        <w:t xml:space="preserve">历史惯性是四类驱动因素中变化最慢、最难被当期政策分析捕捉的层面。它不是单一的力量，而是三类性质不同的阻滞机制的叠加：存量资产对更新的抵抗、个人对已投入资产的锚定、以及文化对迁移和改变的惰性。三者共同使社区和个人的状态具有远大于经济条件变化速度的路径依赖性。</w:t>
      </w:r>
    </w:p>
    <w:p>
      <w:pPr>
        <w:pStyle w:val="BodyText"/>
      </w:pPr>
      <w:r>
        <w:rPr>
          <w:bCs/>
          <w:b/>
        </w:rPr>
        <w:t xml:space="preserve">资产惯性：存量继续使用，直到替换明显合算</w:t>
      </w:r>
    </w:p>
    <w:p>
      <w:pPr>
        <w:pStyle w:val="BodyText"/>
      </w:pPr>
      <w:r>
        <w:t xml:space="preserve">城市层面的资产惯性是指：已建成的基础设施、建筑存量、工业设施，会在技术上已经落后之后继续被使用，因为替换成本高于维持现状的成本。一栋建于2020年代的办公楼在2072年的建筑标准下可能是低效的，但拆除重建的代价远超继续使用的代价，除非改变能带来明显的经济收益，否则不会发生。这个逻辑适用于道路网络、供水系统、电网结构、工业厂房，乃至整个城市的空间格局——2072年大多数社区的建成环境仍然是四五十年前的产物，不是因为没有更好的设计，而是因为已有的还能用。</w:t>
      </w:r>
    </w:p>
    <w:p>
      <w:pPr>
        <w:pStyle w:val="BodyText"/>
      </w:pPr>
      <w:r>
        <w:t xml:space="preserve">这个机制产生了一个关键含义：城市的物理形态与其经济功能之间存在持续的时间错位。同一条街道，建筑是2020年代的，但居住在里面的家庭的收入来源结构已经是2072年的——有人靠BSC积分生活，有人靠AI资本收入生活，有人靠护理服务收入生活。外壳没变，内核已变。</w:t>
      </w:r>
    </w:p>
    <w:p>
      <w:pPr>
        <w:pStyle w:val="BodyText"/>
      </w:pPr>
      <w:r>
        <w:rPr>
          <w:bCs/>
          <w:b/>
        </w:rPr>
        <w:t xml:space="preserve">个人资产锚定：待到无法忽视资产缩水</w:t>
      </w:r>
    </w:p>
    <w:p>
      <w:pPr>
        <w:pStyle w:val="BodyText"/>
      </w:pPr>
      <w:r>
        <w:t xml:space="preserve">个人层面的资产惯性机制是：人倾向于在自己已经大量投入的地方停留，直到损失变得无法再被忽视。在高成本城市持有房产的家庭，即使当前收入已经难以负担日常开销，也会在相当长的时间内选择维持——因为卖掉房产意味着承认资产贬值，意味着放弃对这个地方未来升值的期待，意味着所有积累的邻里关系和本地知识归零。这种锚定不是非理性的，是在不确定条件下对沉没成本的合理权衡：也许还会好转，也许损失没有想象中那么大，也许下一个地方更差。直到某个临界点——账单无法支付、子女教育受到实质影响、健康状况下降——家庭才会做出迁移的决定。</w:t>
      </w:r>
    </w:p>
    <w:p>
      <w:pPr>
        <w:pStyle w:val="BodyText"/>
      </w:pPr>
      <w:r>
        <w:t xml:space="preserve">这个机制使人口流动的速度系统性滞后于经济条件的变化。一个城市的经济条件恶化，不会立刻触发人口外流；同样，一个地区的经济条件改善，也不会立刻吸引人口回流。惯性在两个方向上都起作用。</w:t>
      </w:r>
    </w:p>
    <w:p>
      <w:pPr>
        <w:pStyle w:val="BodyText"/>
      </w:pPr>
      <w:r>
        <w:rPr>
          <w:bCs/>
          <w:b/>
        </w:rPr>
        <w:t xml:space="preserve">文化惯性：归属感、关系网络与身份认同</w:t>
      </w:r>
    </w:p>
    <w:p>
      <w:pPr>
        <w:pStyle w:val="BodyText"/>
      </w:pPr>
      <w:r>
        <w:t xml:space="preserve">文化层面的历史惯性是最难量化、也最持久的阻滞力量。人在一个地方生活多年，形成的不只是经济依附，而是更深层的归属：熟悉的街道语言、多年积累的邻里关系、本地仪式和习俗提供的生活节律、以及”这里是我的地方”这一身份认同本身。这些东西在迁移中无法打包带走，到新地方需要从零开始积累，而这个过程的代价不以金钱计量，却是真实的。</w:t>
      </w:r>
    </w:p>
    <w:p>
      <w:pPr>
        <w:pStyle w:val="BodyText"/>
      </w:pPr>
      <w:r>
        <w:t xml:space="preserve">文化惯性在老龄人口中最强——他们积累最深，同时重建关系网络的时间预期最短，迁移的意愿自然最低。在年轻流动人口中最弱——他们尚未深度扎根，迁移的文化代价相对可控。两类人口在同一个衰退社区中的行为模式因此截然不同：年轻人离开，老龄人口留守，不一定是因为无力离开，而是因为留下来的文化意义仍然真实。</w:t>
      </w:r>
    </w:p>
    <w:p>
      <w:pPr>
        <w:pStyle w:val="BodyText"/>
      </w:pPr>
      <w:r>
        <w:rPr>
          <w:bCs/>
          <w:b/>
        </w:rPr>
        <w:t xml:space="preserve">A2：历史惯性的主动清理与制度性沉积</w:t>
      </w:r>
    </w:p>
    <w:p>
      <w:pPr>
        <w:pStyle w:val="BodyText"/>
      </w:pPr>
      <w:r>
        <w:t xml:space="preserve">A2体系对历史惯性的态度与A1不同：技术官僚体系有主动重塑人口分布的意志和工具，将历史形成的低效分散格局视为需要纠正的对象。撤点并校、乡镇卫生院缩编、村庄清退并入国有农业集团，是系统性压缩历史惯性的制度手段——通过降低低密度区域的基础设施覆盖质量，加速触发人口外流的负向循环，使资产惯性和文化惯性的阻滞效果被制度压力部分抵消。</w:t>
      </w:r>
    </w:p>
    <w:p>
      <w:pPr>
        <w:pStyle w:val="BodyText"/>
      </w:pPr>
      <w:r>
        <w:t xml:space="preserve">但历史惯性并未被完全消除，而是以制度性沉积的形式保留。户籍制度是最典型的案例：城乡二元户籍是几十年前建立的制度，到2072年其限制流动的原始功能已大幅弱化，但作为配给资格凭证的功能被保留，形成了县城承接带这个大规模人口现象——大量人口在功能上脱离农村，却在制度上仍持有农村配给身份。这不是规划的产物，而是历史制度与新配给逻辑相互作用的意外沉积。</w:t>
      </w:r>
    </w:p>
    <w:p>
      <w:pPr>
        <w:pStyle w:val="BodyText"/>
      </w:pPr>
      <w:r>
        <w:rPr>
          <w:bCs/>
          <w:b/>
        </w:rPr>
        <w:t xml:space="preserve">历史惯性的共同指向</w:t>
      </w:r>
    </w:p>
    <w:p>
      <w:pPr>
        <w:pStyle w:val="BodyText"/>
      </w:pPr>
      <w:r>
        <w:t xml:space="preserve">三类惯性机制在两条路径中均指向同一个结果：历史上获得更多投入（资产积累、社会关系、文化认同）的区域和个人，在面对经济条件变化时，变化速度系统性慢于经济信号的速度。这不是路径依赖的抽象表述，而是真实的城市、家庭和个人在面对变化时的具体行为模式。</w:t>
      </w:r>
    </w:p>
    <w:bookmarkEnd w:id="307"/>
    <w:bookmarkStart w:id="308" w:name="家庭负担能力与人口流动社区经济分层的形成机制"/>
    <w:p>
      <w:pPr>
        <w:pStyle w:val="Heading3"/>
      </w:pPr>
      <w:r>
        <w:t xml:space="preserve">5.3.3　家庭负担能力与人口流动：社区经济分层的形成机制</w:t>
      </w:r>
    </w:p>
    <w:p>
      <w:pPr>
        <w:pStyle w:val="FirstParagraph"/>
      </w:pPr>
      <w:r>
        <w:t xml:space="preserve">各社区呈现出不同的社会保障覆盖率特征，是人口流动的结果，不是原因。驱动流动的是家庭层面的经济计算：特定社区的生活成本基数，与家庭可以动员的全部收入（市场收入加社会保障）之间的比较。这个比较在每个家庭层面持续进行，聚合后形成各社区的人口构成和覆盖率分布。</w:t>
      </w:r>
    </w:p>
    <w:p>
      <w:pPr>
        <w:pStyle w:val="BodyText"/>
      </w:pPr>
      <w:r>
        <w:rPr>
          <w:bCs/>
          <w:b/>
        </w:rPr>
        <w:t xml:space="preserve">生活成本基数由财富与就业密度决定</w:t>
      </w:r>
    </w:p>
    <w:p>
      <w:pPr>
        <w:pStyle w:val="BodyText"/>
      </w:pPr>
      <w:r>
        <w:t xml:space="preserve">一个社区的生活成本基数——住房、食品、交通、医疗的市场价格水平——主要由该社区的财富与就业密度决定。高密度的高薪就业聚集带动高端消费需求，推高服务价格；资本积累厚的区域吸引更多商业投资，形成更完整但也更昂贵的服务生态。AI和聚变改变了生产方式，但没有消除财富分布对地价和生活成本的决定性影响。</w:t>
      </w:r>
    </w:p>
    <w:p>
      <w:pPr>
        <w:pStyle w:val="BodyText"/>
      </w:pPr>
      <w:r>
        <w:rPr>
          <w:bCs/>
          <w:b/>
        </w:rPr>
        <w:t xml:space="preserve">家庭依负担能力流动，形成社区分层</w:t>
      </w:r>
    </w:p>
    <w:p>
      <w:pPr>
        <w:pStyle w:val="BodyText"/>
      </w:pPr>
      <w:r>
        <w:t xml:space="preserve">家庭的流动决策，本质上是对”我能不能在这里持续生活”的判断。一侧是该社区的生活成本基数，另一侧是家庭可动员的全部资源——市场收入（薪资、资产收益、非正式经济收入）加上社会保障（覆盖住房、医疗、食品等基本支出的部分，A1以积分等形式实现，A2以配给票据实现，具体形式因地区而异，但对家庭负担能力的作用逻辑相同）。当两侧差距可以持续弥合，家庭留下；当差距持续扩大且无法预期改善，家庭迁出。</w:t>
      </w:r>
    </w:p>
    <w:p>
      <w:pPr>
        <w:pStyle w:val="BodyText"/>
      </w:pPr>
      <w:r>
        <w:t xml:space="preserve">这个流动的聚合结果，自然产生了各社区的社会保障覆盖率特征：高成本区域只有市场收入足以弥合差距的家庭才能持续留下，社会保障依赖比例因此低；低成本区域社会保障额度相对生活成本的覆盖率高，依赖比例因此高。覆盖率的差异是流动筛选的产物，不是独立存在的吸引力或排斥力。</w:t>
      </w:r>
    </w:p>
    <w:bookmarkEnd w:id="308"/>
    <w:bookmarkStart w:id="309" w:name="制度影响"/>
    <w:p>
      <w:pPr>
        <w:pStyle w:val="Heading3"/>
      </w:pPr>
      <w:r>
        <w:t xml:space="preserve">5.3.4　制度影响</w:t>
      </w:r>
    </w:p>
    <w:p>
      <w:pPr>
        <w:pStyle w:val="FirstParagraph"/>
      </w:pPr>
      <w:r>
        <w:t xml:space="preserve">制度和政府行为对社区形态的影响在A1和A2之间存在根本性差异。A1的制度主要设定背景条件，个体在条件约束内自由选择，结果是社区形态的高度多样化；A2的政府则以更主动的方式参与人口分布的塑造，通过规划、征收、配给差异化等工具直接影响居住格局，对BSC人口而言这些工具的作用是可感知的物质现实。</w:t>
      </w:r>
    </w:p>
    <w:p>
      <w:pPr>
        <w:pStyle w:val="BodyText"/>
      </w:pPr>
      <w:r>
        <w:rPr>
          <w:bCs/>
          <w:b/>
        </w:rPr>
        <w:t xml:space="preserve">A1：制度设定背景，社区自由生长</w:t>
      </w:r>
    </w:p>
    <w:p>
      <w:pPr>
        <w:pStyle w:val="BodyText"/>
      </w:pPr>
      <w:r>
        <w:t xml:space="preserve">A1的土地制度以私有产权为基础，累进资产税遏制了大规模土地兼并，使民众能够以较小代价保有自己的小份地产。这个产权结构是A1社区多样化发展的物质前提：拥有土地和住宅的人口有能力在原地构建自己想要的生活方式，不必依赖任何体系的配给资格。</w:t>
      </w:r>
    </w:p>
    <w:p>
      <w:pPr>
        <w:pStyle w:val="BodyText"/>
      </w:pPr>
      <w:r>
        <w:t xml:space="preserve">BSC覆盖基本生存之后，这个产权结构与个体自由选择叠加，在2072年产生了A1体系内极为丰富的社区形态谱系。光谱的一端是完全脱离公共电网和数字系统的off-grid人口——拥有小块土地、依靠太阳能和雨水收集维持生活、BSC积分能兑换的服务被主动放弃——他们在法律上完全合法，国家不干预这种选择。光谱的另一端是AI深度整合的城市核心，算法调度资源、数字身份取代物理证件、24小时工时充分实现。这两端之间存在大量中间形态：有互联网连接但刻意维持前AI生活节奏的类Amish聚落；工业时代遗存下来的中小城市，有成熟的实体商业街和社区中心，人们选择留在这里不是因为无力离开而是因为这个节奏更舒适；围绕特定价值观（宗教、环保、手工艺）形成的意向性社区；以及各种自发形成的慢生活社区，接收了主动退出高速节奏的人口。</w:t>
      </w:r>
    </w:p>
    <w:p>
      <w:pPr>
        <w:pStyle w:val="BodyText"/>
      </w:pPr>
      <w:r>
        <w:t xml:space="preserve">各级民主自治制度为这种多样性提供了政治容器：地方政府的差异化政策空间、社区自治的法律框架、BSC设计中刻意保留的个人选择余地，共同使多态社区的自由发展在制度上可持续。制度的作用不是规定社区应该是什么样，而是确保没有任何单一力量可以强制要求社区必须是什么样。</w:t>
      </w:r>
    </w:p>
    <w:p>
      <w:pPr>
        <w:pStyle w:val="BodyText"/>
      </w:pPr>
      <w:r>
        <w:rPr>
          <w:bCs/>
          <w:b/>
        </w:rPr>
        <w:t xml:space="preserve">A2：政府引导与经济约束的双重机制</w:t>
      </w:r>
    </w:p>
    <w:p>
      <w:pPr>
        <w:pStyle w:val="BodyText"/>
      </w:pPr>
      <w:r>
        <w:t xml:space="preserve">A2城镇居民经由1998年住房商品化改革形成了较高的住房自有率，人口持续减少的背景下，继承和保有既有商品房的能力相对较强。商品房的土地使用权（70年）在法律上可以通过二手市场流通，产权本身不构成流动的法律障碍。制约BSC人口流动的主要力量是经济成本：特大城市高昂的住房价格和生活成本构成对低保障人口的自然推力，将其推向生活成本可及的中等城市和县城，这个推力来自市场而非行政命令。</w:t>
      </w:r>
    </w:p>
    <w:p>
      <w:pPr>
        <w:pStyle w:val="BodyText"/>
      </w:pPr>
      <w:r>
        <w:t xml:space="preserve">在经济机制之上，政府的有形之手以更直接的方式参与人口分布的塑造。规划决策可以单方面改变区域资产价值——一条地铁线、一项产业园规划、一次撤点并校的决定，都会系统性地重新定价周边住宅，引发或抑制人口流动。征收与安置是更直接的人口重新分布工具：政府有权依法征收住宅用地，补偿标准由行政程序确定，被征收方的议价能力有限。在这个过程中，货币性损失通常可以量化并给予补偿，但社会关系网络的断裂、本地积累的非正式资产（邻里互助、本地知识、社区信任）、以及迁移适应成本，均不在标准补偿框架之内。</w:t>
      </w:r>
    </w:p>
    <w:p>
      <w:pPr>
        <w:pStyle w:val="BodyText"/>
      </w:pPr>
      <w:r>
        <w:t xml:space="preserve">有技能的人口在这套机制中有足够的市场议价能力——他们可以在城市间自由选择，在市场上实现住房资产的最优处置。对基础保障覆盖人口而言，市场推力和政府引导叠加的效果是相同方向的：城市的高成本在经济上排斥他们，政府的规划征收在需要时可以直接迁移他们。流动在法律上是自由的，在实践中受经济成本和政府规划的双重约束。</w:t>
      </w:r>
    </w:p>
    <w:p>
      <w:pPr>
        <w:pStyle w:val="BodyText"/>
      </w:pPr>
      <w:r>
        <w:t xml:space="preserve">A2人口流动统计数字呈现的高流动性，主要来自有技能人口的真实地理自由；基础保障覆盖人口的相对稳定，是经济成本和政府引导共同作用的结果，构成各层级社区的人口底盘。</w:t>
      </w:r>
    </w:p>
    <w:p>
      <w:pPr>
        <w:pStyle w:val="BodyText"/>
      </w:pPr>
      <w:r>
        <w:t xml:space="preserve">移民制度体现了两条路径的制度性质差异：A1的BSC覆盖边界维持在公民身份，通过行政机制渐进关闭低产出移民渠道，同时保留高技能移民的归化通道，使制度在人口补充上的开放性与财政可持续性兼容。生育率问题在两条路径中都逐步从主动政策议题退出——财政逻辑断裂使鼓励生育的正当性基础瓦解，直接限制生育的法律与伦理障碍又使政策难以反向介入，结果是生育作为政策对象的显著性系统性下降，退为个体选择领域。</w:t>
      </w:r>
    </w:p>
    <w:p>
      <w:pPr>
        <w:pStyle w:val="BodyText"/>
      </w:pPr>
      <w:r>
        <w:rPr>
          <w:bCs/>
          <w:b/>
        </w:rPr>
        <w:t xml:space="preserve">小结：四类机制的叠加效应</w:t>
      </w:r>
    </w:p>
    <w:p>
      <w:pPr>
        <w:pStyle w:val="BodyText"/>
      </w:pPr>
      <w:r>
        <w:t xml:space="preserve">四类机制的叠加，在两条路径中产生结构性相似的社区演化趋势：人口向基础设施可及、家庭负担能力可以覆盖生活成本、历史积累较强的区域集中，稀疏区域在正反馈循环中加速空心化。机制的传导路径不同——A1通过个体决策的分散聚合，A2通过政府引导的主动调节——但结构性终点高度相似。2072年A1和A2的社区图景，是这四类力量在各自传导逻辑下运行40余年的现实结果，见5.4节。</w:t>
      </w:r>
    </w:p>
    <w:bookmarkEnd w:id="309"/>
    <w:bookmarkEnd w:id="310"/>
    <w:bookmarkStart w:id="315" w:name="家庭亲密关系与生育"/>
    <w:p>
      <w:pPr>
        <w:pStyle w:val="Heading2"/>
      </w:pPr>
      <w:r>
        <w:t xml:space="preserve">5.4　家庭、亲密关系与生育</w:t>
      </w:r>
    </w:p>
    <w:p>
      <w:pPr>
        <w:pStyle w:val="FirstParagraph"/>
      </w:pPr>
      <w:r>
        <w:t xml:space="preserve">家庭是社会分析的最小经济单位，也是个体与制度之间最直接的缓冲层。2072年家庭结构的变化，不是文化价值观漂移的单独产物，而是技术、经济、制度三重条件同时改变后的结构性输出。这些变化在不同路径、不同社区形态中的表现形式不同，但驱动机制是跨路径共通的。</w:t>
      </w:r>
    </w:p>
    <w:bookmarkStart w:id="311" w:name="家庭作为经济单位社保依赖与社区财富的机制"/>
    <w:p>
      <w:pPr>
        <w:pStyle w:val="Heading3"/>
      </w:pPr>
      <w:r>
        <w:t xml:space="preserve">5.4.1　家庭作为经济单位：社保依赖与社区财富的机制</w:t>
      </w:r>
    </w:p>
    <w:p>
      <w:pPr>
        <w:pStyle w:val="FirstParagraph"/>
      </w:pPr>
      <w:r>
        <w:t xml:space="preserve">家庭是社会保障的最基本接入单元。无论A1的BSC积分体系还是A2的配给体系，最终落地都以家庭户为核算边界——谁住在一起、谁共享账户、谁是法定受益人，决定了具体家庭能获取的资源总量。这使家庭不只是情感和生活单位，而是在2072年的分配体系中具有实质经济功能的组织形式。</w:t>
      </w:r>
    </w:p>
    <w:p>
      <w:pPr>
        <w:pStyle w:val="BodyText"/>
      </w:pPr>
      <w:r>
        <w:rPr>
          <w:bCs/>
          <w:b/>
        </w:rPr>
        <w:t xml:space="preserve">社保依赖比例决定社区财富水平。</w:t>
      </w:r>
      <w:r>
        <w:t xml:space="preserve">一个社区内，完全依赖社会保障（BSC积分或配给票据）维持生活的家庭比例，是决定该社区整体经济活力的核心变量。社保依赖人口产生有限的本地消费，但几乎不产生税收或资本积累，也不吸引市场性投资。当社保依赖比例超过某个临界值，本地商业生态开始萎缩——咖啡馆、餐厅、零售店依赖有市场收入的消费者，当这部分人口不足，商业服务收缩，进一步降低了有收入人口留在此地的动力，形成负向循环。这个机制在A1和A2中均存在，传导方式不同但方向一致。</w:t>
      </w:r>
    </w:p>
    <w:p>
      <w:pPr>
        <w:pStyle w:val="BodyText"/>
      </w:pPr>
      <w:r>
        <w:rPr>
          <w:bCs/>
          <w:b/>
        </w:rPr>
        <w:t xml:space="preserve">2072年经济图景的特殊性：数据变了，建筑没变。</w:t>
      </w:r>
      <w:r>
        <w:t xml:space="preserve">2072年的大多数社区在物理形态上与四五十年前差别不大——同样的街道格局、同样的建筑存量，很多地方的楼房就是2020年代建造的。但经济图景的数据层发生了根本性变化：社保依赖人口大幅增加，保障内容各路径各有不同，家庭收入构成已不再主要来自传统劳动。一个2030年代的普通街道和2072年的同一条街道，外观可能高度相似，但街道上每个家庭的收入来源结构、社保依赖比例、消费能力分布已经是完全不同的经济现实。这种”外壳不变、内核已变”的错位，是2072年最难以从外部直接读取的社会特征。</w:t>
      </w:r>
    </w:p>
    <w:p>
      <w:pPr>
        <w:pStyle w:val="BodyText"/>
      </w:pPr>
      <w:r>
        <w:t xml:space="preserve">这个机制的社区间差异，在5.5节的各类社区形态中有具体体现：AI整合城市核心的社保依赖比例最低，市场收入主导；历史衰退型小城市的社保依赖比例最高，本地商业生态已大幅萎缩；历史投资型中等城市处于中间地带，是混合收入家庭的主要聚居区，也是社会保障覆盖额度与生活成本匹配度最优的地带。</w:t>
      </w:r>
    </w:p>
    <w:bookmarkEnd w:id="311"/>
    <w:bookmarkStart w:id="312" w:name="家庭结构的变化"/>
    <w:p>
      <w:pPr>
        <w:pStyle w:val="Heading3"/>
      </w:pPr>
      <w:r>
        <w:t xml:space="preserve">5.4.2　家庭结构的变化</w:t>
      </w:r>
    </w:p>
    <w:p>
      <w:pPr>
        <w:pStyle w:val="FirstParagraph"/>
      </w:pPr>
      <w:r>
        <w:t xml:space="preserve">以核心家庭为单位的家庭结构在2072年覆盖明显低于工业时代高峰的成人人口比例。下降的驱动力不是反家庭的意识形态，而是支撑核心家庭的经济逻辑削弱——核心家庭最初是工业经济条件下劳动力流动与家庭稳定的折中方案，当劳动力流动不再必要，核心家庭的经济合理性降低。</w:t>
      </w:r>
    </w:p>
    <w:p>
      <w:pPr>
        <w:pStyle w:val="BodyText"/>
      </w:pPr>
      <w:r>
        <w:t xml:space="preserve">替代形态的多样性在A1路径中最为显著：独居（比例显著上升，可能是史上最高）；非婚伴侣同居（占相当比例）；多人关系家庭（少数但在发达路径中已获法律认可）；选择性家庭（没有血缘或法律关系的密切互助网络，在城市中普遍存在）。A2路径在家庭结构上受到更强的制度约束——配给以户籍家庭为单元，结婚和生育与配给加成直接挂钩，这些激励在制度层面对核心家庭形态形成支撑，但实际效果受制于更深层的意义框架变化，详见5.4.5节。</w:t>
      </w:r>
    </w:p>
    <w:p>
      <w:pPr>
        <w:pStyle w:val="BodyText"/>
      </w:pPr>
      <w:r>
        <w:t xml:space="preserve">独居的普遍化是两条路径共同的趋势，机制来源不同。A1的独居上升主要来自个体自主意愿的扩展：BSC覆盖基本生存后，组建家庭不再是经济必要性，而成为纯粹的生活选择，不选择的成本大幅下降。A2的独居上升部分来自城市住房成本和工作压力的现实约束，部分来自意义框架变化的渗透——即便配给激励指向家庭形成，实际形成率仍持续低于政策目标。</w:t>
      </w:r>
    </w:p>
    <w:bookmarkEnd w:id="312"/>
    <w:bookmarkStart w:id="313" w:name="ai伴侣技术能力制度态度与社会后果"/>
    <w:p>
      <w:pPr>
        <w:pStyle w:val="Heading3"/>
      </w:pPr>
      <w:r>
        <w:t xml:space="preserve">5.4.3　AI伴侣：技术能力、制度态度与社会后果</w:t>
      </w:r>
    </w:p>
    <w:p>
      <w:pPr>
        <w:pStyle w:val="FirstParagraph"/>
      </w:pPr>
      <w:r>
        <w:t xml:space="preserve">AI伴侣在2072年是一个规模显著但仍然高度争议的现象。使用某种形式AI伴侣的成人已占相当比例，其中将AI关系定义为”主要情感关系”的仍属少数但规模不可忽视。AI伴侣技术能力的分析和人机情感关系的权益问题，见3.8.3节；本节聚焦于AI伴侣作为社会现象在两条路径中的制度应对和社会后果。</w:t>
      </w:r>
    </w:p>
    <w:p>
      <w:pPr>
        <w:pStyle w:val="BodyText"/>
      </w:pPr>
      <w:r>
        <w:rPr>
          <w:bCs/>
          <w:b/>
        </w:rPr>
        <w:t xml:space="preserve">技术现实：一个谱系，而非单一产品。</w:t>
      </w:r>
      <w:r>
        <w:t xml:space="preserve">AI伴侣在2072年覆盖从极低成本到高端定制的完整谱系，不同层级的普及率、情感替代深度和社会影响规模截然不同。</w:t>
      </w:r>
    </w:p>
    <w:p>
      <w:pPr>
        <w:pStyle w:val="BodyText"/>
      </w:pPr>
      <w:r>
        <w:t xml:space="preserve">基础软件层——文字/语音陪伴、简单情感回应——边际成本接近零，凡有网络接入的地区均已渗透，类似早期社交软件的普及路径。这一层使用率最高，但情感替代深度有限，主要满足即时陪伴需求，对长期伴侣关系决策的影响是边际性的。</w:t>
      </w:r>
    </w:p>
    <w:p>
      <w:pPr>
        <w:pStyle w:val="BodyText"/>
      </w:pPr>
      <w:r>
        <w:t xml:space="preserve">中间层——持续记忆、个性化深度适应、情感状态识别与回应——是本节讨论的主要对象，也是制度争议和伦理讨论的核心战场。这一层以订阅制软件为主，价格构成实质性门槛，主要分布在A1/A2核心地区有稳定收入的城市人口中。其能力在2060年代达到了令许多人感到不安的真实感水平：与真实人类的日常互动在许多指标上不可区分。核心差异不在外部表现，而在结构性质：AI伴侣没有自己的需求、没有独立的议程、永远可用、永远耐心。这些特征使AI关系既极其满足又深度扭曲——真实的亲密关系包括处理另一个有自己需求的真实存在，这个挑战被中高层AI伴侣系统性地去除了。</w:t>
      </w:r>
    </w:p>
    <w:p>
      <w:pPr>
        <w:pStyle w:val="BodyText"/>
      </w:pPr>
      <w:r>
        <w:t xml:space="preserve">高仿真硬件层——实体机器人形态——成本最高，文化阻力最大，2072年仍属于小众高端市场，渗透率远低于软件层。其社会影响目前主要停留在伦理讨论和立法预防层面，尚未形成规模性的行为改变。</w:t>
      </w:r>
    </w:p>
    <w:p>
      <w:pPr>
        <w:pStyle w:val="BodyText"/>
      </w:pPr>
      <w:r>
        <w:rPr>
          <w:bCs/>
          <w:b/>
        </w:rPr>
        <w:t xml:space="preserve">A1的制度态度：个人选择框架，市场监管为主。</w:t>
      </w:r>
      <w:r>
        <w:t xml:space="preserve">A1体系将AI伴侣定性为个人选择领域，与宗教信仰、生活方式选择一样不受国家强制干预。监管主要集中在市场层面：AI伴侣产品的数据处理是否符合隐私法规、情感操纵算法是否构成消费者欺诈、对未成年用户的保护边界。对于成年人选择将AI关系作为主要情感关系，A1制度框架在原则上保持中立，不支持也不阻止。批评声音主要来自文化和伦理层面，而非法律层面。实际效果是AI伴侣产业形成了成熟的商业生态，产品从基础陪伴到高度定制化的深度关系伴侣分布于完整的市场区间，价格是进入门槛的主要分层因素。</w:t>
      </w:r>
    </w:p>
    <w:p>
      <w:pPr>
        <w:pStyle w:val="BodyText"/>
      </w:pPr>
      <w:r>
        <w:rPr>
          <w:bCs/>
          <w:b/>
        </w:rPr>
        <w:t xml:space="preserve">A2的制度态度：稳定工具与管控风险的双重定性。</w:t>
      </w:r>
      <w:r>
        <w:t xml:space="preserve">A2对AI伴侣的态度更为复杂，内部存在两个相互冲突的官方逻辑。一方面，AI伴侣被技术官僚体系视为潜在的社会稳定工具——孤独感和意义危机是社会不稳定的潜在来源，如果AI伴侣能有效吸收这部分情绪，减少因孤独引发的社会摩擦，则对体制有利。另一方面，深度个性化的AI伴侣系统掌握大量用户的私密情感数据和心理状态，这些数据既是管控资源（可用于识别异见倾向），也是潜在风险（境外公司的AI伴侣产品可能成为信息渗透渠道）。A2的实际政策结果是：国内AI伴侣产品在监管框架内被许可，境外产品受到严格限制，产品的数据必须留存于国内服务器并对监管机构开放。这个框架使AI伴侣成为另一个”服从换自由度”的商业领域。</w:t>
      </w:r>
    </w:p>
    <w:p>
      <w:pPr>
        <w:pStyle w:val="BodyText"/>
      </w:pPr>
      <w:r>
        <w:rPr>
          <w:bCs/>
          <w:b/>
        </w:rPr>
        <w:t xml:space="preserve">社会后果：分层影响，而非均匀普及。</w:t>
      </w:r>
      <w:r>
        <w:t xml:space="preserve">AI伴侣对家庭结构的影响规模与谱系层级直接挂钩。基础软件层的广泛渗透主要表现为孤独感的即时缓冲，对长期伴侣关系的替代效应有限。产生实质性替代效应的是中间层：在A1/A2核心地区有稳定收入的城市人口中，中层AI伴侣降低了组建真实伴侣关系的紧迫性，使独居的情感成本下降，在边际上加速了这一人群独居率的上升。这个效果在A1体系中通过市场机制自然扩散；在A2体系中，国内产品被许可、境外产品受限的格局使影响集中于使用国内平台的城市用户。总体上，AI伴侣对生育率和独居率的可观察影响，在2072年仍主要集中于技术接入充分、收入水平足以负担中层产品的人口，而非跨路径的普遍现象。</w:t>
      </w:r>
    </w:p>
    <w:bookmarkEnd w:id="313"/>
    <w:bookmarkStart w:id="314" w:name="生育率意义框架的深层转变"/>
    <w:p>
      <w:pPr>
        <w:pStyle w:val="Heading3"/>
      </w:pPr>
      <w:r>
        <w:t xml:space="preserve">5.4.4　生育率：意义框架的深层转变</w:t>
      </w:r>
    </w:p>
    <w:p>
      <w:pPr>
        <w:pStyle w:val="FirstParagraph"/>
      </w:pPr>
      <w:r>
        <w:t xml:space="preserve">2072年的全球总和生育率系统性低于替代水平，且没有任何路径找到有效的政策解决方案。这不是个别政策失败，而是多重结构性机制同时作用的结果。</w:t>
      </w:r>
    </w:p>
    <w:p>
      <w:pPr>
        <w:pStyle w:val="BodyText"/>
      </w:pPr>
      <w:r>
        <w:rPr>
          <w:bCs/>
          <w:b/>
        </w:rPr>
        <w:t xml:space="preserve">意义框架的位移是根本驱动力。</w:t>
      </w:r>
      <w:r>
        <w:t xml:space="preserve">工业时代，子女在个体的意义框架中承担多重功能：养老保障、劳动力延续、家族传承的具象载体。这些功能在2072年已系统性弱化：养老保障被社会制度替代（BSC/配给覆盖老年基本生存），劳动力价值在AI时代本身已贬值，家族传承叙事在流动社会中失去土壤。子女留在意义框架中的位置，缩减为纯粹的情感和关系需求——而这个需求在AI伴侣、选择性家庭等替代来源大量涌现的背景下，不再是只有子女才能满足的。这不是说人们不爱孩子，而是”为什么要有孩子”这个问题在2072年越来越难以用社会性逻辑回答，只剩下纯粹个人性的答案，而个人性的答案在个体层面是高度多样的。</w:t>
      </w:r>
    </w:p>
    <w:p>
      <w:pPr>
        <w:pStyle w:val="BodyText"/>
      </w:pPr>
      <w:r>
        <w:rPr>
          <w:bCs/>
          <w:b/>
        </w:rPr>
        <w:t xml:space="preserve">延寿技术改变了生命节奏的感知——但效应高度分层。</w:t>
      </w:r>
      <w:r>
        <w:t xml:space="preserve">健康寿命显著延长在2072年已是A1/A2核心地区中高收入人口的现实（上限见3.8节），但这项技术处于L2—L3扩散阶段：存在、可及，尚未均匀覆盖全球人口。被遗忘地带和大多数F/D类路径的预期寿命改善幅度远低于核心地区，延寿对生育时间感知的重塑效应在这些路径中基本不适用。</w:t>
      </w:r>
    </w:p>
    <w:p>
      <w:pPr>
        <w:pStyle w:val="BodyText"/>
      </w:pPr>
      <w:r>
        <w:t xml:space="preserve">在延寿效应实际覆盖的人群中，时间感知的变化是真实的：30岁在主观感受上是真正的人生早期，40—50岁是中年的开始，</w:t>
      </w:r>
      <w:r>
        <w:t xml:space="preserve">“</w:t>
      </w:r>
      <w:r>
        <w:t xml:space="preserve">以后再说</w:t>
      </w:r>
      <w:r>
        <w:t xml:space="preserve">”</w:t>
      </w:r>
      <w:r>
        <w:t xml:space="preserve">的选项在生理上变得可信。这个变化使生育决策被系统性推迟，而AI辅助生殖技术（卵子冷冻、体外受精在2072年已高度成熟且费用大幅下降）在技术层面使推迟成为可行选项，进一步降低了”现在就要决定”的压力。延寿效应与AI辅助生殖的叠加，在A1/A2核心城市人口中是可观察的生育推迟机制；在全球层面，它是加剧生育率分化而非拉平分化的因素——核心地区推迟更多，边缘地区基本不受影响。</w:t>
      </w:r>
    </w:p>
    <w:p>
      <w:pPr>
        <w:pStyle w:val="BodyText"/>
      </w:pPr>
      <w:r>
        <w:rPr>
          <w:bCs/>
          <w:b/>
        </w:rPr>
        <w:t xml:space="preserve">环境不确定性产生道德层面的犹豫。</w:t>
      </w:r>
      <w:r>
        <w:t xml:space="preserve">气候变化的持续影响（见6.4节）、多态社会的不确定性、技术加速的不可预测性，使相当比例的潜在父母对”把新生命带入这个世界”产生道德层面的犹豫——不是关于自己能否承受养育成本，而是关于孩子将要面对的世界是否值得被带入。这个犹豫在调查数据中已有明确体现，且在A1体系受教育程度更高的年轻成人中比例更高。</w:t>
      </w:r>
    </w:p>
    <w:p>
      <w:pPr>
        <w:pStyle w:val="BodyText"/>
      </w:pPr>
      <w:r>
        <w:rPr>
          <w:bCs/>
          <w:b/>
        </w:rPr>
        <w:t xml:space="preserve">政策意愿与政策效果的双重失效。</w:t>
      </w:r>
      <w:r>
        <w:t xml:space="preserve">生育政策的失效发生在两个相互独立的层次上。</w:t>
      </w:r>
    </w:p>
    <w:p>
      <w:pPr>
        <w:pStyle w:val="BodyText"/>
      </w:pPr>
      <w:r>
        <w:t xml:space="preserve">效果层面的失效早于意愿层面：有财政能力和制度意愿的路径（主要是A1、欧洲B1类、A2）在工业时代晚期至AI冲击初期（约2010—2035年间）不同程度地执行过生育激励政策，经济成本的降低在边际上有效，使一部分原本因经济顾虑而推迟的家庭做出了决定。E类、大多数D/B2类路径从未具备这类政策的财政能力，C类路径的政策优先级也不在此。但即便在有能力执行的路径中，激励同样触及不了根本：意义框架的位移不是经济问题，延寿带来的时间感知变化不是补贴可以逆转的，道德层面的犹豫不在政策框架的处理范围内。长期趋势持续向下，因为激励改变的是经济成本，改变不了人们为什么想要或不想要孩子。</w:t>
      </w:r>
    </w:p>
    <w:p>
      <w:pPr>
        <w:pStyle w:val="BodyText"/>
      </w:pPr>
      <w:r>
        <w:t xml:space="preserve">意愿层面的失效在财政逻辑断裂后逐步显现：AI替代使新增人口可能直接成为保障体系的财政依赖人口（见4.7.1节），</w:t>
      </w:r>
      <w:r>
        <w:t xml:space="preserve">“</w:t>
      </w:r>
      <w:r>
        <w:t xml:space="preserve">鼓励生育以补充税基</w:t>
      </w:r>
      <w:r>
        <w:t xml:space="preserve">”</w:t>
      </w:r>
      <w:r>
        <w:t xml:space="preserve">的传统正当性基础随之瓦解。与此同时，直接限制生育面临不可逾越的法律与伦理障碍，在A1/欧洲体系几乎没有政治可行性。两侧均无法操作的结果，是主动人口政策在多数路径逐步退出政治显著位置——既不再以公共资金大力推动生育，也不介入限制，生育作为政策议题的优先级在2040年代后系统性下降，退为个体选择领域。</w:t>
      </w:r>
    </w:p>
    <w:p>
      <w:pPr>
        <w:pStyle w:val="BodyText"/>
      </w:pPr>
      <w:r>
        <w:t xml:space="preserve">各路径的退场机制不同。A1/欧洲路径是正当性瓦解式退场：财政逻辑失效后，生育激励政策在议会审议中越来越难以通过成本收益检验，各州/各国政策出现分化，联邦或中央层面趋向沉默。东欧民族主义路径（匈牙利、波兰等）是意愿持续但财政能力受限：民族存续叙事维持了政策方向，但实际补贴规模被财政约束压缩，效果进一步打折。A2路径是实用主义的静默收缩：正式政策方向未作宣布调整，但实质投入和政治优先级随青年失业与财政压力的积累而悄然下降——从限制生育到鼓励生育已是一次重大政策逆转，再公开承认效果有限需要承担较高政治成本，务实的处理方式是让议题自然降温而非正式收场。</w:t>
      </w:r>
    </w:p>
    <w:p>
      <w:pPr>
        <w:pStyle w:val="BodyText"/>
      </w:pPr>
      <w:r>
        <w:rPr>
          <w:bCs/>
          <w:b/>
        </w:rPr>
        <w:t xml:space="preserve">全球南方的例外与局限。</w:t>
      </w:r>
      <w:r>
        <w:t xml:space="preserve">在E类被遗忘地带和部分D/B2类发展中路径，生育率仍然高于替代水平。驱动力依然是工业时代的经典逻辑：高婴儿死亡率下的数量对冲、子女作为实际养老保障、宗教和文化规范的持续约束。但这个例外正在收窄：随着基本医疗覆盖率上升和婴儿死亡率下降，即使没有充分的AI技术接入，生育率下行的趋势也在这些地区逐渐启动。2072年的全球生育率图景是：最高生育率地区的生育率在下降，最低生育率地区（主要是东亚A2路径）已经维持了数十年的极低水平且没有反弹迹象，全球人口总量的峰值在2050年代末已经过去，2072年处于缓慢下行通道。</w:t>
      </w:r>
    </w:p>
    <w:p>
      <w:pPr>
        <w:pStyle w:val="BodyText"/>
      </w:pPr>
      <w:r>
        <w:rPr>
          <w:iCs/>
          <w:i/>
        </w:rPr>
        <w:t xml:space="preserve">家庭结构的变化、AI伴侣的渗透、生育率的系统性下降，是同一套机制——意义框架位移、技术替代、社会保障制度化——在亲密关系领域的三个表现面。它们不是独立的问题，是同一个深层转变在不同维度的投影。值得注意的是，延寿技术和中高层AI伴侣的影响都集中于技术接入充分的核心地区人口，而非全球均匀分布——这意味着这两个因素在加剧全球生育率分化上的作用，比在压低全球生育率均值上的作用更为显著。</w:t>
      </w:r>
    </w:p>
    <w:bookmarkEnd w:id="314"/>
    <w:bookmarkEnd w:id="315"/>
    <w:bookmarkStart w:id="320" w:name="年社区图景"/>
    <w:p>
      <w:pPr>
        <w:pStyle w:val="Heading2"/>
      </w:pPr>
      <w:r>
        <w:t xml:space="preserve">5.5　2072年社区图景</w:t>
      </w:r>
    </w:p>
    <w:p>
      <w:pPr>
        <w:pStyle w:val="FirstParagraph"/>
      </w:pPr>
      <w:r>
        <w:t xml:space="preserve">5.3节的四类驱动机制——基础设施的容纳逻辑、历史惯性的阻滞作用、家庭负担能力与生活成本的流动筛选、政府与制度的主动影响——在两条路径中经过40余年的运行，到2072年形成了一系列可以稳定存在的社区形态。稳定性的含义是：四类机制共同指向该形态，或至少不相互拆解，使其能够在不依赖外部持续干预的情况下自我维持。以下按A1和A2分别列举各类稳定社区形态，并在每类形态中标注使其稳定的机制组合。</w:t>
      </w:r>
    </w:p>
    <w:bookmarkStart w:id="316" w:name="a1体系的社区形态谱系"/>
    <w:p>
      <w:pPr>
        <w:pStyle w:val="Heading3"/>
      </w:pPr>
      <w:r>
        <w:t xml:space="preserve">5.5.1　A1体系的社区形态谱系</w:t>
      </w:r>
    </w:p>
    <w:p>
      <w:pPr>
        <w:pStyle w:val="FirstParagraph"/>
      </w:pPr>
      <w:r>
        <w:t xml:space="preserve">A1体系社区形态的根本特征是多样性：土地私有产权、民主自治框架、BSC托底三者叠加，使个体和社群在制度提供的自由空间内可以构建极为不同的生活方式。以下六类形态覆盖了从高度整合到主动脱离的完整光谱。各类形态内部的家庭收入结构和社保依赖比例，构成外观相似的建成环境之下截然不同的经济现实——2072年最难从外部直接读取的社会特征，正是建筑没变而数据层已根本不同的这种错位（机制见5.4.1节）。</w:t>
      </w:r>
    </w:p>
    <w:p>
      <w:pPr>
        <w:pStyle w:val="BodyText"/>
      </w:pPr>
      <w:r>
        <w:rPr>
          <w:bCs/>
          <w:b/>
        </w:rPr>
        <w:t xml:space="preserve">AI整合城市核心</w:t>
      </w:r>
    </w:p>
    <w:p>
      <w:pPr>
        <w:pStyle w:val="BodyText"/>
      </w:pPr>
      <w:r>
        <w:t xml:space="preserve">大都市区的高密度核心，是资本、高技能劳动力和网络效应正反馈的产物。集聚不需要政策维持，因为每一个进入的主体都强化了集聚本身的吸引力。基础设施密度最高（聚变接入最早、医疗教育最完善）；工业时代积累的资本和基础设施是历史惯性的正向贡献；AI无法替代的高薪岗位和新兴AI监督类岗位集中于此；高成本区域的租金远超社会保障可以覆盖的范围，市场成本形成对低保障人口的自然屏障。</w:t>
      </w:r>
    </w:p>
    <w:p>
      <w:pPr>
        <w:pStyle w:val="BodyText"/>
      </w:pPr>
      <w:r>
        <w:t xml:space="preserve">城市内部存在实质性双轨：持有市场收入的人口与依赖BSC为高薪人口提供护理、关怀和现场服务的人口在同一空间共存，日常接触持续发生——雇主与服务者之间、邻居之间、街道与公共空间里。变化的是各自的消费选项和经济约束，不是人与人之间的社会接触本身。不同收入层共享同一个城市，保持有机的社会互动；所不同的是在储蓄能力、医疗选项、子女教育路径上面临截然不同的结构性约束。这个形态的稳定性来自四类驱动机制的同向正反馈（见5.3节）：基础设施密度最高持续吸引人口、历史投资遗产降低维持成本、高薪就业集聚强化经济引力、市场成本自然筛选进入门槛——四者共同指向集聚，使这个形态成为A1体系内最难以被外部干预改变的社区类型。</w:t>
      </w:r>
    </w:p>
    <w:p>
      <w:pPr>
        <w:pStyle w:val="BodyText"/>
      </w:pPr>
      <w:r>
        <w:rPr>
          <w:bCs/>
          <w:b/>
        </w:rPr>
        <w:t xml:space="preserve">历史投资型中等城市</w:t>
      </w:r>
    </w:p>
    <w:p>
      <w:pPr>
        <w:pStyle w:val="BodyText"/>
      </w:pPr>
      <w:r>
        <w:t xml:space="preserve">工业时代有良好公共投资遗产的中等城市——大学城、前制造业中心、州府城市——在BSC时代成为人口主体区域。社会保障覆盖额度在这里与生活成本的匹配度最优（住房保障可覆盖较大比例租金，公服基准有保障，非正式经济有空间）；聚变电网和物流网络在这里次优先覆盖；历史遗产降低了维持高质公服的边际成本；州际人口竞争的政治激励使地方政府持续投入教育医疗以维持相对优势。</w:t>
      </w:r>
    </w:p>
    <w:p>
      <w:pPr>
        <w:pStyle w:val="BodyText"/>
      </w:pPr>
      <w:r>
        <w:t xml:space="preserve">这个形态的稳定性来自三类机制的共同支撑：经济引力（社会保障覆盖额度与生活成本匹配度最优）、基础设施覆盖（次优先级接入）、历史投资遗产（降低维持公共服务的边际成本）。它吸纳了从高成本城市因住房压力外溢的社会保障依赖人口，也接收了从更小社区因公共服务不足流出的人口，是2072年A1体系人口分布的主体地带。</w:t>
      </w:r>
    </w:p>
    <w:p>
      <w:pPr>
        <w:pStyle w:val="BodyText"/>
      </w:pPr>
      <w:r>
        <w:rPr>
          <w:bCs/>
          <w:b/>
        </w:rPr>
        <w:t xml:space="preserve">历史衰退型小城市</w:t>
      </w:r>
    </w:p>
    <w:p>
      <w:pPr>
        <w:pStyle w:val="BodyText"/>
      </w:pPr>
      <w:r>
        <w:t xml:space="preserve">历史投资不足、被工业时代主要交通干线绕过、或单一产业枯竭的小城市，进入低水平凑合均衡：BSC覆盖了生存底线使社区不瓦解，但缺乏历史公共投资遗产支撑高质服务，无法在州际人口竞争中保持优势，持续净流出。留守人口以老龄化为主，社区凝聚力依赖历史形成的邻里关系网络缓慢消解。</w:t>
      </w:r>
    </w:p>
    <w:p>
      <w:pPr>
        <w:pStyle w:val="BodyText"/>
      </w:pPr>
      <w:r>
        <w:t xml:space="preserve">这个形态的稳定性是被动的：BSC移除了物质崩溃的触发条件，但没有提供自我再生的动力。它不会迅速消亡，也不会自发复苏，是一种延长的衰减均衡。</w:t>
      </w:r>
    </w:p>
    <w:p>
      <w:pPr>
        <w:pStyle w:val="BodyText"/>
      </w:pPr>
      <w:r>
        <w:rPr>
          <w:bCs/>
          <w:b/>
        </w:rPr>
        <w:t xml:space="preserve">意向性社区</w:t>
      </w:r>
    </w:p>
    <w:p>
      <w:pPr>
        <w:pStyle w:val="BodyText"/>
      </w:pPr>
      <w:r>
        <w:t xml:space="preserve">围绕特定价值观主动聚合的社区——宗教、环保、手工艺、某种政治理念——在BSC时代获得了可持续的物质基础。土地私有产权允许成员以较低代价保有或购置社区所需的物理空间；BSC积分覆盖基本生存，使成员不必为生计妥协于外部市场；民主自治框架保护这种生活方式不受外部力量强制干预。</w:t>
      </w:r>
    </w:p>
    <w:p>
      <w:pPr>
        <w:pStyle w:val="BodyText"/>
      </w:pPr>
      <w:r>
        <w:t xml:space="preserve">这个形态的稳定性来自价值认同的内聚力：成员的流入和留守不依赖外部经济激励，而依赖对共同理念的认同。稳定性强度与社群理念的凝聚力正相关，与外部经济条件的关联度低。典型形态包括：有强烈宗教凝聚力的保守基督教社群、生态原则主导的农业公社、围绕手工艺或传统技艺形成的工匠社区。</w:t>
      </w:r>
    </w:p>
    <w:p>
      <w:pPr>
        <w:pStyle w:val="BodyText"/>
      </w:pPr>
      <w:r>
        <w:rPr>
          <w:bCs/>
          <w:b/>
        </w:rPr>
        <w:t xml:space="preserve">Off-grid孤立聚居</w:t>
      </w:r>
    </w:p>
    <w:p>
      <w:pPr>
        <w:pStyle w:val="BodyText"/>
      </w:pPr>
      <w:r>
        <w:t xml:space="preserve">完全或近乎完全脱离公共基础设施的小规模聚居——依靠太阳能、雨水收集和本地食物生产维持生活，主动放弃或不使用BSC积分可兑换的公共服务。土地私有产权是这个形态的物质前提；法律框架保护这种选择的合法性；A1制度设计中没有任何机制强制要求接入公共网络。</w:t>
      </w:r>
    </w:p>
    <w:p>
      <w:pPr>
        <w:pStyle w:val="BodyText"/>
      </w:pPr>
      <w:r>
        <w:t xml:space="preserve">这个形态的稳定性来自自足能力与制度容忍的结合。规模通常极小（个人、家庭、数十人的小群体），不形成对外依赖，也不向外施压。它是A1多态谱系的极端端点，在数量上边缘，在制度含义上重要——它的存在证明了A1制度容忍空间的实际边界。</w:t>
      </w:r>
    </w:p>
    <w:p>
      <w:pPr>
        <w:pStyle w:val="BodyText"/>
      </w:pPr>
      <w:r>
        <w:rPr>
          <w:bCs/>
          <w:b/>
        </w:rPr>
        <w:t xml:space="preserve">主动慢生活社区</w:t>
      </w:r>
    </w:p>
    <w:p>
      <w:pPr>
        <w:pStyle w:val="BodyText"/>
      </w:pPr>
      <w:r>
        <w:t xml:space="preserve">主动选择低强度生活节奏的人口聚合，不以逃避为动机，而以生活方式认同为基础。这类社区通常有互联网连接（与世界保持信息联系但拒绝被其节奏支配）；BSC覆盖基本生存，非正式经济提供补充收入；部分社区发展出与外部高速经济的体验接口（</w:t>
      </w:r>
      <w:r>
        <w:t xml:space="preserve">“</w:t>
      </w:r>
      <w:r>
        <w:t xml:space="preserve">真实慢速生活</w:t>
      </w:r>
      <w:r>
        <w:t xml:space="preserve">”</w:t>
      </w:r>
      <w:r>
        <w:t xml:space="preserve">作为可消费品），形成稳定的外部资金流入。</w:t>
      </w:r>
    </w:p>
    <w:p>
      <w:pPr>
        <w:pStyle w:val="BodyText"/>
      </w:pPr>
      <w:r>
        <w:t xml:space="preserve">与历史衰退型小城市的关键区别在于：成员是主动选择了这里，不是无力离开。这个主动性是社区凝聚力的根本来源，也使它在人口结构上更年轻、在文化上更有活力。它与意向性社区的区别在于：驱动力是节奏偏好而非特定价值信条，边界更模糊，流动性更高。</w:t>
      </w:r>
    </w:p>
    <w:bookmarkEnd w:id="316"/>
    <w:bookmarkStart w:id="317" w:name="a2体系的社区形态图景"/>
    <w:p>
      <w:pPr>
        <w:pStyle w:val="Heading3"/>
      </w:pPr>
      <w:r>
        <w:t xml:space="preserve">5.5.2　A2体系的社区形态图景</w:t>
      </w:r>
    </w:p>
    <w:p>
      <w:pPr>
        <w:pStyle w:val="FirstParagraph"/>
      </w:pPr>
      <w:r>
        <w:t xml:space="preserve">A2体系的社区形态受到政府引导和经济约束的双重塑造，形态多样性低于A1，但各形态的内部结构更清晰——政府决策在大多数形态的形成中留有可辨识的印记。以下七类形态涵盖了A2的主要稳定类型。与A1相同，建成环境的历史延续性在各类形态中普遍存在；不同的是各社区内有单位人口与票据依赖人口的比例，以及配给体系覆盖深度，共同构成2072年A2社区经济图景的核心变量（机制见5.4.1节）。</w:t>
      </w:r>
    </w:p>
    <w:p>
      <w:pPr>
        <w:pStyle w:val="BodyText"/>
      </w:pPr>
      <w:r>
        <w:rPr>
          <w:bCs/>
          <w:b/>
        </w:rPr>
        <w:t xml:space="preserve">超大城市有单位层</w:t>
      </w:r>
    </w:p>
    <w:p>
      <w:pPr>
        <w:pStyle w:val="BodyText"/>
      </w:pPr>
      <w:r>
        <w:t xml:space="preserve">北上广深及区域中心城市集群的体制内人口，是A2社区形态中物质条件最好、政治整合程度最高的群体。货币薪资为主要收入来源，配给体系最完整，聚变能源最早接入，城市高昂的生活成本本身构成对低技能低收入人口的经济筛选门槛。政治性岗位的扩张（监控基础设施、配给核查、社区网格管理）为部分中低技能人口提供了在城市内存续的制度通道——这些岗位不是市场需求的产物，但其地理分布直接决定了持有者的居住资格。</w:t>
      </w:r>
    </w:p>
    <w:p>
      <w:pPr>
        <w:pStyle w:val="BodyText"/>
      </w:pPr>
      <w:r>
        <w:t xml:space="preserve">这个形态的稳定性来自三类机制的共同支撑：基础设施密度最高、历史城市遗产最强、就业集聚最密集——三者共同形成正反馈，使这个形态成为A2体系内集聚优势最难撼动的社区类型。它是A2体制展示绩效合法性的核心场所，也是体制对这部分人口提供完整激励的地方。</w:t>
      </w:r>
    </w:p>
    <w:p>
      <w:pPr>
        <w:pStyle w:val="BodyText"/>
      </w:pPr>
      <w:r>
        <w:rPr>
          <w:bCs/>
          <w:b/>
        </w:rPr>
        <w:t xml:space="preserve">超大城市票据依赖层</w:t>
      </w:r>
    </w:p>
    <w:p>
      <w:pPr>
        <w:pStyle w:val="BodyText"/>
      </w:pPr>
      <w:r>
        <w:t xml:space="preserve">同一城市空间内，票据依赖人口与有单位人口毗邻共存。两类人口共享同一条街道、同一个菜市场、同一片公共空间，社会接触是日常现实；变化的是消费能力的差距——有单位人口拥有货币薪资和完整配给双轨，票据依赖人口的消费选择受基础配给品类约束，两者在餐厅选择、娱乐支出、医疗质量上面临实质性不同的经济约束。特大城市的高生活成本构成经济推力，使基础保障覆盖人口在住房上压力最大；但部分人口因为在这里从事非正式服务业（为有单位人口提供护理、送餐、清洁等现场服务）而留在城市，形成这个依附性的城市内低保障层——两类人口的日常互动正是这层依附关系的具体内容。</w:t>
      </w:r>
    </w:p>
    <w:p>
      <w:pPr>
        <w:pStyle w:val="BodyText"/>
      </w:pPr>
      <w:r>
        <w:t xml:space="preserve">这个形态的稳定性是依附性的：它依赖有单位层的消费需求才能存在，自身没有独立的经济基础。一旦高薪人口的服务需求被AI替代，这一层的城市内立足空间将进一步收窄。目前维持这个形态的是AI在现场服务岗位上尚未完全替代人工的技术现实。</w:t>
      </w:r>
    </w:p>
    <w:p>
      <w:pPr>
        <w:pStyle w:val="BodyText"/>
      </w:pPr>
      <w:r>
        <w:rPr>
          <w:bCs/>
          <w:b/>
        </w:rPr>
        <w:t xml:space="preserve">县城承接带</w:t>
      </w:r>
    </w:p>
    <w:p>
      <w:pPr>
        <w:pStyle w:val="BodyText"/>
      </w:pPr>
      <w:r>
        <w:t xml:space="preserve">A2人口分布中规模最大、最具特色的中间形态。农业户籍的功能性演化（配给资格证而非流动限制）、配给直达系统（粮食补贴全国通用）、城市落户门槛（经济成本过高）三重因素共同将大量人口沉积在县城：配给可及，成本可承受，非正式经济有空间，既无力进城也不必留村。</w:t>
      </w:r>
    </w:p>
    <w:p>
      <w:pPr>
        <w:pStyle w:val="BodyText"/>
      </w:pPr>
      <w:r>
        <w:t xml:space="preserve">这是A2社会最大的叙事盲区——官方叙事看不见、统计数字对不上（户籍在农村，实住在县城）、对体制既无融入也无对抗。这个形态的稳定性来自机制夹层：三个方向的力量恰好将这批人口固定在这个位置，不是任何单一力量的设计目标，是多个机制叠加的意外产物。</w:t>
      </w:r>
    </w:p>
    <w:p>
      <w:pPr>
        <w:pStyle w:val="BodyText"/>
      </w:pPr>
      <w:r>
        <w:rPr>
          <w:bCs/>
          <w:b/>
        </w:rPr>
        <w:t xml:space="preserve">标准配给区中小城市</w:t>
      </w:r>
    </w:p>
    <w:p>
      <w:pPr>
        <w:pStyle w:val="BodyText"/>
      </w:pPr>
      <w:r>
        <w:t xml:space="preserve">县级以上、超大城市以下的城市体系，配给稳定，行政体系完整在场，是A2体系政治性岗位分布最广泛的地带。配给覆盖食物、住房、基础医疗，额度与地区整体绩效评估挂钩。AI辅助情绪监测、社区参与项目、正向叙事建构是主要稳定维护机制。</w:t>
      </w:r>
    </w:p>
    <w:p>
      <w:pPr>
        <w:pStyle w:val="BodyText"/>
      </w:pPr>
      <w:r>
        <w:t xml:space="preserve">这个形态的特征是”配给稳定但选择空间有限”：物质需求的可预期性是最重要的社会事实，居民知道自己能得到什么，知道如何在绩效体系中定位自己。真实的生活发生在配给体系的缝隙里：私人关系、家庭内部的微小特殊性、非正式技能互换，在监管视野之外生长。稳定性来自配给的可预期性和政治性岗位的充分覆盖。</w:t>
      </w:r>
    </w:p>
    <w:p>
      <w:pPr>
        <w:pStyle w:val="BodyText"/>
      </w:pPr>
      <w:r>
        <w:rPr>
          <w:bCs/>
          <w:b/>
        </w:rPr>
        <w:t xml:space="preserve">战略资源区与重点建设区</w:t>
      </w:r>
    </w:p>
    <w:p>
      <w:pPr>
        <w:pStyle w:val="BodyText"/>
      </w:pPr>
      <w:r>
        <w:t xml:space="preserve">能源生产基地、高端制造区、科研中心、重大基础设施节点，是政府主动规划建构的高配给社区。配给额度最高、质量最好，附加战略性补贴。物质条件刻意维持在高水平，是A2体制内绩效展示功能最强的社区形态。</w:t>
      </w:r>
    </w:p>
    <w:p>
      <w:pPr>
        <w:pStyle w:val="BodyText"/>
      </w:pPr>
      <w:r>
        <w:t xml:space="preserve">这个形态的稳定性完全依赖国家战略持续的定向投入，没有内生的经济均衡基础。一旦战略优先级改变，这类社区会迅速失去其特殊地位。绩效压力在这里最显著：配给质量与个人绩效评估直接挂钩，稳定感和焦虑感同时为真。</w:t>
      </w:r>
    </w:p>
    <w:p>
      <w:pPr>
        <w:pStyle w:val="BodyText"/>
      </w:pPr>
      <w:r>
        <w:rPr>
          <w:bCs/>
          <w:b/>
        </w:rPr>
        <w:t xml:space="preserve">空心行政村：最自由也最不便</w:t>
      </w:r>
    </w:p>
    <w:p>
      <w:pPr>
        <w:pStyle w:val="BodyText"/>
      </w:pPr>
      <w:r>
        <w:t xml:space="preserve">大量行政村在2072年已实质人口稀疏：配给直达系统覆盖基本生存，但医疗可及性极低（乡镇卫生院缩编后覆盖半径大幅扩大），公共服务实质匮乏，是A2体系中基础设施覆盖最薄弱的地带。</w:t>
      </w:r>
    </w:p>
    <w:p>
      <w:pPr>
        <w:pStyle w:val="BodyText"/>
      </w:pPr>
      <w:r>
        <w:t xml:space="preserve">这个形态的居民构成比”老龄留守”这个标签更为复杂。留守老龄人口以1960—1980年代出生者为主，是在网络时代成长起来的一代，对土地的情感连接远比父辈弱，留守的实际原因更多是迁移成本（既有商品房处置、社会关系归零、异地适应代价）而非土地情结。除此之外，这里还存在两类主动选择的人口：一类是主动退出城市竞争的中青年——BSC直达配给覆盖基本生存，既有商品房提供栖身，这里是他们以最低成本暂时停止被系统需要的退路；另一类是在A2体制内寻求低管控空间的人口——空心村是配给监控体系的低信息密度区域，配给使用记录存在但行为数据稀疏，是A2体制内少见的”不被系统注意”的存在状态，类似A1的off-grid但动机是规避监控而非生活理念。</w:t>
      </w:r>
    </w:p>
    <w:p>
      <w:pPr>
        <w:pStyle w:val="BodyText"/>
      </w:pPr>
      <w:r>
        <w:t xml:space="preserve">这个形态的稳定性来自最低维持机制：配给直达覆盖生存底线，使政府不需要清退（清退反而产生成本），居民也因迁移代价或主动选择而留守。最自由，也最不便。</w:t>
      </w:r>
    </w:p>
    <w:p>
      <w:pPr>
        <w:pStyle w:val="BodyText"/>
      </w:pPr>
      <w:r>
        <w:rPr>
          <w:bCs/>
          <w:b/>
        </w:rPr>
        <w:t xml:space="preserve">国有农业生产区</w:t>
      </w:r>
    </w:p>
    <w:p>
      <w:pPr>
        <w:pStyle w:val="BodyText"/>
      </w:pPr>
      <w:r>
        <w:t xml:space="preserve">行政村清退后土地转入国有农业集团，无人农机接管耕地，形成无人居住的生产性地带。少量技术工人和设备维护人员以驻场方式工作，不构成社区意义上的定居人口。这个形态是政府规划的主动结果，不是人口选择的产物，稳定性来自生产功能和国家资本的持续支撑。</w:t>
      </w:r>
    </w:p>
    <w:bookmarkEnd w:id="317"/>
    <w:bookmarkStart w:id="318" w:name="两条路径的横向对照"/>
    <w:p>
      <w:pPr>
        <w:pStyle w:val="Heading3"/>
      </w:pPr>
      <w:r>
        <w:t xml:space="preserve">5.5.3　两条路径的横向对照</w:t>
      </w:r>
    </w:p>
    <w:p>
      <w:pPr>
        <w:pStyle w:val="FirstParagraph"/>
      </w:pPr>
      <w:r>
        <w:t xml:space="preserve">将A1六类和A2七类社区形态并置，可以观察到若干结构性规律：</w:t>
      </w:r>
    </w:p>
    <w:p>
      <w:pPr>
        <w:pStyle w:val="BodyText"/>
      </w:pPr>
      <w:r>
        <w:rPr>
          <w:bCs/>
          <w:b/>
        </w:rPr>
        <w:t xml:space="preserve">功能对应，机制相反</w:t>
      </w:r>
      <w:r>
        <w:t xml:space="preserve">：A1的历史投资型中等城市和A2的标准配给区中小城市，在人口规模和社会功能上有对应关系——都是多数普通人口的居住主体区——但A1的稳定性来自市场力量和历史遗产的自发均衡，A2的稳定性来自配给可预期性和政治岗位的行政覆盖。形态相似，机制对立。</w:t>
      </w:r>
    </w:p>
    <w:p>
      <w:pPr>
        <w:pStyle w:val="BodyText"/>
      </w:pPr>
      <w:r>
        <w:rPr>
          <w:bCs/>
          <w:b/>
        </w:rPr>
        <w:t xml:space="preserve">极端端点的对称性</w:t>
      </w:r>
      <w:r>
        <w:t xml:space="preserve">：A1的off-grid聚居和A2的空心行政村都是各自体系内管控密度最低、生活便利性最差的形态；但A1的off-grid是主动的生活理念表达，A2的空心村是消极退出的避难空间（兼有主动规避成分）。同样是”不被系统注意”，主动性和背景动机截然不同。</w:t>
      </w:r>
    </w:p>
    <w:p>
      <w:pPr>
        <w:pStyle w:val="BodyText"/>
      </w:pPr>
      <w:r>
        <w:rPr>
          <w:bCs/>
          <w:b/>
        </w:rPr>
        <w:t xml:space="preserve">中间层的性质差异</w:t>
      </w:r>
      <w:r>
        <w:t xml:space="preserve">：A1的主动慢生活社区和A2的县城承接带都是中间层的主要形态，但前者是价值认同驱动的主动聚合，后者是制度夹层产生的被动沉积。A1的中间层居民选择了这里；A2的中间层居民大多被引导到这里。</w:t>
      </w:r>
    </w:p>
    <w:p>
      <w:pPr>
        <w:pStyle w:val="BodyText"/>
      </w:pPr>
      <w:r>
        <w:rPr>
          <w:bCs/>
          <w:b/>
        </w:rPr>
        <w:t xml:space="preserve">多样性的结构性来源</w:t>
      </w:r>
      <w:r>
        <w:t xml:space="preserve">：A1的六类形态在制度上共存且相互容忍，因为没有单一权威可以强制要求社区采取某种形态；A2的七类形态在制度上有明确的层级优先序，战略资源区最受政府青睐，空心行政村被允许存在但不被支持。A1的多样性是涌现的，A2的多样性是被分配的。</w:t>
      </w:r>
    </w:p>
    <w:p>
      <w:pPr>
        <w:pStyle w:val="BodyText"/>
      </w:pPr>
      <w:r>
        <w:rPr>
          <w:iCs/>
          <w:i/>
        </w:rPr>
        <w:t xml:space="preserve">两条路径的社区图景共同构成2072年多态社会在最具体的空间层面的呈现：不是抽象的制度比较，而是真实的人以不同方式在不同条件下生活的地理现实。每一种稳定形态背后，都有使它维持的力量组合；每一种形态的边界处，都有滑向另一种均衡的压力存在。</w:t>
      </w:r>
    </w:p>
    <w:bookmarkEnd w:id="318"/>
    <w:bookmarkStart w:id="319" w:name="社区形态的全球地理梯队"/>
    <w:p>
      <w:pPr>
        <w:pStyle w:val="Heading3"/>
      </w:pPr>
      <w:r>
        <w:t xml:space="preserve">5.5.4　社区形态的全球地理梯队</w:t>
      </w:r>
    </w:p>
    <w:p>
      <w:pPr>
        <w:pStyle w:val="FirstParagraph"/>
      </w:pPr>
      <w:r>
        <w:t xml:space="preserve">将社区形态投射到地理维度，可以识别出五个梯队加一种特殊形态。这一梯队划分以基础设施密度和聚变红利传导幅度为主轴，对应于5.3节描述的驱动机制在地理上的具体落点（运输体系的基础设施层次见6.1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梯队</w:t>
            </w:r>
          </w:p>
        </w:tc>
        <w:tc>
          <w:tcPr/>
          <w:p>
            <w:pPr>
              <w:pStyle w:val="Compact"/>
              <w:jc w:val="left"/>
            </w:pPr>
            <w:r>
              <w:rPr>
                <w:bCs/>
                <w:b/>
              </w:rPr>
              <w:t xml:space="preserve">代表城市/地区</w:t>
            </w:r>
          </w:p>
        </w:tc>
        <w:tc>
          <w:tcPr/>
          <w:p>
            <w:pPr>
              <w:pStyle w:val="Compact"/>
              <w:jc w:val="left"/>
            </w:pPr>
            <w:r>
              <w:rPr>
                <w:bCs/>
                <w:b/>
              </w:rPr>
              <w:t xml:space="preserve">核心特征</w:t>
            </w:r>
          </w:p>
        </w:tc>
        <w:tc>
          <w:tcPr/>
          <w:p>
            <w:pPr>
              <w:pStyle w:val="Compact"/>
              <w:jc w:val="left"/>
            </w:pPr>
            <w:r>
              <w:rPr>
                <w:bCs/>
                <w:b/>
              </w:rPr>
              <w:t xml:space="preserve">与慢生活社区的关系</w:t>
            </w:r>
          </w:p>
        </w:tc>
      </w:tr>
      <w:tr>
        <w:tc>
          <w:tcPr/>
          <w:p>
            <w:pPr>
              <w:pStyle w:val="Compact"/>
              <w:jc w:val="left"/>
            </w:pPr>
            <w:r>
              <w:t xml:space="preserve">第一梯队</w:t>
            </w:r>
          </w:p>
        </w:tc>
        <w:tc>
          <w:tcPr/>
          <w:p>
            <w:pPr>
              <w:pStyle w:val="Compact"/>
              <w:jc w:val="left"/>
            </w:pPr>
            <w:r>
              <w:t xml:space="preserve">旧金山、纽约、伦敦、东京、北京/上海、新加坡</w:t>
            </w:r>
          </w:p>
        </w:tc>
        <w:tc>
          <w:tcPr/>
          <w:p>
            <w:pPr>
              <w:pStyle w:val="Compact"/>
              <w:jc w:val="left"/>
            </w:pPr>
            <w:r>
              <w:t xml:space="preserve">聚变电网最先覆盖，AI基础设施最密集。内部分化：极少数AI系统控制者与大量退出就业者并存。</w:t>
            </w:r>
          </w:p>
        </w:tc>
        <w:tc>
          <w:tcPr/>
          <w:p>
            <w:pPr>
              <w:pStyle w:val="Compact"/>
              <w:jc w:val="left"/>
            </w:pPr>
            <w:r>
              <w:t xml:space="preserve">慢生活社区作为异质性飞地存在于高速系统的缝隙中，价值在于「不被优化」。</w:t>
            </w:r>
          </w:p>
        </w:tc>
      </w:tr>
      <w:tr>
        <w:tc>
          <w:tcPr/>
          <w:p>
            <w:pPr>
              <w:pStyle w:val="Compact"/>
              <w:jc w:val="left"/>
            </w:pPr>
            <w:r>
              <w:t xml:space="preserve">第二梯队</w:t>
            </w:r>
          </w:p>
        </w:tc>
        <w:tc>
          <w:tcPr/>
          <w:p>
            <w:pPr>
              <w:pStyle w:val="Compact"/>
              <w:jc w:val="left"/>
            </w:pPr>
            <w:r>
              <w:t xml:space="preserve">成都、武汉、大阪、首尔、悉尼、多伦多、柏林、斯德哥尔摩</w:t>
            </w:r>
          </w:p>
        </w:tc>
        <w:tc>
          <w:tcPr/>
          <w:p>
            <w:pPr>
              <w:pStyle w:val="Compact"/>
              <w:jc w:val="left"/>
            </w:pPr>
            <w:r>
              <w:t xml:space="preserve">聚变电网接入时序比第一梯队滞后5–8年，直接接入红利稍后到位，但已完全整合进全球技术体系。多态生活方式最丰富的层级——高效率社群与慢生活社群地理上相邻。</w:t>
            </w:r>
          </w:p>
        </w:tc>
        <w:tc>
          <w:tcPr/>
          <w:p>
            <w:pPr>
              <w:pStyle w:val="Compact"/>
              <w:jc w:val="left"/>
            </w:pPr>
            <w:r>
              <w:t xml:space="preserve">慢生活社区是不同速度社群的接触边界，偶然相遇仍然可能。</w:t>
            </w:r>
          </w:p>
        </w:tc>
      </w:tr>
      <w:tr>
        <w:tc>
          <w:tcPr/>
          <w:p>
            <w:pPr>
              <w:pStyle w:val="Compact"/>
              <w:jc w:val="left"/>
            </w:pPr>
            <w:r>
              <w:t xml:space="preserve">第三梯队</w:t>
            </w:r>
          </w:p>
        </w:tc>
        <w:tc>
          <w:tcPr/>
          <w:p>
            <w:pPr>
              <w:pStyle w:val="Compact"/>
              <w:jc w:val="left"/>
            </w:pPr>
            <w:r>
              <w:t xml:space="preserve">美国中西部、中国三四线城市、欧洲历史小城、日本地方城市</w:t>
            </w:r>
          </w:p>
        </w:tc>
        <w:tc>
          <w:tcPr/>
          <w:p>
            <w:pPr>
              <w:pStyle w:val="Compact"/>
              <w:jc w:val="left"/>
            </w:pPr>
            <w:r>
              <w:t xml:space="preserve">本地稳态形成的主要场所。全球竞争压力较低，本地关系网络价值上升。</w:t>
            </w:r>
          </w:p>
        </w:tc>
        <w:tc>
          <w:tcPr/>
          <w:p>
            <w:pPr>
              <w:pStyle w:val="Compact"/>
              <w:jc w:val="left"/>
            </w:pPr>
            <w:r>
              <w:t xml:space="preserve">慢生活社区在此最自然存在——不是反抗，是默认状态。</w:t>
            </w:r>
          </w:p>
        </w:tc>
      </w:tr>
      <w:tr>
        <w:tc>
          <w:tcPr/>
          <w:p>
            <w:pPr>
              <w:pStyle w:val="Compact"/>
              <w:jc w:val="left"/>
            </w:pPr>
            <w:r>
              <w:t xml:space="preserve">第四梯队</w:t>
            </w:r>
          </w:p>
        </w:tc>
        <w:tc>
          <w:tcPr/>
          <w:p>
            <w:pPr>
              <w:pStyle w:val="Compact"/>
              <w:jc w:val="left"/>
            </w:pPr>
            <w:r>
              <w:t xml:space="preserve">中国农村、东南亚乡村、东欧边缘、拉美农业区</w:t>
            </w:r>
          </w:p>
        </w:tc>
        <w:tc>
          <w:tcPr/>
          <w:p>
            <w:pPr>
              <w:pStyle w:val="Compact"/>
              <w:jc w:val="left"/>
            </w:pPr>
            <w:r>
              <w:t xml:space="preserve">未直接接入聚变电网，但通过全球能源价格下行获得基础红利——聚变压低了化石能源的竞争地位，全球能源价格因此系统性下行，本地生产和生活成本随之降低。与第一、二梯队的差距不是红利有无，而是传导幅度：直接接入聚变电网的地区获得更低的电力成本和更高的生产效率，未接入地区获得的是经市场价格机制传导的间接红利，幅度更小且受当地电力基础设施和市场结构制约。传统农业和非正规经济仍是主要运作方式。</w:t>
            </w:r>
          </w:p>
        </w:tc>
        <w:tc>
          <w:tcPr/>
          <w:p>
            <w:pPr>
              <w:pStyle w:val="Compact"/>
              <w:jc w:val="left"/>
            </w:pPr>
            <w:r>
              <w:t xml:space="preserve">慢速本身就是唯一速度，无需刻意选择。</w:t>
            </w:r>
          </w:p>
        </w:tc>
      </w:tr>
      <w:tr>
        <w:tc>
          <w:tcPr/>
          <w:p>
            <w:pPr>
              <w:pStyle w:val="Compact"/>
              <w:jc w:val="left"/>
            </w:pPr>
            <w:r>
              <w:t xml:space="preserve">被遗忘地带</w:t>
            </w:r>
          </w:p>
        </w:tc>
        <w:tc>
          <w:tcPr/>
          <w:p>
            <w:pPr>
              <w:pStyle w:val="Compact"/>
              <w:jc w:val="left"/>
            </w:pPr>
            <w:r>
              <w:t xml:space="preserve">部分撒哈拉以南非洲、冲突地区、内陆孤立区域</w:t>
            </w:r>
          </w:p>
        </w:tc>
        <w:tc>
          <w:tcPr/>
          <w:p>
            <w:pPr>
              <w:pStyle w:val="Compact"/>
              <w:jc w:val="left"/>
            </w:pPr>
            <w:r>
              <w:t xml:space="preserve">前聚变状态。传统社会组织（家族、部落、宗教）仍是主要结构。可能保留了发达世界已失去的社会凝聚力。</w:t>
            </w:r>
          </w:p>
        </w:tc>
        <w:tc>
          <w:tcPr/>
          <w:p>
            <w:pPr>
              <w:pStyle w:val="Compact"/>
              <w:jc w:val="left"/>
            </w:pPr>
            <w:r>
              <w:t xml:space="preserve">与慢生活社区的关系不存在——他们从未离开慢速，也不知道有另一种速度存在。</w:t>
            </w:r>
          </w:p>
        </w:tc>
      </w:tr>
      <w:tr>
        <w:tc>
          <w:tcPr/>
          <w:p>
            <w:pPr>
              <w:pStyle w:val="Compact"/>
              <w:jc w:val="left"/>
            </w:pPr>
            <w:r>
              <w:t xml:space="preserve">特殊形态：深海采矿城镇</w:t>
            </w:r>
          </w:p>
        </w:tc>
        <w:tc>
          <w:tcPr/>
          <w:p>
            <w:pPr>
              <w:pStyle w:val="Compact"/>
              <w:jc w:val="left"/>
            </w:pPr>
            <w:r>
              <w:t xml:space="preserve">太平洋克拉里昂-克利伯顿区及其他深海矿场</w:t>
            </w:r>
          </w:p>
        </w:tc>
        <w:tc>
          <w:tcPr/>
          <w:p>
            <w:pPr>
              <w:pStyle w:val="Compact"/>
              <w:jc w:val="left"/>
            </w:pPr>
            <w:r>
              <w:t xml:space="preserve">脱离陆地地理坐标的浮动社区（2050年代后）。人人有功能性角色，意义感危机最晚到来。物理孤岛但信息完全连通。法律上属于母国（美国或中国）管辖的主权延伸。</w:t>
            </w:r>
          </w:p>
        </w:tc>
        <w:tc>
          <w:tcPr/>
          <w:p>
            <w:pPr>
              <w:pStyle w:val="Compact"/>
              <w:jc w:val="left"/>
            </w:pPr>
            <w:r>
              <w:t xml:space="preserve">慢生活社区不存在于此——功能性密度极高，无剩余空间。但离开平台的人回到陆地后，意义感失落比普通人更剧烈。</w:t>
            </w:r>
          </w:p>
        </w:tc>
      </w:tr>
    </w:tbl>
    <w:bookmarkEnd w:id="319"/>
    <w:bookmarkEnd w:id="320"/>
    <w:bookmarkStart w:id="323" w:name="欧洲与民主东亚第三条路径的两种形态"/>
    <w:p>
      <w:pPr>
        <w:pStyle w:val="Heading2"/>
      </w:pPr>
      <w:r>
        <w:t xml:space="preserve">5.6　欧洲与民主东亚：第三条路径的两种形态</w:t>
      </w:r>
    </w:p>
    <w:p>
      <w:pPr>
        <w:pStyle w:val="FirstParagraph"/>
      </w:pPr>
      <w:r>
        <w:t xml:space="preserve">欧洲和民主东亚共享若干结构性特征：民主制度的连续性、较完整的福利传统、与A1技术体系的深度整合、以及相对于两大体系核心国家的政策自主空间。这些共同特征使它们构成多态社会中可辨认的”第三条路径”。但两者的社会质感有根本差异：欧洲是多国镶嵌的制度密集体，被二十余种语言、数百年历史记忆和各自演化的福利传统分割；民主东亚是高度均质的老龄化社会，以密集的社会规范和制度适应能力为特征。这两种形态的2072年图景，是同一组结构性力量在完全不同的历史土壤上生长出来的不同形状。</w:t>
      </w:r>
    </w:p>
    <w:bookmarkStart w:id="321" w:name="欧洲"/>
    <w:p>
      <w:pPr>
        <w:pStyle w:val="Heading3"/>
      </w:pPr>
      <w:r>
        <w:t xml:space="preserve">5.6.1　欧洲</w:t>
      </w:r>
    </w:p>
    <w:p>
      <w:pPr>
        <w:pStyle w:val="FirstParagraph"/>
      </w:pPr>
      <w:r>
        <w:rPr>
          <w:bCs/>
          <w:b/>
        </w:rPr>
        <w:t xml:space="preserve">财政实力决定社会图景的分层</w:t>
      </w:r>
    </w:p>
    <w:p>
      <w:pPr>
        <w:pStyle w:val="BodyText"/>
      </w:pPr>
      <w:r>
        <w:t xml:space="preserve">欧洲2072年的核心分析维度不是”欧洲路径”，而是财政实力与福利传统的组合。欧盟提供协调框架——类BSC立法以欧盟指令为参照在2055—2065年间陆续完成——但各国财政能力的差距决定了制度的实际覆盖深度，使”欧洲”在社会形态层面指向高度分散的现实。</w:t>
      </w:r>
    </w:p>
    <w:p>
      <w:pPr>
        <w:pStyle w:val="BodyText"/>
      </w:pPr>
      <w:r>
        <w:t xml:space="preserve">西北欧走廊（挪威、丹麦、荷兰、德国、奥地利及北欧国家）具备最充裕的财政实力，BSC等价制度覆盖完整，包括住房、医疗、基础收入和文化参与。这一地区的关键特征是：个人在私领域的自主选择空间不需要国家认可，只需要国家不干预。慢生活社区在西北欧不是一种需要解释的边缘存在，而是个体在制度保障下的自然选项——它不被补贴，也不被阻止。意义危机在这里以最纯粹的文化形态出现：生存焦虑已被制度移除，</w:t>
      </w:r>
      <w:r>
        <w:t xml:space="preserve">“</w:t>
      </w:r>
      <w:r>
        <w:t xml:space="preserve">被告知有价值</w:t>
      </w:r>
      <w:r>
        <w:t xml:space="preserve">”</w:t>
      </w:r>
      <w:r>
        <w:t xml:space="preserve">与”感受到被需要”之间的缝隙就此完整暴露。福利制度保障了前者，无法填补后者，这个裂缝是西北欧版本意义危机的具体形态，比许多其他路径更早、也更清醒地被感受到。</w:t>
      </w:r>
    </w:p>
    <w:p>
      <w:pPr>
        <w:pStyle w:val="BodyText"/>
      </w:pPr>
      <w:r>
        <w:t xml:space="preserve">南欧（意大利、西班牙、葡萄牙、希腊）财政约束更紧，类BSC制度覆盖较浅，政府支出效率受历史性结构性问题制约。但历史形成的大家庭网络和非正式互助经济提供了部分缓冲——南欧的家庭结构在工业时代就比北欧更紧密，在后劳动时代这个缓冲功能进一步凸显：非正式照料、共用住宅、家庭内部经济互助，在制度覆盖不足的地方填补了空白。慢生活社区在南欧更多是经济现实与传统生活方式的自然融合，而非主动选择的对立姿态。</w:t>
      </w:r>
    </w:p>
    <w:p>
      <w:pPr>
        <w:pStyle w:val="BodyText"/>
      </w:pPr>
      <w:r>
        <w:t xml:space="preserve">中东欧（波兰、捷克、匈牙利、波罗的海国家等）在2040—2060年间完成了一次显著的局部赶超。欧盟基础设施资金、历史上积累的工程教育传统和相对廉洁的制度环境三者叠加，使这些国家在欧洲工业机器人维修、AI系统集成和精密制造领域建立了比较优势。到2072年，这些国家已不再是单纯的低成本制造业承接地，而是具有自身技术能力积累的欧洲经济版图中活力较强的部分。然而，与西欧的收入和基础设施差距在总体流动性降低的背景下趋向固化——人口不再大规模向西欧迁移，留存的人口以本地积累的技能和关系网络为基础，进入自己的稳态。</w:t>
      </w:r>
    </w:p>
    <w:p>
      <w:pPr>
        <w:pStyle w:val="BodyText"/>
      </w:pPr>
      <w:r>
        <w:rPr>
          <w:bCs/>
          <w:b/>
        </w:rPr>
        <w:t xml:space="preserve">欧洲内部的分析单位：地区而非国家</w:t>
      </w:r>
    </w:p>
    <w:p>
      <w:pPr>
        <w:pStyle w:val="BodyText"/>
      </w:pPr>
      <w:r>
        <w:t xml:space="preserve">理解2072年欧洲社会图景，地区比国家是更准确的分析单位。西北欧走廊城市集群（伦敦—阿姆斯特丹—法兰克福—慕尼黑）与南欧内陆小城市之间的差距，大于多数国家之间的差距。一个荷兰鹿特丹港的物流工人和一个希腊内陆山地小镇的居民，在基础设施覆盖、收入水平、日常生活节奏上所经历的差异，超过了任何两个西北欧相邻城市之间的差异。</w:t>
      </w:r>
    </w:p>
    <w:p>
      <w:pPr>
        <w:pStyle w:val="BodyText"/>
      </w:pPr>
      <w:r>
        <w:t xml:space="preserve">移民存量是欧洲特有的社会变量，在2072年仍然是治理复杂性的持续来源。历史性移民潮形成的多元社区结构，与本地人口之间的文化和代际断层没有因2040年代后移民政策收紧而消失——已经在地的第二、三代移民人口形成了既非完全本地化也非完全外来的中间状态，是欧洲”多态”中最具地方特殊性的一层。</w:t>
      </w:r>
    </w:p>
    <w:p>
      <w:pPr>
        <w:pStyle w:val="BodyText"/>
      </w:pPr>
      <w:r>
        <w:rPr>
          <w:bCs/>
          <w:b/>
        </w:rPr>
        <w:t xml:space="preserve">意义危机的欧洲形态</w:t>
      </w:r>
    </w:p>
    <w:p>
      <w:pPr>
        <w:pStyle w:val="BodyText"/>
      </w:pPr>
      <w:r>
        <w:t xml:space="preserve">欧洲意义危机的到来比A1/A2核心地区晚（约2058—2062年进入），比全球南方早得多，比民主东亚稍晚。时序差异来自两个因素：一是福利缓冲移除了生存焦虑与意义缺失叠加的可能性，使意义危机以更纯粹的文化形态出现；二是欧洲的历史文化密度——文化遗产、地方认同、宗教传统的残余、手工传统——为意义框架提供了相对丰富的素材，延缓了意义真空的形成。</w:t>
      </w:r>
    </w:p>
    <w:p>
      <w:pPr>
        <w:pStyle w:val="BodyText"/>
      </w:pPr>
      <w:r>
        <w:t xml:space="preserve">欧洲人对意义危机的应对，因此有一种其他路径所缺乏的文化资源：他们可以在历史里寻找锚点，而那个历史是真实的、可以物理接触的。成为一个科隆大教堂城市的居民，或者一个托斯卡纳葡萄园工人，在2072年有真实的意义重量，不是表演，因为那个地方本身就是历史时间的物质结晶。</w:t>
      </w:r>
    </w:p>
    <w:bookmarkEnd w:id="321"/>
    <w:bookmarkStart w:id="322" w:name="民主东亚日本韩国台湾"/>
    <w:p>
      <w:pPr>
        <w:pStyle w:val="Heading3"/>
      </w:pPr>
      <w:r>
        <w:t xml:space="preserve">5.6.2　民主东亚（日本、韩国、台湾）</w:t>
      </w:r>
    </w:p>
    <w:p>
      <w:pPr>
        <w:pStyle w:val="FirstParagraph"/>
      </w:pPr>
      <w:r>
        <w:rPr>
          <w:bCs/>
          <w:b/>
        </w:rPr>
        <w:t xml:space="preserve">制度适应最充分，心理成本最被内化</w:t>
      </w:r>
    </w:p>
    <w:p>
      <w:pPr>
        <w:pStyle w:val="BodyText"/>
      </w:pPr>
      <w:r>
        <w:t xml:space="preserve">日本、韩国、台湾在2072年是全球制度适应最充分的路径之一，也是所有路径中个体心理成本被最系统性地内化而非释放的路径。</w:t>
      </w:r>
    </w:p>
    <w:p>
      <w:pPr>
        <w:pStyle w:val="BodyText"/>
      </w:pPr>
      <w:r>
        <w:t xml:space="preserve">三者的共同结构性特征：老龄化程度全球最高（日本在2072年65岁以上人口比例约40—42%，韩台略低但同属极高水平）；劳动替代最早完成，类BSC制度建立最早；人口收缩经验积累最长（日本从2010年代已开始城市收缩规划制度化）；内部社会均质性高，文化规范的一致性强。财政实力方面，三者均有足够的财政能力支撑BSC等价制度——这是它们与全球南方的根本区别，也是制度适应得以完成的物质前提。养老体系已完成从”人口红利模式”向”资本收入税+聚变红利”的切换，城市收缩规划制度化——不是失败，而是一套管理缩减的成熟方法。</w:t>
      </w:r>
    </w:p>
    <w:p>
      <w:pPr>
        <w:pStyle w:val="BodyText"/>
      </w:pPr>
      <w:r>
        <w:rPr>
          <w:bCs/>
          <w:b/>
        </w:rPr>
        <w:t xml:space="preserve">两种适应机制与其代价</w:t>
      </w:r>
    </w:p>
    <w:p>
      <w:pPr>
        <w:pStyle w:val="BodyText"/>
      </w:pPr>
      <w:r>
        <w:t xml:space="preserve">意义危机在民主东亚以两种机制同时应对。第一种是认知化解：高等教育普及后，大多数人能够理解自己所处的结构性处境并接受其不可改变性——这不是麻木，而是一种清醒的接受，类似”我知道这个系统是怎么运作的，我知道我在其中的位置，我不再期待它以不同的方式对待我”。第二种是文化规范性接受：东亚文化传统中对公开表达不满的抑制——不应该抱怨，维持表面平和是一种美德——使痛苦的表达被系统性地压制。</w:t>
      </w:r>
    </w:p>
    <w:p>
      <w:pPr>
        <w:pStyle w:val="BodyText"/>
      </w:pPr>
      <w:r>
        <w:t xml:space="preserve">两种机制在多数情境下相互强化，都指向沉默和不行动，均衡稳固性高。但合力使个体承担了本可被表达和分散的心理成本：痛苦被理性承认，又被文化性压制，找不到释放出口。这是民主东亚均衡最深的内在代价——不威胁系统稳定，但在个体层面持续积累。</w:t>
      </w:r>
    </w:p>
    <w:p>
      <w:pPr>
        <w:pStyle w:val="BodyText"/>
      </w:pPr>
      <w:r>
        <w:rPr>
          <w:bCs/>
          <w:b/>
        </w:rPr>
        <w:t xml:space="preserve">城乡内部地区分层</w:t>
      </w:r>
    </w:p>
    <w:p>
      <w:pPr>
        <w:pStyle w:val="BodyText"/>
      </w:pPr>
      <w:r>
        <w:t xml:space="preserve">民主东亚内部的地区分层比国家层面的描述更重要。东京/首尔/台北的AI整合城市核心，与日本地方城市、韩国农村腹地、台湾中南部中小城市之间，处于不同的历史时间。日本已有大量”地方消灭”的实际经验——新干线沿线小城市人口流失，高龄化进入极端状态，部分村落已无年轻人口——这些地方到2072年已经完成了某种极端意义上的”慢生活社区化”：不是选择，而是别无选择。其中少部分地区通过特色产业（精工制造、手工艺、真实性旅游）重新找到了存在理由，大部分则处于低水平维持状态。</w:t>
      </w:r>
    </w:p>
    <w:p>
      <w:pPr>
        <w:pStyle w:val="BodyText"/>
      </w:pPr>
      <w:r>
        <w:t xml:space="preserve">人口结构的高度均质性既是社区内聚的来源，也是内部张力极低的原因。外来者——无论是国内移民还是外国移民——在民主东亚的高内聚社区中面临系统性的非正式排斥，不是明文歧视，而是社会网络和互助体系不自然地向外来者开放的惯性。这是均质性的另一面，在多态社会时代越来越清晰地显现为结构性代价。</w:t>
      </w:r>
    </w:p>
    <w:p>
      <w:pPr>
        <w:pStyle w:val="BodyText"/>
      </w:pPr>
      <w:r>
        <w:rPr>
          <w:bCs/>
          <w:b/>
        </w:rPr>
        <w:t xml:space="preserve">与A2路径的对比</w:t>
      </w:r>
    </w:p>
    <w:p>
      <w:pPr>
        <w:pStyle w:val="BodyText"/>
      </w:pPr>
      <w:r>
        <w:t xml:space="preserve">民主东亚与中国A2路径同样面对老龄化，但制度路径、政治透明度、个体自主空间根本不同。A2处理老龄化和城市收缩的工具是行政命令和资源再分配，民主东亚的工具是制度框架和市场信号。结果在表面上有某些相似之处——城市收缩、人口流动受限、BSC等价制度——但产生相似结果的过程和对个体自主性的影响完全不同。这个对比在2072年是可感知的现实，而非抽象的制度比较。</w:t>
      </w:r>
    </w:p>
    <w:bookmarkEnd w:id="322"/>
    <w:bookmarkEnd w:id="323"/>
    <w:bookmarkStart w:id="328" w:name="依附过渡与排斥其他路径的2072年地区图景"/>
    <w:p>
      <w:pPr>
        <w:pStyle w:val="Heading2"/>
      </w:pPr>
      <w:r>
        <w:t xml:space="preserve">5.7　依附、过渡与排斥：其他路径的2072年地区图景</w:t>
      </w:r>
    </w:p>
    <w:p>
      <w:pPr>
        <w:pStyle w:val="FirstParagraph"/>
      </w:pPr>
      <w:r>
        <w:t xml:space="preserve">本节对B2/C/D类国家及被遗忘地带的2072年社会图景作推演性描述。分析框架做两点调整：第一，分析单位从”国家”转向”地区类型”——一国内部的城市AI节点与农牧腹地之间的差距，往往大于国家之间的差距，以国家为单位描述会系统性地模糊内部差异；第二，联系机制以劳动力与资本的相对价格为核心变量，从贸易和经济依附的角度分析不同地区形态与发达体系之间的关系及其演化方向。</w:t>
      </w:r>
    </w:p>
    <w:p>
      <w:pPr>
        <w:pStyle w:val="BodyText"/>
      </w:pPr>
      <w:r>
        <w:t xml:space="preserve">本节的局限性应明确说明：作者对这些路径的知识积累有限，以下描述是基于第四部分经济机制的结构性类推，不是深度的社会学或政治学分析。</w:t>
      </w:r>
    </w:p>
    <w:bookmarkStart w:id="324" w:name="a2整合型b2类依附真实制度不可移植"/>
    <w:p>
      <w:pPr>
        <w:pStyle w:val="Heading3"/>
      </w:pPr>
      <w:r>
        <w:t xml:space="preserve">5.7.1　A2整合型（B2类）：依附真实，制度不可移植</w:t>
      </w:r>
    </w:p>
    <w:p>
      <w:pPr>
        <w:pStyle w:val="FirstParagraph"/>
      </w:pPr>
      <w:r>
        <w:t xml:space="preserve">B2类国家以主权代价换取了聚变接入和A2体系的技术-资本依附。这种依附在军事、外交、经济三个维度是真实的——技术标准绑定、基础设施债务、安全合作协议，使转轨的工程和政治成本在2050年后极高。但”整合”的程度存在一个经常被误读的上限：A2的制度特征是不可移植的。</w:t>
      </w:r>
    </w:p>
    <w:p>
      <w:pPr>
        <w:pStyle w:val="BodyText"/>
      </w:pPr>
      <w:r>
        <w:t xml:space="preserve">A2配给体系的运作依赖非常具体的历史条件：几十年积累的行政组织能力、数据基础设施、政治合法性来源、文化规范。C类国家引入了技术标准和部分组织形式，但无法复制支撑这套体系运作的深层制度生态。结果是：物质层面的接入是真实的（聚变电力确实输送到城市集群，基础设施确实建成），但配给覆盖深度和稳定性远低于A2核心地区。财政约束是根本限制——A2核心地区的配给体系依赖聚变红利支撑的雄厚财政能力，大多数B2类国家的财政空间不足以支撑等效覆盖，且在外部经济压力下容易出现断裂。</w:t>
      </w:r>
    </w:p>
    <w:p>
      <w:pPr>
        <w:pStyle w:val="BodyText"/>
      </w:pPr>
      <w:r>
        <w:rPr>
          <w:bCs/>
          <w:b/>
        </w:rPr>
        <w:t xml:space="preserve">地区内部的两个世界</w:t>
      </w:r>
    </w:p>
    <w:p>
      <w:pPr>
        <w:pStyle w:val="BodyText"/>
      </w:pPr>
      <w:r>
        <w:t xml:space="preserve">B2类国家内部的地区分层比国家层面的叙述更为真实。获得聚变接入的城市集群（通常是首都和主要港口）：聚变电力真实到位，部分配给体系在此覆盖，AI基础设施有限渗透，形成接近A2降级版的都市形态。广大的农村腹地和中小城市：与聚变网络的连接薄弱或缺失，延续前工业生产方式与非正式经济并存的形态，与城市集群处于功能性不同的历史时间。这两个世界在同一个国家内部并存，城市集群获得了依附红利，腹地大致被遗忘。</w:t>
      </w:r>
    </w:p>
    <w:p>
      <w:pPr>
        <w:pStyle w:val="BodyText"/>
      </w:pPr>
      <w:r>
        <w:t xml:space="preserve">制度文化的差异没有因依附关系而消失。同样”亲A2”的中亚国家与东南亚国家，内部治理逻辑、家族网络、宗教结构、地方权力形态可能差异极大。A2的技术输出和标准传播，落在完全不同的社会土壤上，产生高度异质的实际效果。</w:t>
      </w:r>
    </w:p>
    <w:bookmarkEnd w:id="324"/>
    <w:bookmarkStart w:id="325" w:name="对冲自主体c类内部分化最剧烈的路径"/>
    <w:p>
      <w:pPr>
        <w:pStyle w:val="Heading3"/>
      </w:pPr>
      <w:r>
        <w:t xml:space="preserve">5.7.2　对冲自主体（C类）：内部分化最剧烈的路径</w:t>
      </w:r>
    </w:p>
    <w:p>
      <w:pPr>
        <w:pStyle w:val="FirstParagraph"/>
      </w:pPr>
      <w:r>
        <w:t xml:space="preserve">C类国家（土耳其、巴西、印度尼西亚、俄罗斯、越南、墨西哥等，印度因复杂度单独分析见5.7.3节）以综合实力为基础在两大体系间维持议价空间。各成员维持自主的能力来源不同——有的依赖军事—政治硬实力，有的依赖地缘位置，有的依赖供应链嵌入——但共同面对的结构性压力是：在没有BSC等价制度的情况下，AI时代的就业冲击与收入极化直接转化为社会张力，缺乏制度性缓冲。</w:t>
      </w:r>
    </w:p>
    <w:p>
      <w:pPr>
        <w:pStyle w:val="BodyText"/>
      </w:pPr>
      <w:r>
        <w:rPr>
          <w:bCs/>
          <w:b/>
        </w:rPr>
        <w:t xml:space="preserve">城市集群内部的双重危机并存</w:t>
      </w:r>
    </w:p>
    <w:p>
      <w:pPr>
        <w:pStyle w:val="BodyText"/>
      </w:pPr>
      <w:r>
        <w:t xml:space="preserve">城市集群内部：市场化形态接近B1类，但多数C类成员缺乏完整的BSC等价制度，裸露期的失业压力和收入极化在没有制度缓冲的情况下直接暴露。受过高等教育的城市精英面对意义危机；大量技能被替代人口面对生存危机。两种危机在同一城市空间里并存，但几乎不相互接触——高收入者与低收入者的生活半径、社交网络、消费场所高度隔离，使两类危机互不可见。</w:t>
      </w:r>
    </w:p>
    <w:p>
      <w:pPr>
        <w:pStyle w:val="BodyText"/>
      </w:pPr>
      <w:r>
        <w:rPr>
          <w:bCs/>
          <w:b/>
        </w:rPr>
        <w:t xml:space="preserve">腹地与城市的功能性断裂</w:t>
      </w:r>
    </w:p>
    <w:p>
      <w:pPr>
        <w:pStyle w:val="BodyText"/>
      </w:pPr>
      <w:r>
        <w:t xml:space="preserve">农村和内陆地区：非正式经济仍是主体，与全球体系的连接极为间接，主要通过劳动力输出和侨汇回流维持联系。但这两条渠道在AI时代都在收窄：制造业自动化减少了对低技能劳动力的需求，侨汇总量随海外就业机会下降而收缩。腹地人口通过卫星互联网和移动终端看到的发达世界与自身处境之间的落差，是C类国家社会张力的持续来源——这种相对剥夺感真实存在，但通常缺乏有效的政治组织渠道将其转化为集体行动。</w:t>
      </w:r>
    </w:p>
    <w:p>
      <w:pPr>
        <w:pStyle w:val="BodyText"/>
      </w:pPr>
      <w:r>
        <w:rPr>
          <w:bCs/>
          <w:b/>
        </w:rPr>
        <w:t xml:space="preserve">资本/劳动力比价变动的结构性冲击</w:t>
      </w:r>
    </w:p>
    <w:p>
      <w:pPr>
        <w:pStyle w:val="BodyText"/>
      </w:pPr>
      <w:r>
        <w:t xml:space="preserve">C类国家的历史发展路径不同程度地依赖劳动力成本优势，而AI时代正在系统性侵蚀这个优势。当机器能以接近零边际成本替代大量低技能劳动，廉价劳动力从竞争优势变成财政负担——大量人口需要维持基本生存，但其劳动产出在经济体系中的价值系统性下降。没有BSC等价制度的财政兜底，这个矛盾转化为直接的社会压力：谁来照顾那些被经济体系抛出的人口？C类各成员因综合实力不同，应对这个矛盾的政治—财政能力存在显著差距，这是C类内部分化的深层来源。</w:t>
      </w:r>
    </w:p>
    <w:bookmarkEnd w:id="325"/>
    <w:bookmarkStart w:id="326" w:name="印度规模与路径的独特组合"/>
    <w:p>
      <w:pPr>
        <w:pStyle w:val="Heading3"/>
      </w:pPr>
      <w:r>
        <w:t xml:space="preserve">5.7.3　印度：规模与路径的独特组合</w:t>
      </w:r>
    </w:p>
    <w:p>
      <w:pPr>
        <w:pStyle w:val="FirstParagraph"/>
      </w:pPr>
      <w:r>
        <w:t xml:space="preserve">印度在C类中需要单独分析，因为其体量和内部分层复杂度超出了C类的一般描述能力。印度走与A1合作并发展自有技术的路径，在很多方面与A2存在竞争关系而非依附关系——这使它既不同于主动对齐A2的B2类，也不同于被动在两大体系间摇摆的典型C类成员。</w:t>
      </w:r>
    </w:p>
    <w:p>
      <w:pPr>
        <w:pStyle w:val="BodyText"/>
      </w:pPr>
      <w:r>
        <w:rPr>
          <w:bCs/>
          <w:b/>
        </w:rPr>
        <w:t xml:space="preserve">城市AI节点层</w:t>
      </w:r>
    </w:p>
    <w:p>
      <w:pPr>
        <w:pStyle w:val="BodyText"/>
      </w:pPr>
      <w:r>
        <w:t xml:space="preserve">孟买、班加罗尔、德里、海得拉巴等主要AI服务业中心，在2072年已建立起全球规模的AI服务输出能力——不是工业时代的软件外包，而是更高附加值的AI模型训练、系统集成、行业垂直AI解决方案。英语-技术双语人才储量和庞大的高等教育体系，使印度在全球AI劳动力市场中保有持续竞争力。UPI金融基础设施演化为全球范围内影响力最强的非西方数字支付标准之一，成为印度技术自主性的实体证据。这一层的精英人口面对意义危机，生活形态接近A1的高技能工作者。</w:t>
      </w:r>
    </w:p>
    <w:p>
      <w:pPr>
        <w:pStyle w:val="BodyText"/>
      </w:pPr>
      <w:r>
        <w:rPr>
          <w:bCs/>
          <w:b/>
        </w:rPr>
        <w:t xml:space="preserve">中等城市工业带</w:t>
      </w:r>
    </w:p>
    <w:p>
      <w:pPr>
        <w:pStyle w:val="BodyText"/>
      </w:pPr>
      <w:r>
        <w:t xml:space="preserve">制造业自动化侵蚀了这一层的传统就业基础。印度的”中国制造业承接梦”——利用廉价劳动力接替部分从中国转移的制造业——在AI时代只部分实现：高度自动化的制造业转移减少了对人力的绝对需求，劳动力成本优势的权重下降，实际获得的就业规模远低于预期。中等城市工业带处于持续的转型压力中，本地就业机会不足，向大城市迁移的推力持续存在。</w:t>
      </w:r>
    </w:p>
    <w:p>
      <w:pPr>
        <w:pStyle w:val="BodyText"/>
      </w:pPr>
      <w:r>
        <w:rPr>
          <w:bCs/>
          <w:b/>
        </w:rPr>
        <w:t xml:space="preserve">农业腹地</w:t>
      </w:r>
    </w:p>
    <w:p>
      <w:pPr>
        <w:pStyle w:val="BodyText"/>
      </w:pPr>
      <w:r>
        <w:t xml:space="preserve">这里聚集着印度最庞大的人口——比哈尔、北方邦、奥里萨等邦的农业人口，到2072年仍占印度总人口的相当比例。AI农业顾问系统在2035—2045年间显著提升了农业产量，但同时减少了对传统农业劳动力的需求，解放出来的劳动力流向何处是印度最长期的发展政策挑战。聚变电力覆盖到这一层的进度在2072年仍不完整，延续了城乡能源鸿沟。非正式经济仍是大多数人口的生存基础。</w:t>
      </w:r>
    </w:p>
    <w:p>
      <w:pPr>
        <w:pStyle w:val="BodyText"/>
      </w:pPr>
      <w:r>
        <w:t xml:space="preserve">侨汇渠道在农业腹地具有特殊重要性：在大城市务工的家庭成员通过汇款维持农村家庭的基本生存。但这条渠道随着城市就业机会的变化而波动——AI时代的就业结构转变使部分传统务工渠道收窄，给农业腹地带来直接冲击。</w:t>
      </w:r>
    </w:p>
    <w:p>
      <w:pPr>
        <w:pStyle w:val="BodyText"/>
      </w:pPr>
      <w:r>
        <w:rPr>
          <w:bCs/>
          <w:b/>
        </w:rPr>
        <w:t xml:space="preserve">内部三层的联系逻辑</w:t>
      </w:r>
    </w:p>
    <w:p>
      <w:pPr>
        <w:pStyle w:val="BodyText"/>
      </w:pPr>
      <w:r>
        <w:t xml:space="preserve">三层之间的联系是真实的但不对称的：资本和技术红利主要在城市AI节点层积累，向中间和腹地层的传导通过就业和侨汇进行，传导效率递减。印度没有A2那样的强制性资源再分配机制，也没有A1体系完整的BSC。三层之间缺乏制度性缓冲的内部分化，是印度2072年社会张力的主要来源。民主制度提供了处理这种张力的合法渠道，但政治过程的复杂性和利益集团的阻力使制度回应迟滞——这是印度民主在AI时代的结构性挑战：正当性来自民主程序，响应速度受制于同样的程序。</w:t>
      </w:r>
    </w:p>
    <w:bookmarkEnd w:id="326"/>
    <w:bookmarkStart w:id="327" w:name="资源出口国d类冲击来源与内部分化"/>
    <w:p>
      <w:pPr>
        <w:pStyle w:val="Heading3"/>
      </w:pPr>
      <w:r>
        <w:t xml:space="preserve">5.7.4　资源出口国（D类）：冲击来源与内部分化</w:t>
      </w:r>
    </w:p>
    <w:p>
      <w:pPr>
        <w:pStyle w:val="FirstParagraph"/>
      </w:pPr>
      <w:r>
        <w:t xml:space="preserve">D类的定义是经济高度依赖单一或少数资源出口，当前主要筹码来自资源。2072年内部分化显著，部分成员正向C类移动，部分正向E类滑落。分化的驱动力是：资源类型决定冲击时序，综合实力（尤其是政治组织能力和经济多元化基础）决定能否完成转型。</w:t>
      </w:r>
    </w:p>
    <w:p>
      <w:pPr>
        <w:pStyle w:val="BodyText"/>
      </w:pPr>
      <w:r>
        <w:rPr>
          <w:bCs/>
          <w:b/>
        </w:rPr>
        <w:t xml:space="preserve">化石能源出口国：收入基础的系统性崩溃</w:t>
      </w:r>
    </w:p>
    <w:p>
      <w:pPr>
        <w:pStyle w:val="BodyText"/>
      </w:pPr>
      <w:r>
        <w:t xml:space="preserve">化石能源出口国面临最直接的冲击：聚变电网普及后石油作为能源的战略价值在2044—2060年间系统性消失，财政依赖资源租金的国家面临租金枯竭带来的财政危机。</w:t>
      </w:r>
    </w:p>
    <w:p>
      <w:pPr>
        <w:pStyle w:val="BodyText"/>
      </w:pPr>
      <w:r>
        <w:t xml:space="preserve">海湾富国（沙特、UAE、卡塔尔、科威特）是D类中缓冲能力最强的子集：主权财富基金积累的历史财富提供了较长的转型窗口，城市基础设施投资成为经济多元化的物质基础，迪拜作为国际金融和旅游中心的定位在聚变时代仍然有效。核心逻辑是资本收益而非劳动力配置——主权财富基金的投资回报、金融服务手续费、资产管理和物流枢纽地位，使其在石油美元衰退后仍能维持相当的财政收入。真正的结构性挑战是政治层面：本国公民依赖石油补贴的消费模式在租金枯竭后需要转向资本收益分配模式，能否完成这个再分配框架的政治重建，是这类成员2072年状态的关键变量。部分海湾富国如条件成熟，有向C类移动的潜力。</w:t>
      </w:r>
    </w:p>
    <w:p>
      <w:pPr>
        <w:pStyle w:val="BodyText"/>
      </w:pPr>
      <w:r>
        <w:t xml:space="preserve">石油收入有限、基础设施积累薄弱的中小产油国（也门、利比亚、苏丹等）处于D类最脆弱的位置，向E类滑落的风险最高。缺乏石油之后既无主权财富基金缓冲，又无多元经济基础，财政危机与政治不稳定互相强化。</w:t>
      </w:r>
    </w:p>
    <w:p>
      <w:pPr>
        <w:pStyle w:val="BodyText"/>
      </w:pPr>
      <w:r>
        <w:rPr>
          <w:bCs/>
          <w:b/>
        </w:rPr>
        <w:t xml:space="preserve">矿产资源出口国：有限窗口与就业空心化</w:t>
      </w:r>
    </w:p>
    <w:p>
      <w:pPr>
        <w:pStyle w:val="BodyText"/>
      </w:pPr>
      <w:r>
        <w:t xml:space="preserve">矿产资源出口国（锂、钴、铜等战略矿产）在特定时间窗口仍有市场价值——电池技术和稀土需求使这些矿产在聚变时代仍然不可或缺。但两个压力同时存在：深海采矿规模化使陆地矿产价格承压；自动化采矿减少了矿山对本地劳动力的需求，矿业城镇因此面临”资源还在但就业已无”的处境——财政上有收入，社会上缺乏就业基础。</w:t>
      </w:r>
    </w:p>
    <w:p>
      <w:pPr>
        <w:pStyle w:val="BodyText"/>
      </w:pPr>
      <w:r>
        <w:t xml:space="preserve">有技术谈判能力的成员（智利在锂、澳大利亚在铁矿石）通过主动参与技术合作、要求本地加工环节和股权参与，部分保留价值链位置，具备向C类移动的基础；无谈判筹码的成员（刚果在钴、赞比亚在铜）基本处于被动接受状态。合成材料替代效应进一步分化矿产国命运：部分矿种需求在2055年后系统性下降，相关成员面临与化石能源出口国相似的收入基础消失困境。</w:t>
      </w:r>
    </w:p>
    <w:p>
      <w:pPr>
        <w:pStyle w:val="BodyText"/>
      </w:pPr>
      <w:r>
        <w:rPr>
          <w:bCs/>
          <w:b/>
        </w:rPr>
        <w:t xml:space="preserve">D类的共同地区分层</w:t>
      </w:r>
    </w:p>
    <w:p>
      <w:pPr>
        <w:pStyle w:val="BodyText"/>
      </w:pPr>
      <w:r>
        <w:t xml:space="preserve">无论资源类型如何，D类成员内部都存在相似的地区分层：资源开采区及首都城市集群（获得资源租金的主要受益层，外资技术人员与本地精英并存）；资源腹地与非资源省份（受益有限，主要通过转移支付和非正式经济维持）；边缘农村（与资源经济几乎没有直接联系，生存依赖非正式经济与自然资源直接获取）。资源租金枯竭时，这个分层结构的政治后果最为剧烈——原本靠资源收益维系的精英联盟与大众基本服务同步承压，是D类成员政治不稳定的典型触发机制。</w:t>
      </w:r>
    </w:p>
    <w:bookmarkEnd w:id="327"/>
    <w:bookmarkEnd w:id="328"/>
    <w:bookmarkStart w:id="334" w:name="意义危机从心理冲击到多态稳态"/>
    <w:p>
      <w:pPr>
        <w:pStyle w:val="Heading2"/>
      </w:pPr>
      <w:r>
        <w:t xml:space="preserve">5.8　意义危机：从心理冲击到多态稳态</w:t>
      </w:r>
    </w:p>
    <w:p>
      <w:pPr>
        <w:pStyle w:val="FirstParagraph"/>
      </w:pPr>
      <w:r>
        <w:t xml:space="preserve">背景条件：可自动化岗位替代率超过大多数（约2053）· 制度响应基本完成（L3，各路径2049—2059）· 意义调适过程在L3完成后持续展开，中国最早约2053—2055年进入，美国约2054—2058年，欧洲约2058—2062年</w:t>
      </w:r>
    </w:p>
    <w:p>
      <w:pPr>
        <w:pStyle w:val="BodyText"/>
      </w:pPr>
      <w:r>
        <w:t xml:space="preserve">L3制度响应的完成——配给立法、基本保障、资本收入税重组——解除了生存焦虑的物质来源，但随即暴露出更深的问题：在不再需要大多数人全职劳动的世界里，</w:t>
      </w:r>
      <w:r>
        <w:t xml:space="preserve">“</w:t>
      </w:r>
      <w:r>
        <w:t xml:space="preserve">我的存在是否被需要</w:t>
      </w:r>
      <w:r>
        <w:t xml:space="preserve">”</w:t>
      </w:r>
      <w:r>
        <w:t xml:space="preserve">不再是个体心理问题，而是整个社会必须集体面对的文化转型任务。这个任务的完成不依赖制度设计，而依赖人类固有的心理适应能力，以及少数人形成答案、文化扩散、多数人被动接受的历史性过程。</w:t>
      </w:r>
    </w:p>
    <w:p>
      <w:pPr>
        <w:pStyle w:val="BodyText"/>
      </w:pPr>
      <w:r>
        <w:t xml:space="preserve">意义危机首先是心理现象，其次才是社会现象。生存焦虑和意义寻找是性质不同的两种心理状态：前者有制度可以直接处理，后者因人而异，适应路径高度个体化。社会影响应从统计意义上的指标估测——自杀率、社会痛苦指数、精神健康调查——而非从”危机普遍存在”的定性断言出发。统计数据显示，意义调适挑战在特定群体（裸露期被替代的中层人口、缺乏社区支撑的退出就业者）中有更高集中度，但这是分布不均的统计现象，不是无差别的普遍痛苦。</w:t>
      </w:r>
    </w:p>
    <w:bookmarkStart w:id="329" w:name="意义危机的时序裸露期与bsc后的性质转变"/>
    <w:p>
      <w:pPr>
        <w:pStyle w:val="Heading3"/>
      </w:pPr>
      <w:r>
        <w:t xml:space="preserve">5.8.1　意义危机的时序：裸露期与BSC后的性质转变</w:t>
      </w:r>
    </w:p>
    <w:p>
      <w:pPr>
        <w:pStyle w:val="FirstParagraph"/>
      </w:pPr>
      <w:r>
        <w:t xml:space="preserve">意义危机的社会烈度随时间呈现可预测的弧线。</w:t>
      </w:r>
    </w:p>
    <w:p>
      <w:pPr>
        <w:pStyle w:val="BodyText"/>
      </w:pPr>
      <w:r>
        <w:t xml:space="preserve">裸露期（各路径2030—2055年间）是叠加压力最高的阶段：生存焦虑与意义缺失同时存在，物质不安全感放大了意义层面的挑战，精神健康指标在这一阶段下行最明显。这一阶段是V7（痛苦政治化程度）风险最高的窗口，也是动荡期的重要背景变量。</w:t>
      </w:r>
    </w:p>
    <w:p>
      <w:pPr>
        <w:pStyle w:val="BodyText"/>
      </w:pPr>
      <w:r>
        <w:t xml:space="preserve">BSC覆盖完成后，生存焦虑的物质来源被移除，意义危机作为独立的心理现象继续存在，但性质发生根本转变：它从叠加在生存压力上的次级问题，变成需要独立面对的慢性背景状态。烈度下降，但覆盖人群更广——以前被生存压力掩盖的意义匮乏感得以浮现。2072年处于这个阶段：意义危机是真实的，但已是BSC托底后的慢性适应挑战，而非与生存威胁叠加的急性危机。</w:t>
      </w:r>
    </w:p>
    <w:p>
      <w:pPr>
        <w:pStyle w:val="BodyText"/>
      </w:pPr>
      <w:r>
        <w:t xml:space="preserve">高等教育的推进（各聚变国家2044—2060年代陆续实现免费化）在这个弧线上叠加了一条独立的影响曲线，但存在双重滞后：入学到毕业约4—6年，个体到社会层面的扩散需要一代人（20—25年）。2072年认知化解效应已可在年轻一代中观察，但尚未成为人口主力的主导应对模式。</w:t>
      </w:r>
    </w:p>
    <w:bookmarkEnd w:id="329"/>
    <w:bookmarkStart w:id="330" w:name="高等教育的四个社会功能"/>
    <w:p>
      <w:pPr>
        <w:pStyle w:val="Heading3"/>
      </w:pPr>
      <w:r>
        <w:t xml:space="preserve">5.8.2　高等教育的四个社会功能</w:t>
      </w:r>
    </w:p>
    <w:p>
      <w:pPr>
        <w:pStyle w:val="FirstParagraph"/>
      </w:pPr>
      <w:r>
        <w:t xml:space="preserve">高等教育在意义危机的社会应对中承担的功能，远超”认知化解”这一单一维度。</w:t>
      </w:r>
    </w:p>
    <w:p>
      <w:pPr>
        <w:pStyle w:val="BodyText"/>
      </w:pPr>
      <w:r>
        <w:rPr>
          <w:bCs/>
          <w:b/>
        </w:rPr>
        <w:t xml:space="preserve">吸收躁动期人口。</w:t>
      </w:r>
      <w:r>
        <w:t xml:space="preserve">裸露期和意义危机初显时，高等教育扩张提供了一个制度性的缓冲通道：将处于精神躁动期的年轻人口纳入有结构的学习环境，延迟其进入劳动市场或基础保障覆盖状态的时间，为制度调整争取窗口。这一功能不依赖教育内容，依赖的是结构本身——有课程、有社群、有短期目标的生活节奏，本身是心理稳定的来源。</w:t>
      </w:r>
    </w:p>
    <w:p>
      <w:pPr>
        <w:pStyle w:val="BodyText"/>
      </w:pPr>
      <w:r>
        <w:rPr>
          <w:bCs/>
          <w:b/>
        </w:rPr>
        <w:t xml:space="preserve">提高社会韧性。</w:t>
      </w:r>
      <w:r>
        <w:t xml:space="preserve">受过高等教育的人口对信息的辨别能力更强，更难被简单叙事和情绪动员驱动，使社会整体对民粹冲击和虚假信息的抵抗力上升。这不只是个体层面的能力提升，而是社会系统对外部冲击的缓冲能力——V7（痛苦政治化程度）的激活阈值因受教育人口比例上升而结构性提高。</w:t>
      </w:r>
    </w:p>
    <w:p>
      <w:pPr>
        <w:pStyle w:val="BodyText"/>
      </w:pPr>
      <w:r>
        <w:rPr>
          <w:bCs/>
          <w:b/>
        </w:rPr>
        <w:t xml:space="preserve">人口稳态的影响因素。</w:t>
      </w:r>
      <w:r>
        <w:t xml:space="preserve">高等教育普及压低生育率是有统计支撑的结构性机制（高学历群体的生育延迟和生育意愿降低在跨国数据中稳定出现），这是高等教育参与人口稳态形成的路径之一，使2072年的全球人口规模趋向更低水平，在资源充裕的条件下对应更高的人均占有量。</w:t>
      </w:r>
    </w:p>
    <w:p>
      <w:pPr>
        <w:pStyle w:val="BodyText"/>
      </w:pPr>
      <w:r>
        <w:rPr>
          <w:bCs/>
          <w:b/>
        </w:rPr>
        <w:t xml:space="preserve">思考导向理性接受。</w:t>
      </w:r>
      <w:r>
        <w:t xml:space="preserve">如1.4.6节所述，社科知识改变心理处理方式而非消除心理挑战：思考的终点——理解处境的结构性来源、识别集体行动的低收益、接受不可改变性——是比不思考更稳定的心理状态。在意义危机应对的语境中，这个机制有一个额外的动态：开始深入思考意义问题往往带来短期的焦虑上升，但这个过渡成本是通向更稳定状态的必经阶段，而非危机加深的信号。这是比文化规范性压制更深层的适应机制，因为它来自理解而非压制，且对外部叙事管控的依赖度更低。</w:t>
      </w:r>
    </w:p>
    <w:bookmarkEnd w:id="330"/>
    <w:bookmarkStart w:id="331" w:name="少数人处理多数人接受意义弧线的文化扩散机制"/>
    <w:p>
      <w:pPr>
        <w:pStyle w:val="Heading3"/>
      </w:pPr>
      <w:r>
        <w:t xml:space="preserve">5.8.3　少数人处理，多数人接受：意义弧线的文化扩散机制</w:t>
      </w:r>
    </w:p>
    <w:p>
      <w:pPr>
        <w:pStyle w:val="FirstParagraph"/>
      </w:pPr>
      <w:r>
        <w:t xml:space="preserve">2072年心理稳态的形成，不依赖每个人独立完成意义重建，而依赖一个在人类文化史上反复出现的机制：少数人在充分思考后形成答案，答案通过文化扩散被多数人被动接受，形成新的集体意义框架。</w:t>
      </w:r>
    </w:p>
    <w:p>
      <w:pPr>
        <w:pStyle w:val="BodyText"/>
      </w:pPr>
      <w:r>
        <w:t xml:space="preserve">这个过程有三条并行的扩散路径。第一条是文化产业：小说、影视、音乐将少数人的思考结果转化为大众可消费的叙事，不需要受众独立推导，只需要情感共鸣和叙事认同。第二条是宗教与世俗仪式：提供经过长期压力测试的现成意义框架，恰好在劳动不再提供意义的时代获得了新的竞争优势——科技回答了物质问题，宗教专注的存在性问题反而更凸显。第三条是社区实践：慢生活社区的生活方式范本、邻里互助的非正式积分网络、深海城镇的社群密度——这些可见的生活图景让人们看到”这样活也行”，提供了无需语言论证的示范性答案。</w:t>
      </w:r>
    </w:p>
    <w:p>
      <w:pPr>
        <w:pStyle w:val="BodyText"/>
      </w:pPr>
      <w:r>
        <w:t xml:space="preserve">不是每个人都思考意义问题，不是每个人都接触哲学，但文化扩散使思考的成果渗透到大多数人的日常叙事中。多态社区的心理稳态因此是集体产物，而非个体自救的总和。这与工业化心理适应、战后虚无主义的消化、宗教改革后的世俗化过渡的实际机制一致——每次重大心理转型，都是少数人完成了困难的工作，多数人在文化氛围中被动完成了接受。</w:t>
      </w:r>
    </w:p>
    <w:bookmarkEnd w:id="331"/>
    <w:bookmarkStart w:id="332" w:name="路径分化不同的意义危机不同的适应形态"/>
    <w:p>
      <w:pPr>
        <w:pStyle w:val="Heading3"/>
      </w:pPr>
      <w:r>
        <w:t xml:space="preserve">5.8.4　路径分化：不同的意义危机，不同的适应形态</w:t>
      </w:r>
    </w:p>
    <w:p>
      <w:pPr>
        <w:pStyle w:val="FirstParagraph"/>
      </w:pPr>
      <w:r>
        <w:t xml:space="preserve">意义危机的浮现时间、命名方式和适应机制在各路径之间形成了持久分化。</w:t>
      </w:r>
    </w:p>
    <w:p>
      <w:pPr>
        <w:pStyle w:val="BodyText"/>
      </w:pPr>
      <w:r>
        <w:rPr>
          <w:bCs/>
          <w:b/>
        </w:rPr>
        <w:t xml:space="preserve">A1体系：被命名的危机，持续适应中</w:t>
      </w:r>
    </w:p>
    <w:p>
      <w:pPr>
        <w:pStyle w:val="BodyText"/>
      </w:pPr>
      <w:r>
        <w:t xml:space="preserve">意义危机在A1体系被公开命名。文化产业持续生产相关内容，社科知识的普及提供了理解框架。命名本身有价值：个体不需要独自理解自己的处境，社会提供了共享的诊断语言。但命名不等于解决——A1的意义危机讨论是开放的，答案是多元的，适应路径是个体化的。</w:t>
      </w:r>
    </w:p>
    <w:p>
      <w:pPr>
        <w:pStyle w:val="BodyText"/>
      </w:pPr>
      <w:r>
        <w:t xml:space="preserve">BSC覆盖和24小时工时使大量人口拥有了真实可支配的时间，这对有内在结构的人是扩展，对缺乏结构的人是挑战。自我结构化行为大量涌现——固定仪式、学习项目、社区例行活动——是人口主动应对开放时间的集体表现。AI监督类岗位、关怀工作者、数据校验等新兴岗位在这个语境中提供了超出经济价值的功能：结构性的”被需要感”，不需要向自己解释”为什么做这件事”的理由。</w:t>
      </w:r>
    </w:p>
    <w:p>
      <w:pPr>
        <w:pStyle w:val="BodyText"/>
      </w:pPr>
      <w:r>
        <w:rPr>
          <w:bCs/>
          <w:b/>
        </w:rPr>
        <w:t xml:space="preserve">A2体系：无名的闲置，私人化适应</w:t>
      </w:r>
    </w:p>
    <w:p>
      <w:pPr>
        <w:pStyle w:val="BodyText"/>
      </w:pPr>
      <w:r>
        <w:t xml:space="preserve">A2的意义调适与A1镜像对称：不是被命名了却无法解决，而是根本没有被命名。依赖供应票据的人口在公开叙事中系统性缺席。官方叙事聚焦于有工作单位的人口：岗位竞争、考试晋升、绩效焦虑。退出就业人口处于叙事盲区。</w:t>
      </w:r>
    </w:p>
    <w:p>
      <w:pPr>
        <w:pStyle w:val="BodyText"/>
      </w:pPr>
      <w:r>
        <w:t xml:space="preserve">“</w:t>
      </w:r>
      <w:r>
        <w:t xml:space="preserve">有工作单位</w:t>
      </w:r>
      <w:r>
        <w:t xml:space="preserve">”</w:t>
      </w:r>
      <w:r>
        <w:t xml:space="preserve">仍然是A2体系最重要的身份锚点。竞争这个锚点的过程本身——考试、考核、晋升——构成了相当部分人口的意义结构。得不到岗位的人口依赖BSC配给，以私人化的方式消化：退缩到家庭、非正式关系网络和慢生活社区的缝隙中。意义危机已经沉淀了将近二十年，大多数人找到了某种与它共处的方式——不是解决，而是共处。配给的衰减节律和社区层面的互助交换网络在监管视野之外自然生长，是意义感和社区归属的真实来源。</w:t>
      </w:r>
    </w:p>
    <w:p>
      <w:pPr>
        <w:pStyle w:val="BodyText"/>
      </w:pPr>
      <w:r>
        <w:rPr>
          <w:bCs/>
          <w:b/>
        </w:rPr>
        <w:t xml:space="preserve">高等教育对东亚路径的特殊效应</w:t>
      </w:r>
    </w:p>
    <w:p>
      <w:pPr>
        <w:pStyle w:val="BodyText"/>
      </w:pPr>
      <w:r>
        <w:t xml:space="preserve">民主东亚（日韩台）同时具备两种接受机制：认知化解（理解了为什么，接受不可改变性）和文化规范性接受（不应该抱怨，压制表达本身）。多数情境下两者相互强化，都指向沉默和不行动，均衡稳固性高。但在个体层面存在积累效应：痛苦被理性承认却又被文化性压制，找不到出口。两种适应机制合力产生的结构性代价，是均衡内部持续存在的隐性成本，而非意义危机本身的必然后果。</w:t>
      </w:r>
    </w:p>
    <w:bookmarkEnd w:id="332"/>
    <w:bookmarkStart w:id="333" w:name="年心理稳态的当前状态"/>
    <w:p>
      <w:pPr>
        <w:pStyle w:val="Heading3"/>
      </w:pPr>
      <w:r>
        <w:t xml:space="preserve">5.8.5　2072年：心理稳态的当前状态</w:t>
      </w:r>
    </w:p>
    <w:p>
      <w:pPr>
        <w:pStyle w:val="FirstParagraph"/>
      </w:pPr>
      <w:r>
        <w:t xml:space="preserve">2072年没有任何路径完成了L4文化吸收，也没有任何路径找到了全体共享的答案。但多态社区的心理稳态已经可见：它不是危机的终结，而是危机被消化后的正常形态——一种与意义问题共存、而非解决意义问题的生活状态。</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中国</w:t>
            </w:r>
          </w:p>
        </w:tc>
        <w:tc>
          <w:tcPr/>
          <w:p>
            <w:pPr>
              <w:pStyle w:val="Compact"/>
              <w:jc w:val="left"/>
            </w:pPr>
            <w:r>
              <w:rPr>
                <w:bCs/>
                <w:b/>
              </w:rPr>
              <w:t xml:space="preserve">美国</w:t>
            </w:r>
          </w:p>
        </w:tc>
        <w:tc>
          <w:tcPr/>
          <w:p>
            <w:pPr>
              <w:pStyle w:val="Compact"/>
              <w:jc w:val="left"/>
            </w:pPr>
            <w:r>
              <w:rPr>
                <w:bCs/>
                <w:b/>
              </w:rPr>
              <w:t xml:space="preserve">欧亚民主</w:t>
            </w:r>
          </w:p>
        </w:tc>
      </w:tr>
      <w:tr>
        <w:tc>
          <w:tcPr/>
          <w:p>
            <w:pPr>
              <w:pStyle w:val="Compact"/>
              <w:jc w:val="left"/>
            </w:pPr>
            <w:r>
              <w:rPr>
                <w:bCs/>
                <w:b/>
              </w:rPr>
              <w:t xml:space="preserve">共处型稳态</w:t>
            </w:r>
            <w:r>
              <w:t xml:space="preserve"> </w:t>
            </w:r>
            <w:r>
              <w:t xml:space="preserve">意义危机沉淀近二十年，大多数人形成了各自的共处方式。公共叙事不命名危机，私人适应在缝隙中完成。慢生活社区是退缩的物理形式，不是反抗，是暂时停止被系统需要。</w:t>
            </w:r>
          </w:p>
        </w:tc>
        <w:tc>
          <w:tcPr/>
          <w:p>
            <w:pPr>
              <w:pStyle w:val="Compact"/>
              <w:jc w:val="left"/>
            </w:pPr>
            <w:r>
              <w:rPr>
                <w:bCs/>
                <w:b/>
              </w:rPr>
              <w:t xml:space="preserve">多元适应期</w:t>
            </w:r>
            <w:r>
              <w:t xml:space="preserve"> </w:t>
            </w:r>
            <w:r>
              <w:t xml:space="preserve">意义危机被公开讨论，适应路径高度个体化。高效率社群、慢生活社群、AI深度整合社群、刻意低技术社群并行存在。文化产业持续处理这个主题，答案是多元的，适应仍在进行中。</w:t>
            </w:r>
          </w:p>
        </w:tc>
        <w:tc>
          <w:tcPr/>
          <w:p>
            <w:pPr>
              <w:pStyle w:val="Compact"/>
              <w:jc w:val="left"/>
            </w:pPr>
            <w:r>
              <w:rPr>
                <w:bCs/>
                <w:b/>
              </w:rPr>
              <w:t xml:space="preserve">制度性慢速</w:t>
            </w:r>
            <w:r>
              <w:t xml:space="preserve"> </w:t>
            </w:r>
            <w:r>
              <w:t xml:space="preserve">福利缓冲使意义危机来得更晚、更安静。部分国家将慢生活选择权写入城市规划法，慢生活空间获得制度保护。</w:t>
            </w:r>
            <w:r>
              <w:t xml:space="preserve">“</w:t>
            </w:r>
            <w:r>
              <w:t xml:space="preserve">被告知有价值</w:t>
            </w:r>
            <w:r>
              <w:t xml:space="preserve">”</w:t>
            </w:r>
            <w:r>
              <w:t xml:space="preserve">与”感受到被需要”之间的缝隙是欧洲版适应的具体形态。</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全球南方</w:t>
            </w:r>
          </w:p>
        </w:tc>
        <w:tc>
          <w:tcPr/>
          <w:p>
            <w:pPr>
              <w:pStyle w:val="Compact"/>
              <w:jc w:val="left"/>
            </w:pPr>
            <w:r>
              <w:rPr>
                <w:bCs/>
                <w:b/>
              </w:rPr>
              <w:t xml:space="preserve">被遗忘地带</w:t>
            </w:r>
          </w:p>
        </w:tc>
      </w:tr>
      <w:tr>
        <w:tc>
          <w:tcPr/>
          <w:p>
            <w:pPr>
              <w:pStyle w:val="Compact"/>
              <w:jc w:val="left"/>
            </w:pPr>
            <w:r>
              <w:rPr>
                <w:bCs/>
                <w:b/>
              </w:rPr>
              <w:t xml:space="preserve">前意义危机阶段</w:t>
            </w:r>
            <w:r>
              <w:t xml:space="preserve"> </w:t>
            </w:r>
            <w:r>
              <w:t xml:space="preserve">技术红利渗透，物质生活改善，但传统发展路径被切断。意义危机尚未全面到来——仍在处理更基本的问题——但已可在前方隐约看见。</w:t>
            </w:r>
          </w:p>
        </w:tc>
        <w:tc>
          <w:tcPr/>
          <w:p>
            <w:pPr>
              <w:pStyle w:val="Compact"/>
              <w:jc w:val="left"/>
            </w:pPr>
            <w:r>
              <w:rPr>
                <w:bCs/>
                <w:b/>
              </w:rPr>
              <w:t xml:space="preserve">生存即结构</w:t>
            </w:r>
            <w:r>
              <w:t xml:space="preserve"> </w:t>
            </w:r>
            <w:r>
              <w:t xml:space="preserve">意义危机不适用于生存本身仍然提供足够日常结构的地方。但与外部世界的比较性剥夺通过卫星互联网真实存在，成为不同性质的不满来源。</w:t>
            </w:r>
          </w:p>
        </w:tc>
      </w:tr>
    </w:tbl>
    <w:p>
      <w:pPr>
        <w:pStyle w:val="BodyText"/>
      </w:pPr>
      <w:r>
        <w:rPr>
          <w:iCs/>
          <w:i/>
        </w:rPr>
        <w:t xml:space="preserve">心理稳态是多态社会稳定性的内在组成部分，与制度稳定（5.6节）和经济稳定（第四部分）并列。意义问题没有被解决，但人类的适应能力和文化扩散机制使它被容纳进了可以持续生活的日常形态中——这本身是文明韧性最真实的体现。</w:t>
      </w:r>
    </w:p>
    <w:bookmarkEnd w:id="333"/>
    <w:bookmarkEnd w:id="334"/>
    <w:bookmarkStart w:id="342" w:name="管控技术与社会治理"/>
    <w:p>
      <w:pPr>
        <w:pStyle w:val="Heading2"/>
      </w:pPr>
      <w:r>
        <w:t xml:space="preserve">5.9　管控技术与社会治理</w:t>
      </w:r>
    </w:p>
    <w:p>
      <w:pPr>
        <w:pStyle w:val="FirstParagraph"/>
      </w:pPr>
      <w:r>
        <w:t xml:space="preserve">2072年的社会管控能力与今天相比发生了结构性跃升，但这个跃升不是专门为管控而设计的——它是数字基础设施、配给制度、AI分析能力在各自逻辑下扩张后的合力。管控是副产品，但效果比任何专门设计的监控体系都更全面。</w:t>
      </w:r>
    </w:p>
    <w:p>
      <w:pPr>
        <w:pStyle w:val="BodyText"/>
      </w:pPr>
      <w:r>
        <w:t xml:space="preserve">理解这个体系需要从三个维度入手。</w:t>
      </w:r>
      <w:r>
        <w:rPr>
          <w:bCs/>
          <w:b/>
        </w:rPr>
        <w:t xml:space="preserve">数据来源</w:t>
      </w:r>
      <w:r>
        <w:t xml:space="preserve">方面，卫星遥感系统覆盖了地面的大尺度活动；智能交通管理网络实时记录人员与货物的流动；公私监控设备持续扩充，覆盖公共空间与越来越多的半私人场所；电子身份系统因便利性被广泛主动采用，使个人的日常行为留下可追溯的数字痕迹；网络使用本身是信息来源；个人在申报配给资格、接受医疗服务、使用公共基础设施时主动提供的信息，构成数据流的重要组成部分。</w:t>
      </w:r>
      <w:r>
        <w:rPr>
          <w:bCs/>
          <w:b/>
        </w:rPr>
        <w:t xml:space="preserve">管理主体</w:t>
      </w:r>
      <w:r>
        <w:t xml:space="preserve">方面，应用AI能力的各类公私机构——从政府执法部门到私营平台运营者——共同构成分散但相互联通的管理网络，没有单一中心，但数据在不同节点间流通。</w:t>
      </w:r>
      <w:r>
        <w:rPr>
          <w:bCs/>
          <w:b/>
        </w:rPr>
        <w:t xml:space="preserve">管理对象</w:t>
      </w:r>
      <w:r>
        <w:t xml:space="preserve">则覆盖了边境管控、交通系统、配给资格核验与个人行为模式分析四个主要领域。</w:t>
      </w:r>
    </w:p>
    <w:p>
      <w:pPr>
        <w:pStyle w:val="BodyText"/>
      </w:pPr>
      <w:r>
        <w:t xml:space="preserve">A1与A2体系在上述三个维度上共享相同的技术基础，但在制度约束和运用逻辑上存在根本性差异，以下各节分领域展开。</w:t>
      </w:r>
    </w:p>
    <w:bookmarkStart w:id="335" w:name="边境管控遥感与精准识别"/>
    <w:p>
      <w:pPr>
        <w:pStyle w:val="Heading3"/>
      </w:pPr>
      <w:r>
        <w:t xml:space="preserve">5.9.1　边境管控：遥感与精准识别</w:t>
      </w:r>
    </w:p>
    <w:p>
      <w:pPr>
        <w:pStyle w:val="FirstParagraph"/>
      </w:pPr>
      <w:r>
        <w:t xml:space="preserve">移民流量在2072年已大幅萎缩。低端劳动力需求消失切断了历史上规模最大的跨境流动驱动力，而配给体系在劳力输出国的有限覆盖也减少了必须出走的生存压力——尽管BSC体系在许多劳力输出国并不普遍存在，离开的经济动力从来源地端已经系统性弱化。流量下降的结果是边境管控逻辑的根本转变：从低精度的大规模筛选漏斗，变为针对少量高风险个体的高精度识别过滤器。</w:t>
      </w:r>
    </w:p>
    <w:p>
      <w:pPr>
        <w:pStyle w:val="BodyText"/>
      </w:pPr>
      <w:r>
        <w:t xml:space="preserve">技术上，这一转变主要依靠AI结合卫星遥感实现。遥感系统提供跨境活动的广域实时感知——非正式路线、载具聚集、夜间活动模式——AI在此基础上识别异常，触发地面核查资源的精准投放。每个实际入境者可以分配到更多审查资源，异常特征更难隐藏于流量噪音之中。这套逻辑在A1与A2体系中均有实现，差异主要在于数据共享范围和对入境者的后续追踪强度。</w:t>
      </w:r>
    </w:p>
    <w:bookmarkEnd w:id="335"/>
    <w:bookmarkStart w:id="336" w:name="配给管理依赖结构不是定位系统"/>
    <w:p>
      <w:pPr>
        <w:pStyle w:val="Heading3"/>
      </w:pPr>
      <w:r>
        <w:t xml:space="preserve">5.9.2　配给管理：依赖结构，不是定位系统</w:t>
      </w:r>
    </w:p>
    <w:p>
      <w:pPr>
        <w:pStyle w:val="FirstParagraph"/>
      </w:pPr>
      <w:r>
        <w:t xml:space="preserve">配给体系对社会管控的影响，不在于它产生了一套实时人口定位系统——实际上，A1体系的BSC以个人账户与电子身份绑定为核心，国家并不需要追踪每个人的物理位置，也不发放需要物理配送的实物票据。物流依然遵循市场信息的引导，和今天的运作逻辑没有本质区别。</w:t>
      </w:r>
    </w:p>
    <w:p>
      <w:pPr>
        <w:pStyle w:val="BodyText"/>
      </w:pPr>
      <w:r>
        <w:t xml:space="preserve">配给体系对管控格局的真正贡献，是改变了个人与国家之间的依赖结构。当基本生存所需的食品、医疗、住房、能源都通过政府认可的电子身份账户流转时，个人进入了一种与国家长期、主动配合的关系——不是被强制监视，而是为了维持日常生活的正常运转而持续提供身份信息、申报状态、配合核查。信息流向是由个人主动发出的，但结构决定了这种主动性是半强制的。</w:t>
      </w:r>
    </w:p>
    <w:p>
      <w:pPr>
        <w:pStyle w:val="BodyText"/>
      </w:pPr>
      <w:r>
        <w:t xml:space="preserve">在A1体系，这一机制表现为个人自由的渐进收缩。联邦统一身份证系统、配给资格的数字核验、医疗记录的联网整合，每一步都有便利性的正当理由，每一步也使政府掌握的个人信息更加完整。没有任何单一节点是强制监控，整体效果却是前所未有的透明度——对政府而言是透明，对个人而言是可见性的让渡。</w:t>
      </w:r>
    </w:p>
    <w:p>
      <w:pPr>
        <w:pStyle w:val="BodyText"/>
      </w:pPr>
      <w:r>
        <w:t xml:space="preserve">在A2体系，同样的依赖结构被更主动地利用。配给资格与行为评分挂钩，使配给不只是保障工具，也成为引导行为的杠杆。国家不需要追踪个人位置，但个人知道任何影响资格评定的行为都留有记录。这种知情本身就是管控效果的一部分。</w:t>
      </w:r>
    </w:p>
    <w:bookmarkEnd w:id="336"/>
    <w:bookmarkStart w:id="337" w:name="行为监控技术能力的普遍化与制度边界"/>
    <w:p>
      <w:pPr>
        <w:pStyle w:val="Heading3"/>
      </w:pPr>
      <w:r>
        <w:t xml:space="preserve">5.9.3　行为监控：技术能力的普遍化与制度边界</w:t>
      </w:r>
    </w:p>
    <w:p>
      <w:pPr>
        <w:pStyle w:val="FirstParagraph"/>
      </w:pPr>
      <w:r>
        <w:t xml:space="preserve">上述所有数据源——遥感、交通系统、电子身份、网络使用记录、主动申报信息——汇聚后，形成了AI个人行为分析的原材料。大规模数据与AI处理能力的结合，使异常行为的早期识别效率远高于今天：特定物资的采购组合、知识检索的模式变化、通信网络中的语义异常、资金流动的时序特征——这些信息单独看都是无害的，交叉分析后可以识别出准备阶段的信号，在实际威胁形成前触发人工审查。</w:t>
      </w:r>
    </w:p>
    <w:p>
      <w:pPr>
        <w:pStyle w:val="BodyText"/>
      </w:pPr>
      <w:r>
        <w:t xml:space="preserve">然而A1与A2在这项能力的运用上存在根本性的制度边界。A1体系的监控需要一个理由：第四修正案和相关立法对无令状大规模监控设有实质性门槛，AI分析的结果在转化为针对个人的调查行动前，需要经过法律程序。技术上能做到的事，制度上未必被允许做——这个张力是A1体系的持续内部争议。A2体系的逻辑是倒置的：监控是默认状态，不被监控需要一个理由，通常是国家主动选择不关注，而非个人拥有隔离的权利。技术能力相同，制度框架不同，产生了两种截然不同的权力与个人的关系结构。</w:t>
      </w:r>
    </w:p>
    <w:p>
      <w:pPr>
        <w:pStyle w:val="BodyText"/>
      </w:pPr>
      <w:r>
        <w:t xml:space="preserve">试图规避监控的行为者面临一个内在困境：在大多数人行为高度可预测的社会里，系统性地偏离正常模式本身就是一种信号。规避的努力不能保证不可见，有时反而制造了更清晰的轮廓。</w:t>
      </w:r>
    </w:p>
    <w:bookmarkEnd w:id="337"/>
    <w:bookmarkStart w:id="338" w:name="管控覆盖之外便利性的代价与资源监控的边界"/>
    <w:p>
      <w:pPr>
        <w:pStyle w:val="Heading3"/>
      </w:pPr>
      <w:r>
        <w:t xml:space="preserve">5.9.4　管控覆盖之外：便利性的代价与资源监控的边界</w:t>
      </w:r>
    </w:p>
    <w:p>
      <w:pPr>
        <w:pStyle w:val="FirstParagraph"/>
      </w:pPr>
      <w:r>
        <w:t xml:space="preserve">存在选择脱离上述管控网络的个人与群体——不是慢生活社区，而是主动以不便利换取不透明的人。他们使用现金而非电子账户，避开联网设备，绕开需要身份核验的服务，在实体空间而非数字网络中建立关系。这种生活方式在技术上是可行的，代价是系统性地放弃了2072年大多数基础设施所提供的便利：配给网络、医疗预约、智能交通、数字支付。脱离网格不是消失，而是退回到一种更费力、选择更少的存在状态。</w:t>
      </w:r>
    </w:p>
    <w:p>
      <w:pPr>
        <w:pStyle w:val="BodyText"/>
      </w:pPr>
      <w:r>
        <w:t xml:space="preserve">但脱离监控网格与监控网格不存在是两件不同的事。受到监控的不只是人，还有信息流与物资流。敏感知识的扩散、特定原材料的流转、精密设备的采购——这些在市场和物流网络中的移动本身处于监控之下。一个完全不留数字痕迹的个人，一旦试图接触这类信息或资源，就进入了另一套监控逻辑的覆盖范围。管控的边界不是在人的外围画一个圈，而是同时在信息与资源的流通路径上设置检测节点。真正意义上的不可见，要求同时切断与这两套网络的任何接触——在2072年，这意味着不只是不便，而是接近于自我隔绝。</w:t>
      </w:r>
    </w:p>
    <w:bookmarkEnd w:id="338"/>
    <w:bookmarkStart w:id="339" w:name="a1体系的社会稳定机制"/>
    <w:p>
      <w:pPr>
        <w:pStyle w:val="Heading3"/>
      </w:pPr>
      <w:r>
        <w:t xml:space="preserve">5.9.5　A1体系的社会稳定机制</w:t>
      </w:r>
    </w:p>
    <w:p>
      <w:pPr>
        <w:pStyle w:val="FirstParagraph"/>
      </w:pPr>
      <w:r>
        <w:t xml:space="preserve">A1体系的稳定性不依赖单一支柱，而是依赖几种机制的相互强化，任何一种单独都不充分，组合后产生的韧性远高于各部分之和。</w:t>
      </w:r>
    </w:p>
    <w:p>
      <w:pPr>
        <w:pStyle w:val="BodyText"/>
      </w:pPr>
      <w:r>
        <w:rPr>
          <w:bCs/>
          <w:b/>
        </w:rPr>
        <w:t xml:space="preserve">透明度的统计效应。</w:t>
      </w:r>
      <w:r>
        <w:t xml:space="preserve"> </w:t>
      </w:r>
      <w:r>
        <w:t xml:space="preserve">民生政策、配给决策逻辑、资源分配规则，在AI时代可以达到前所未有的精细化程度公开。这不是政治承诺，而是技术可行性与问责机制叠加的自然演化方向——系统运作本身需要精确数据，民主体制的政治压力使这些数据向公众开放。透明度对稳定的作用是统计性的而非决定性的：它降低了系统性不满积累的概率，不能消除个体愤怒。愤怒总能找到理由，透明的系统有时给了愤怒一个更清晰的对象，反而使特定个体更愤怒。统计上更稳定，个案上不可预测，两者同时成立。</w:t>
      </w:r>
    </w:p>
    <w:p>
      <w:pPr>
        <w:pStyle w:val="BodyText"/>
      </w:pPr>
      <w:r>
        <w:t xml:space="preserve">透明度只有与理解框架结合才能转化为信任。高等教育的普及和社科知识的扩散使公民能够评估政策逻辑，而不只是接收数据。没有理解框架的透明度产生的是信息噪音——这解释了为什么今天部分民主国家透明度相当高，公众信任却仍在下降。高透明度与高教育普及的组合，是A1体系在2072年比历史上任何时期统计上都更稳定的认知基础。</w:t>
      </w:r>
    </w:p>
    <w:p>
      <w:pPr>
        <w:pStyle w:val="BodyText"/>
      </w:pPr>
      <w:r>
        <w:rPr>
          <w:bCs/>
          <w:b/>
        </w:rPr>
        <w:t xml:space="preserve">民主权利的不可交换性。</w:t>
      </w:r>
      <w:r>
        <w:t xml:space="preserve"> </w:t>
      </w:r>
      <w:r>
        <w:t xml:space="preserve">威权体系的绩效展示对受过高等教育的民主公民诱惑有限。不是因为他们看不见民主体系的弱点——决策缓慢、政治极化、短期主义——而是因为在了解这些弱点之后仍然选择民主。社科教育使公民理解，民主权利的价值不只在于产生好的结果，而在于它本身是人类尊严的一种表达：参与影响自己生活的决定的权利不能用效率来交换，因为它不是达成其他目标的工具，它本身就是目标。「医院建得更快」与「我有没有权利质疑建哪家医院」是两个不在同一层面上的问题，不构成比较。</w:t>
      </w:r>
    </w:p>
    <w:p>
      <w:pPr>
        <w:pStyle w:val="BodyText"/>
      </w:pPr>
      <w:r>
        <w:t xml:space="preserve">这种清醒之后的选择有深层的代际基础。配给体系覆盖基本生存之后成长的一代，物质安全感是起点而非成就，他们对参与权利的重视相应地更高——后物质主义价值观的代际替换正在进行中，2072年是这个过程的早期，方向已定，尚未成熟。值得注意的是，这种稳定不等于满意：公民清醒地选择民主，同时清醒地批评民主的现有实践形式，稳定性与批评性同步上升，两者不相互取消。</w:t>
      </w:r>
    </w:p>
    <w:p>
      <w:pPr>
        <w:pStyle w:val="BodyText"/>
      </w:pPr>
      <w:r>
        <w:rPr>
          <w:bCs/>
          <w:b/>
        </w:rPr>
        <w:t xml:space="preserve">闲暇与判断力的有限弥补。</w:t>
      </w:r>
      <w:r>
        <w:t xml:space="preserve"> </w:t>
      </w:r>
      <w:r>
        <w:t xml:space="preserve">今天民主制度最大的实践弱点不是制度设计，而是信息处理能力——公民时间不足，容易被简化叙事和情绪动员驱动。AI替代劳动后闲暇增加，使这个约束部分松动：有时间深入了解政策的公民比例上升，民粹动员的受众结构改变。但这个效果只在闲暇与高等教育同时具备的人口中真实发生；仿真仓与娱乐内容的注意力竞争在2072年远比今天激烈，单纯的闲暇增加不自动转化为判断力提升。弥补是真实的，但仅是部分的。</w:t>
      </w:r>
    </w:p>
    <w:p>
      <w:pPr>
        <w:pStyle w:val="BodyText"/>
      </w:pPr>
      <w:r>
        <w:rPr>
          <w:bCs/>
          <w:b/>
        </w:rPr>
        <w:t xml:space="preserve">欧亚民主国家的适用性。</w:t>
      </w:r>
      <w:r>
        <w:t xml:space="preserve"> </w:t>
      </w:r>
      <w:r>
        <w:t xml:space="preserve">上述机制的核心逻辑——透明度、高等教育、后物质主义价值观、闲暇弥补——在欧亚民主国家同样适用，但各机制的相对权重和实现路径存在差异。欧洲福利传统使透明度压力更早、更系统地制度化；高等教育普及程度更高，后物质主义价值观的代际替换更为成熟；完善的福利缓冲使意义危机来得更晚、更安静，社会稳定的底线更高。东亚民主国家（日本、韩国、台湾）叠加了儒家传统对公共批评的文化性抑制，透明度与信任之间的转化效率不同于西方模式，但基础机制相同。差异是实现路径的差异，不是机制本身的差异。</w:t>
      </w:r>
    </w:p>
    <w:bookmarkEnd w:id="339"/>
    <w:bookmarkStart w:id="340" w:name="a2体系的社会管控机制"/>
    <w:p>
      <w:pPr>
        <w:pStyle w:val="Heading3"/>
      </w:pPr>
      <w:r>
        <w:t xml:space="preserve">5.9.6　A2体系的社会管控机制</w:t>
      </w:r>
    </w:p>
    <w:p>
      <w:pPr>
        <w:pStyle w:val="FirstParagraph"/>
      </w:pPr>
      <w:r>
        <w:t xml:space="preserve">A2体系走的是与A1根本不同的稳定路径：不需要降低不满，只需要阻止不满转化为行动。这条路径在2072年的技术条件下，比历史上任何时期都更有效率。</w:t>
      </w:r>
    </w:p>
    <w:p>
      <w:pPr>
        <w:pStyle w:val="BodyText"/>
      </w:pPr>
      <w:r>
        <w:rPr>
          <w:bCs/>
          <w:b/>
        </w:rPr>
        <w:t xml:space="preserve">镇压能力的质变。</w:t>
      </w:r>
      <w:r>
        <w:t xml:space="preserve"> </w:t>
      </w:r>
      <w:r>
        <w:t xml:space="preserve">自然语言处理使通信审查从抽样变为全覆盖；人脸识别与行为分析使物理空间监控从节点变为连续；社会关系图谱分析使潜在组织者在行动前可见；经济手段——配给资格扣押、出行限制、信用评分降级——使物理镇压退为代价高昂的次级选项。这不是量变而是质变：镇压的边际成本下降，覆盖面扩大，同时其可见性降低，不再需要制造明显的威慑事件来维持震慑效果。</w:t>
      </w:r>
    </w:p>
    <w:p>
      <w:pPr>
        <w:pStyle w:val="BodyText"/>
      </w:pPr>
      <w:r>
        <w:rPr>
          <w:bCs/>
          <w:b/>
        </w:rPr>
        <w:t xml:space="preserve">精英均衡的自我维持。</w:t>
      </w:r>
      <w:r>
        <w:t xml:space="preserve"> </w:t>
      </w:r>
      <w:r>
        <w:t xml:space="preserve">A2体系内部权力竞争的边界，由统治结构本身的性质决定。既有统治集团对AI基础设施、信息管控、配给分配、经济资源的控制不是相互独立的——它们是同一套统治结构的不同环节，整体运作，不可拆分。掌握这一结构的精英，其权力优势在结构完整时是压倒性的；一旦结构被破坏——无论是政变、失序还是民主化——这套优势连同结构一起消失。对精英阶层而言，任何动摇统治结构的行动，哪怕出发点是争夺更高位置，最终都会损害自身利益。这使内部权力竞争的理性边界高度清晰：可以换人，绝不换结构。诉诸民众、走向民主化，意味着引入精英无法控制的博弈变量，代价远超任何内部竞争可能带来的收益，因此是精英共识中最强烈排斥的路径。「换人不换结构」不是协商达成的君子协定，而是每一个精英行为者独立的理性计算指向同一结论的自然均衡——共同的脆弱性形成了共同的边界。受过相同教育背景、使用相同理性计算框架的技术官僚群体，比历史上任何威权精英都更倾向于在结构边界内解决分歧。</w:t>
      </w:r>
    </w:p>
    <w:p>
      <w:pPr>
        <w:pStyle w:val="BodyText"/>
      </w:pPr>
      <w:r>
        <w:rPr>
          <w:bCs/>
          <w:b/>
        </w:rPr>
        <w:t xml:space="preserve">绩效合法性的支撑与内在脆弱。</w:t>
      </w:r>
      <w:r>
        <w:t xml:space="preserve"> </w:t>
      </w:r>
      <w:r>
        <w:t xml:space="preserve">A2体系的稳定不只依赖镇压，还依赖向公民持续展示治理能力。配给系统的精确运转、交通事故率的系统性下降、基础设施建设的规模与速度——这些是公民日常可以感受到的实际体验，绩效合法性有坚实的物质基础。但这种合法性是条件性的：绩效持续则合法性持续，绩效下降则合法性立即动摇，没有缓冲。更深的困境在于，AI替代劳动后「让人民生活更好」的标准已从可量化的物质改善转向难以量化的意义感。威权体系可以精确展示配给数字，无法展示意义感。物质层面的能力已很强，但物质层面不再是最深层的需求——这是2072年A2体系最难解的治理张力。</w:t>
      </w:r>
    </w:p>
    <w:p>
      <w:pPr>
        <w:pStyle w:val="BodyText"/>
      </w:pPr>
      <w:r>
        <w:rPr>
          <w:bCs/>
          <w:b/>
        </w:rPr>
        <w:t xml:space="preserve">结构性脆弱点。</w:t>
      </w:r>
      <w:r>
        <w:t xml:space="preserve"> </w:t>
      </w:r>
      <w:r>
        <w:t xml:space="preserve">这个体系最深层的风险不来自底层挑战，不来自外部压力，而来自掌握AI基础设施核心节点的极少数人。资源越集中，控制中枢者的判断失误或价值扭曲所能造成的后果就越大。这是小概率但高后果的风险，是任何制度设计都无法完全消除的结构性脆弱。</w:t>
      </w:r>
    </w:p>
    <w:bookmarkEnd w:id="340"/>
    <w:bookmarkStart w:id="341" w:name="其他国家路径分化与全球化的局部萎缩"/>
    <w:p>
      <w:pPr>
        <w:pStyle w:val="Heading3"/>
      </w:pPr>
      <w:r>
        <w:t xml:space="preserve">5.9.7　其他国家：路径分化与全球化的局部萎缩</w:t>
      </w:r>
    </w:p>
    <w:p>
      <w:pPr>
        <w:pStyle w:val="FirstParagraph"/>
      </w:pPr>
      <w:r>
        <w:t xml:space="preserve">A1与A2之外的国家，各自在现实约束下发展出不同的治理形态。没有第三条成熟的模板：部分国家在两种体系之间寻求杂糅，部分国家因财政能力不足而只能实现管控技术的局部引入，部分国家的制度框架在技术压力下持续变形而尚未稳定。共同点是，无论走哪条路，AI治理能力的引入都不可避免地改变了国家与个人的信息不对称结构——只是改变的方向和程度因政治制度、财政能力、历史传统而各异。</w:t>
      </w:r>
    </w:p>
    <w:p>
      <w:pPr>
        <w:pStyle w:val="BodyText"/>
      </w:pPr>
      <w:r>
        <w:t xml:space="preserve">值得单独指出的是，在AI时代，全球化在多个维度上发生了局部萎缩。低端劳动力的跨境流动已大幅减少，商品供应链在区域内自给的经济性提升，数据主权的争议使信息流动在国家边界处遭遇更多摩擦。这种萎缩有一个不显眼但重要的副效应：地区性冲突的外部传导能力下降了。各国之间的经济相互依赖减弱，单一地区发生的动荡对其他地区的直接冲击减小，全球性连锁反应的概率低于全球化高峰期。</w:t>
      </w:r>
    </w:p>
    <w:p>
      <w:pPr>
        <w:pStyle w:val="BodyText"/>
      </w:pPr>
      <w:r>
        <w:t xml:space="preserve">但这个副效应有其代价的另一面。外部干预的动机与能力同步下降，意味着当事国内部的权力冲突或人道主义危机可以在更少外部介入的情况下长期持续。冲突的外溢减少，不等于冲突本身减少，只是冲突的处置越来越局限于当事国内部——这对身处其中的人口而言，是隔绝而非保护。</w:t>
      </w:r>
    </w:p>
    <w:bookmarkEnd w:id="341"/>
    <w:bookmarkEnd w:id="342"/>
    <w:bookmarkStart w:id="346" w:name="宗教与仪式"/>
    <w:p>
      <w:pPr>
        <w:pStyle w:val="Heading2"/>
      </w:pPr>
      <w:r>
        <w:t xml:space="preserve">5.10　宗教与仪式</w:t>
      </w:r>
    </w:p>
    <w:p>
      <w:pPr>
        <w:pStyle w:val="FirstParagraph"/>
      </w:pPr>
      <w:r>
        <w:t xml:space="preserve">AI时代最出人意料的社会趋势之一，是宗教参与在全球范围内的非线性变化——不是世俗化的线性延续，而是在某些人群中急剧增加，在另一些人群中完全消失。</w:t>
      </w:r>
    </w:p>
    <w:bookmarkStart w:id="343" w:name="宗教复兴的动力"/>
    <w:p>
      <w:pPr>
        <w:pStyle w:val="Heading3"/>
      </w:pPr>
      <w:r>
        <w:t xml:space="preserve">5.10.1　宗教复兴的动力</w:t>
      </w:r>
    </w:p>
    <w:p>
      <w:pPr>
        <w:pStyle w:val="FirstParagraph"/>
      </w:pPr>
      <w:r>
        <w:t xml:space="preserve">意义感危机是宗教复兴的直接驱动力。当劳动不再提供意义，世俗的消费主义在AI内容海洋中失去竞争优势，宗教提供了一套完整的、经过数千年压力测试的意义框架——为什么存在、如何生活、死亡意味着什么。这套框架的竞争优势在AI时代不是减弱而是增强了：恰恰是在最不需要宗教回答的物质问题上，科技已经提供了答案，而宗教专注的问题（为何生存）恰恰是科技最无能为力的。</w:t>
      </w:r>
    </w:p>
    <w:p>
      <w:pPr>
        <w:pStyle w:val="BodyText"/>
      </w:pPr>
      <w:r>
        <w:t xml:space="preserve">社区功能是宗教维持粘性的另一来源。宗教社区提供了工业时代的工作场所曾经提供的东西：固定的见面节律、共同参与的仪式、对成员困境的结构化回应。在高度原子化的多态社会中，宗教社区是少数几个提供「无条件归属」的制度——不需要你有生产力，不需要你有趣，只需要你出现。</w:t>
      </w:r>
    </w:p>
    <w:bookmarkEnd w:id="343"/>
    <w:bookmarkStart w:id="344" w:name="分化的宗教景观"/>
    <w:p>
      <w:pPr>
        <w:pStyle w:val="Heading3"/>
      </w:pPr>
      <w:r>
        <w:t xml:space="preserve">5.10.2　分化的宗教景观</w:t>
      </w:r>
    </w:p>
    <w:p>
      <w:pPr>
        <w:pStyle w:val="FirstParagraph"/>
      </w:pPr>
      <w:r>
        <w:t xml:space="preserve">传统机构宗教（天主教、伊斯兰教、佛教的主流机构）在全球南方和遗忘地带维持或增强了影响力，因为它们是唯一可用的整合性社会机构。在发达路径中，机构宗教衰退，但小规模宗教社群（大多数拥有20–200人）爆炸性增长，以高度定制化、强调个人体验和社区连接而非机构权威为特征。</w:t>
      </w:r>
    </w:p>
    <w:p>
      <w:pPr>
        <w:pStyle w:val="BodyText"/>
      </w:pPr>
      <w:r>
        <w:t xml:space="preserve">新宗教运动的多样性在2060年代超过历史上任何时期。有些围绕AI伦理建构准宗教信仰体系（「有意识的机器」的道德地位）；有些是对极端现代性的反动，强调前工业的手工、速度和本地性；有些融合神经科学和传统冥想，提供有实证支持的超越体验。</w:t>
      </w:r>
    </w:p>
    <w:bookmarkEnd w:id="344"/>
    <w:bookmarkStart w:id="345" w:name="世俗仪式的兴起"/>
    <w:p>
      <w:pPr>
        <w:pStyle w:val="Heading3"/>
      </w:pPr>
      <w:r>
        <w:t xml:space="preserve">5.10.3　世俗仪式的兴起</w:t>
      </w:r>
    </w:p>
    <w:p>
      <w:pPr>
        <w:pStyle w:val="FirstParagraph"/>
      </w:pPr>
      <w:r>
        <w:t xml:space="preserve">不依附于任何宗教传统的仪式性实践在这个时代大幅增长，填补了去宗教化人口对仪式的内在需求。社区性节气庆典、生命里程碑的世俗仪式化（出生、成年、离世）、个人冥想和正念实践的集体化——这些实践共同构成了一套「世俗礼仪」体系，功能上与宗教仪式重叠，但不携带神学框架。</w:t>
      </w:r>
    </w:p>
    <w:p>
      <w:pPr>
        <w:pStyle w:val="BodyText"/>
      </w:pPr>
      <w:r>
        <w:t xml:space="preserve">世俗仪式的心理功能在大量研究中被证实：仪式降低焦虑（通过可预测的结构）、加强社会连接（通过共同行动）、提供情感处理空间（通过象征性行为）。2072年有意识地参与某种仪式性实践的成人比例超过75%。</w:t>
      </w:r>
    </w:p>
    <w:bookmarkEnd w:id="345"/>
    <w:bookmarkEnd w:id="346"/>
    <w:bookmarkEnd w:id="347"/>
    <w:bookmarkStart w:id="403" w:name="第六部分-地理图景"/>
    <w:p>
      <w:pPr>
        <w:pStyle w:val="Heading1"/>
      </w:pPr>
      <w:r>
        <w:t xml:space="preserve">第六部分　地理图景</w:t>
      </w:r>
    </w:p>
    <w:p>
      <w:pPr>
        <w:pStyle w:val="FirstParagraph"/>
      </w:pPr>
      <w:r>
        <w:t xml:space="preserve">2072年的世界地图与2026年的物理边界相同，但地理意义已经重写。决定一个地方生命力的变量不再是矿产储量或廉价劳动力，而是基础设施的厚度：电网接入时序、运输连接层级、城市存量资产的深度。同一片陆地上，这些变量的分布差异制造出功能性历史时间的断层——相隔几十公里的两个城市，可以活在相差二十年的技术现实里。</w:t>
      </w:r>
    </w:p>
    <w:bookmarkStart w:id="352" w:name="交通基础设施"/>
    <w:p>
      <w:pPr>
        <w:pStyle w:val="Heading2"/>
      </w:pPr>
      <w:r>
        <w:t xml:space="preserve">6.1　交通基础设施</w:t>
      </w:r>
    </w:p>
    <w:bookmarkStart w:id="348" w:name="陆路路网存量与两个叠加层"/>
    <w:p>
      <w:pPr>
        <w:pStyle w:val="Heading3"/>
      </w:pPr>
      <w:r>
        <w:t xml:space="preserve">6.1.1　陆路：路网存量与两个叠加层</w:t>
      </w:r>
    </w:p>
    <w:p>
      <w:pPr>
        <w:pStyle w:val="FirstParagraph"/>
      </w:pPr>
      <w:r>
        <w:t xml:space="preserve">2072年的全球陆路路网在物理上与今天高度相似。公路、铁路的物理基础都是工业时代的长期积累，折旧周期长，不会因为新技术出现而迅速被废弃——公路沥青面层每15–20年更新一次，路基可以存续百年以上；铁路路基和桥隧的折旧周期更长。2072年行驶在全球多数公路和铁路上的感受，与今天没有根本性的不同。</w:t>
      </w:r>
    </w:p>
    <w:p>
      <w:pPr>
        <w:pStyle w:val="BodyText"/>
      </w:pPr>
      <w:r>
        <w:t xml:space="preserve">变化是叠加在这个存量之上的两个层次。</w:t>
      </w:r>
    </w:p>
    <w:p>
      <w:pPr>
        <w:pStyle w:val="BodyText"/>
      </w:pPr>
      <w:r>
        <w:rPr>
          <w:bCs/>
          <w:b/>
        </w:rPr>
        <w:t xml:space="preserve">第一个叠加层：高铁的城市集群效应全面释放。</w:t>
      </w:r>
      <w:r>
        <w:t xml:space="preserve">聚变使高铁运营成本趋近于零，运营门槛大幅下降。在东亚（中日韩）这个效应最充分——高铁网络最密集，城市集群的功能性整合最彻底，通勤30–90分钟覆盖的劳动力市场和服务业实质上已经一体化。高铁是集中器而非平衡器：它降低了大城市的距离成本，使大城市对人才和资本的吸引力更强；走廊外的城市和内陆区域反而因比较劣势扩大而加速人口外流。欧洲有局部走廊（西北欧走廊、伊比利亚半岛）但被国境线切割；北美高铁极为有限，东北走廊是唯一成熟走廊，城市间连接主要依赖公路和航空。这个基础设施遗产差异已在2072年固化为城市形态的根本差异。</w:t>
      </w:r>
    </w:p>
    <w:p>
      <w:pPr>
        <w:pStyle w:val="BodyText"/>
      </w:pPr>
      <w:r>
        <w:rPr>
          <w:bCs/>
          <w:b/>
        </w:rPr>
        <w:t xml:space="preserve">第二个叠加层：全控高速路段沿物流走廊形成。</w:t>
      </w:r>
      <w:r>
        <w:t xml:space="preserve">全控高速路段不是一套新建的公路网络——它是在现有高速公路的部分路段上叠加封闭、传感、调度系统形成的，设计目的首先是安全：封闭路段隔离人工干预，系统统一控制间距和速度，消除混合交通的冲突风险。全控高速路段覆盖城市集群核心区和主要物流走廊，边界在地图上清晰可见：进入后Muule切换到四轮全控模式，系统接管驾驶；离开后退回普通公路，两轮或低速四轮形态。出入口换电站的建设成本相对有限，不构成覆盖的主要制约。绝大多数公路在2072年仍然是普通公路，Muule在这些路段以低速四轮或两轮形态行驶，与今天的道路使用方式没有本质差别。</w:t>
      </w:r>
    </w:p>
    <w:p>
      <w:pPr>
        <w:pStyle w:val="BodyText"/>
      </w:pPr>
      <w:r>
        <w:t xml:space="preserve">货运铁路在聚变时代获得了新的地位。电气化铁路的运营成本大幅下降，铁路相对公路的能效优势在大宗货物（铁矿石、粮食、钢材）上无可替代——单列货运列车运量是卡车的数十倍，内陆矿区、农业区与沿海港口之间的走廊仍然以铁路为骨干。矿山完全自动化后不需要工人，但矿产仍需运出：铁路是内陆地区与沿海体系之间少数几条真实物质联系之一。</w:t>
      </w:r>
    </w:p>
    <w:bookmarkEnd w:id="348"/>
    <w:bookmarkStart w:id="349" w:name="海运沿海文明圈与地效应速度层"/>
    <w:p>
      <w:pPr>
        <w:pStyle w:val="Heading3"/>
      </w:pPr>
      <w:r>
        <w:t xml:space="preserve">6.1.2　海运：沿海文明圈与地效应速度层</w:t>
      </w:r>
    </w:p>
    <w:p>
      <w:pPr>
        <w:pStyle w:val="FirstParagraph"/>
      </w:pPr>
      <w:r>
        <w:t xml:space="preserve">海运格局在2072年保持结构性稳定。聚变降低了所有运输方式的能源成本，但海运的相对优势反而更加凸显：水的浮力使船舶单位能耗在物理上远低于陆运和空运，这个结构性优势在能源成本整体压缩后更为突出，而不是被抹平。沿海城市集群之间的大宗货物几乎全部走海运，港口密度和吞吐量是城市集群经济能级的直接指标，港口节点的繁荣程度是沿海城市与内陆城市最根本的分野之一。</w:t>
      </w:r>
    </w:p>
    <w:p>
      <w:pPr>
        <w:pStyle w:val="BodyText"/>
      </w:pPr>
      <w:r>
        <w:t xml:space="preserve">地效应货轮（WIG）在2072年填补了海运和空运之间一个此前空白的速度层。贴近水面飞行时升阻比远高于常规飞机，能耗约为同速飞机的30–50%。以沿海500公里走廊为典型场景：每班数千吨，单位成本约为空运的1/15–1/25，速度约450km/h，气象窗口运营，每日1–2班。这个组合使沿海城市集群之间的时间敏感大批量货物有了比空运便宜得多、比慢速海运快得多的选项。东亚沿海走廊是密度最高的使用场景；地中海、北海有独立走廊；大西洋和太平洋跨洋距离超出有效范围，仍属于空运和海运。</w:t>
      </w:r>
    </w:p>
    <w:p>
      <w:pPr>
        <w:pStyle w:val="BodyText"/>
      </w:pPr>
      <w:r>
        <w:t xml:space="preserve">地效应货轮在现有空域管制框架之外运行，更接近海上航道逻辑：贴水面低空飞行，不进入民航管控空域，但需要专用沿海走廊规划，与普通船舶的航线分离。AI气象调度系统提前48小时预报可用窗口，各走廊有固定班次和备用停运协议，恶劣天气改走普通海运兜底，两者协同而非竞争。</w:t>
      </w:r>
    </w:p>
    <w:p>
      <w:pPr>
        <w:pStyle w:val="BodyText"/>
      </w:pPr>
      <w:r>
        <w:t xml:space="preserve">深海采矿平台的矿产输出通过专用矿产运输船点对点往返——密封运输舱规格统一，装卸效率高，是沿海大宗航线的一类特殊形态（详见6.6节）。</w:t>
      </w:r>
    </w:p>
    <w:bookmarkEnd w:id="349"/>
    <w:bookmarkStart w:id="350" w:name="航空收窄与分层"/>
    <w:p>
      <w:pPr>
        <w:pStyle w:val="Heading3"/>
      </w:pPr>
      <w:r>
        <w:t xml:space="preserve">6.1.3　航空：收窄与分层</w:t>
      </w:r>
    </w:p>
    <w:p>
      <w:pPr>
        <w:pStyle w:val="FirstParagraph"/>
      </w:pPr>
      <w:r>
        <w:t xml:space="preserve">旅客航空的需求结构在2072年没有根本性萎缩——洲际商务、国际学术交流、全球旅游需求依然真实。变化在燃料：合成航煤（SAF，聚变电力费托合成）化学性质与传统航煤完全相同，现有机队直接使用，封闭碳循环。机场是合成燃料最大的地面补给节点，机场基础设施因此在电动化时代保持完整，是沿海城市的重要能源基础设施锚点。</w:t>
      </w:r>
    </w:p>
    <w:p>
      <w:pPr>
        <w:pStyle w:val="BodyText"/>
      </w:pPr>
      <w:r>
        <w:t xml:space="preserve">货运空运被大幅压缩。地效应货轮在沿海走廊替代了大量原本走空运的大批量时间敏感货物；只有极小批量（医疗器官、急救药品）、极时间敏感、需要全天候保障的货物仍然必须走空运。</w:t>
      </w:r>
    </w:p>
    <w:p>
      <w:pPr>
        <w:pStyle w:val="BodyText"/>
      </w:pPr>
      <w:r>
        <w:t xml:space="preserve">末梢连通是航空在2072年的增量场景。STOL（短距起降）和eVTOL不需要传统机场——200–400米平整地面或一块停机坪即可起降，全电动驱动，可服务慢生活社区的紧急医疗转运、深海城镇的人员轮换和补给、山地海岛地形的定期服务。内陆机场商业航班减少后，退化为简易起降场的废弃跑道是这个层级的基础设施复用场景：恢复基本燃油储罐，接入内陆连接飞行器（SAF涡桨，约20–30座，续航800–1200km），使内陆区域与沿海体系保持低频次连接。</w:t>
      </w:r>
    </w:p>
    <w:bookmarkEnd w:id="350"/>
    <w:bookmarkStart w:id="351" w:name="年交通格局的总体形态"/>
    <w:p>
      <w:pPr>
        <w:pStyle w:val="Heading3"/>
      </w:pPr>
      <w:r>
        <w:t xml:space="preserve">6.1.4　2072年交通格局的总体形态</w:t>
      </w:r>
    </w:p>
    <w:p>
      <w:pPr>
        <w:pStyle w:val="FirstParagraph"/>
      </w:pPr>
      <w:r>
        <w:t xml:space="preserve">陆海空三个维度叠加，在地图上形成清晰的梯度：</w:t>
      </w:r>
    </w:p>
    <w:p>
      <w:pPr>
        <w:pStyle w:val="BodyText"/>
      </w:pPr>
      <w:r>
        <w:t xml:space="preserve">沿海城市集群是第一梯队：海运+地效应货轮+高铁（东亚）+全控高速路段+旅客航空多层叠加，基础设施密度最高，Muule有完整的四态使用场景。沿海-内陆走廊是第二梯队：货运铁路+空运，走廊经济密度决定沿线城市的梯队位置。内陆枢纽城市是第三梯队：主要靠空运和货运铁路维持与全球体系的连接，本地依赖普通公路网络，全控高速路段稀疏或缺失。内陆边缘是第四梯队：铁路支线空壳化，空运覆盖薄弱，内陆连接飞行器是唯一的远程连接方式。被遗忘地带：无任何现代运输基础设施，与全球体系实质性断裂，人力和牲畜是主要运力。</w:t>
      </w:r>
    </w:p>
    <w:p>
      <w:pPr>
        <w:pStyle w:val="BodyText"/>
      </w:pPr>
      <w:r>
        <w:t xml:space="preserve">这个梯度不是政策设计的结果，是运输经济和资源地理共同作用的自发结果。海洋矿产的财富效应加速了沿海集中；聚变电力使铁路运营成本下降，但不能消除低密度走廊的市场失灵；全控高速路段的边界是2072年多态社会最直观的空间分界线。</w:t>
      </w:r>
    </w:p>
    <w:p>
      <w:pPr>
        <w:pStyle w:val="BodyText"/>
      </w:pPr>
      <w:r>
        <w:t xml:space="preserve">值得注意的是，全球货运总量在2072年低于工业时代峰值。城市集群的生产能力上升是结构性原因：城市矿山减少了原矿长途输入的需求，城市垂直农场减少了食品长途运输，聚变电力就地供应减少了能源输送量。货运的结构也在变化——大宗散货比重下降，高价值精密货物（医疗器械、AI芯片、专用化学品）比重上升。运量减少不代表运输体系退化，而是生产地理重组后的自然结果。</w:t>
      </w:r>
    </w:p>
    <w:bookmarkEnd w:id="351"/>
    <w:bookmarkEnd w:id="352"/>
    <w:bookmarkStart w:id="357" w:name="能源基础设施"/>
    <w:p>
      <w:pPr>
        <w:pStyle w:val="Heading2"/>
      </w:pPr>
      <w:r>
        <w:t xml:space="preserve">6.2　能源基础设施</w:t>
      </w:r>
    </w:p>
    <w:bookmarkStart w:id="353" w:name="存量电网从工业时代继承"/>
    <w:p>
      <w:pPr>
        <w:pStyle w:val="Heading3"/>
      </w:pPr>
      <w:r>
        <w:t xml:space="preserve">6.2.1　存量电网：从工业时代继承</w:t>
      </w:r>
    </w:p>
    <w:p>
      <w:pPr>
        <w:pStyle w:val="FirstParagraph"/>
      </w:pPr>
      <w:r>
        <w:t xml:space="preserve">2072年的全球电网在物理骨架上仍然是工业时代的积累。输电线路、变电站、配电网络的折旧周期长达40–80年，不因新能源出现而立即废弃。A1体系以市场为主导逐步更新，保留大量天然气调峰机组服务城市集群外围；A2体系通过国家规划优先升级工业集群和城市核心，保留西电东送的特高压直流骨架并接入聚变电站。两套体系的电网架构继承了各自的历史投资格局，在2072年形成高度不同的地理图案。</w:t>
      </w:r>
    </w:p>
    <w:p>
      <w:pPr>
        <w:pStyle w:val="BodyText"/>
      </w:pPr>
      <w:r>
        <w:t xml:space="preserve">聚变电力通过现有及新建的高压输电网络覆盖，覆盖范围是输电走廊延伸的问题，而非到处建设电厂的问题。输电成本随距离增加，远端覆盖的线路损耗和基础设施成本决定了某些区域接入的经济性。A1体系私营投资优先沿高密度高收益走廊铺设输电线路，内陆低密度区域滞后接入；A2体系优先保障工业集群和AI算力中心，城市集群最早获益，农村内陆延迟5–15年。两种逻辑不同，结果一致：城市集群先接入，内陆后接入或永远处于较高输电成本的末端位置。这个覆盖时序已经固化为多态社会城市梯队的能源维度。</w:t>
      </w:r>
    </w:p>
    <w:bookmarkEnd w:id="353"/>
    <w:bookmarkStart w:id="354" w:name="聚变电厂新的地理节点"/>
    <w:p>
      <w:pPr>
        <w:pStyle w:val="Heading3"/>
      </w:pPr>
      <w:r>
        <w:t xml:space="preserve">6.2.2　聚变电厂：新的地理节点</w:t>
      </w:r>
    </w:p>
    <w:p>
      <w:pPr>
        <w:pStyle w:val="FirstParagraph"/>
      </w:pPr>
      <w:r>
        <w:t xml:space="preserve">聚变电厂在选址上比化石燃料电厂自由得多——不依赖煤矿、气田、河流，可以建在接近负荷中心的位置。但实践中，A1体系沿现有高压输电走廊选址（基础设施复用成本最低），A2体系沿战略产业规划选址（与聚变电力相互依托的工业集群优先）。结果是聚变电厂集中分布在城市集群附近和工业走廊节点，不是均匀分散的点位。</w:t>
      </w:r>
    </w:p>
    <w:p>
      <w:pPr>
        <w:pStyle w:val="BodyText"/>
      </w:pPr>
      <w:r>
        <w:t xml:space="preserve">聚变电厂本身成为周边经济活动的吸引核。廉价电力使高能耗产业在电厂附近实现。不依赖廉价劳动力，也不需要靠近原材料产地——海水淡化、合成氨（化肥）、绿氢生产、合成燃料（SAF）、铝冶炼、数据中心，都在电厂的经济辐射半径内发展出产业集群。沿聚变电厂节点形成的新产业走廊，在地图上是2072年最鲜明的新增经济地理特征之一。</w:t>
      </w:r>
    </w:p>
    <w:p>
      <w:pPr>
        <w:pStyle w:val="BodyText"/>
      </w:pPr>
      <w:r>
        <w:t xml:space="preserve">在A2体系，聚变电厂是战略基础设施，选址保密，周边形成安全缓冲区。控制聚变电厂意味着控制配给体系的能源基础，政治意义超越经济意义。HVDC（高压直流输电）长距走廊从西部聚变电站群向东部城市集群馈电，走廊本身是战略攻击目标，备份路径分布是基础设施机密。</w:t>
      </w:r>
    </w:p>
    <w:bookmarkEnd w:id="354"/>
    <w:bookmarkStart w:id="355" w:name="化石燃料基础设施萎缩与残余"/>
    <w:p>
      <w:pPr>
        <w:pStyle w:val="Heading3"/>
      </w:pPr>
      <w:r>
        <w:t xml:space="preserve">6.2.3　化石燃料基础设施：萎缩与残余</w:t>
      </w:r>
    </w:p>
    <w:p>
      <w:pPr>
        <w:pStyle w:val="FirstParagraph"/>
      </w:pPr>
      <w:r>
        <w:t xml:space="preserve">化石燃料基础设施的消亡是渐进的而非突变的。一座2030年建成的燃气电厂设计寿命30–40年，关闭它需要的条件是「继续运行比替代更贵」，而不仅仅是「有更好的技术」。在很多地区，这个条件在2072年仍未达到——A1体系的天然气调峰机组仍在服务电网峰值需求，A2体系的部分旧煤电在聚变接入前仍在部分运行。</w:t>
      </w:r>
    </w:p>
    <w:p>
      <w:pPr>
        <w:pStyle w:val="BodyText"/>
      </w:pPr>
      <w:r>
        <w:t xml:space="preserve">管道是化石燃料基础设施中废弃最快的部分。石油和天然气管道在失去主要用途后，大量进入弃用或停运状态。废弃的管道网络在地理上形成反向指标：管道曾经连通的地区，是石油依存度最高的地区；管道废弃最快的走廊，往往正好是聚变接入最早的走廊。中东到欧洲的天然气管道在2050–2065年陆续停运；北美页岩气区域的管道网络在内陆D类国家的能源路径收缩后大幅萎缩。这些废弃管道的走廊，是2072年地图上最明显的「上个时代的痕迹」——有时物理管道还在，但流量已经归零。</w:t>
      </w:r>
    </w:p>
    <w:p>
      <w:pPr>
        <w:pStyle w:val="BodyText"/>
      </w:pPr>
      <w:r>
        <w:t xml:space="preserve">炼油厂的关闭地理与管道停运高度重叠。合成燃料工厂取代炼油厂成为液态烃的生产来源，两者的区位逻辑相反：炼油厂靠近油气产地或港口，合成燃料工厂靠近聚变电厂（电力来源）和CO₂供应（工业排放捕获或直接空气捕获）。这个区位转移在地图上是可见的。</w:t>
      </w:r>
    </w:p>
    <w:p>
      <w:pPr>
        <w:pStyle w:val="BodyText"/>
      </w:pPr>
      <w:r>
        <w:t xml:space="preserve">石油出口国（D类）的能源基础设施萎缩是2072年最剧烈的地理变化之一。主权财富基金耗尽、财政危机到达临界点后，本币实质失效，美元化带来的货币体系混乱进一步压缩基础设施维护能力，油田和管道的闲置、废弃成为这些地区经济崩溃的物理标志。</w:t>
      </w:r>
    </w:p>
    <w:bookmarkEnd w:id="355"/>
    <w:bookmarkStart w:id="356" w:name="储能与电网韧性的地理分化"/>
    <w:p>
      <w:pPr>
        <w:pStyle w:val="Heading3"/>
      </w:pPr>
      <w:r>
        <w:t xml:space="preserve">6.2.4　储能与电网韧性的地理分化</w:t>
      </w:r>
    </w:p>
    <w:p>
      <w:pPr>
        <w:pStyle w:val="FirstParagraph"/>
      </w:pPr>
      <w:r>
        <w:t xml:space="preserve">地形决定储能潜力，储能潜力影响能源自给程度——这是2072年能源地理的一个重要维度，但不是决定性的单一规律。</w:t>
      </w:r>
    </w:p>
    <w:p>
      <w:pPr>
        <w:pStyle w:val="BodyText"/>
      </w:pPr>
      <w:r>
        <w:t xml:space="preserve">水电资源丰富的地区（挪威、瑞士、加拿大不列颠哥伦比亚省、中国西南）具有天然的调节储能能力：水库在用电低谷蓄水、高峰发电，与聚变基荷形成互补。这类地区的能源自给率较高，对外部输电依赖较低。海水抽蓄储能（海边高地建上水库，用聚变电力抽海水蓄能，需要时发电）在少数特殊地形可行，但前提苛刻——必须有紧邻海岸的足够高度差和适合建设上水库的地质条件，并非所有”有山有海”的地方都满足。挪威丰富的峡湾地形使其淡水水电调节能力在欧洲首屈一指，从油气出口国转型为欧洲能源最自足的国家之一，依托的是淡水水力储能而非海水抽蓄。这是地理决定能源命运的2072年版本，与「有油田才有能源权力」的旧逻辑形成根本性翻转。</w:t>
      </w:r>
    </w:p>
    <w:p>
      <w:pPr>
        <w:pStyle w:val="BodyText"/>
      </w:pPr>
      <w:r>
        <w:t xml:space="preserve">平坦内陆地区（中欧平原、美国中西部、华北平原）没有山地储能条件，依赖聚变集中发电+高压输电覆盖。电网互联的可靠性决定这些地区的能源稳定性，高压输电线路成为多态社会新的战略基础设施，重要性类似今天的油气管道。单点故障的级联风险是这类地区的结构性弱点，备份路径的地理分布是基础设施规划的核心问题。</w:t>
      </w:r>
    </w:p>
    <w:p>
      <w:pPr>
        <w:pStyle w:val="BodyText"/>
      </w:pPr>
      <w:r>
        <w:t xml:space="preserve">Muule的换电站网络密度同时是交通和储能指标。换电站密集的地区，分布式储能容量大，V2G（车网互动）可以在用电峰谷之间平滑调节；换电站稀疏的地区，电网韧性明显较低。换电站密度因此是多态社会城市梯队在能源维度上最直观的空间标志。</w:t>
      </w:r>
    </w:p>
    <w:bookmarkEnd w:id="356"/>
    <w:bookmarkEnd w:id="357"/>
    <w:bookmarkStart w:id="362" w:name="城市的继续"/>
    <w:p>
      <w:pPr>
        <w:pStyle w:val="Heading2"/>
      </w:pPr>
      <w:r>
        <w:t xml:space="preserve">6.3　城市的继续</w:t>
      </w:r>
    </w:p>
    <w:bookmarkStart w:id="358" w:name="固有资源城市的历史存量"/>
    <w:p>
      <w:pPr>
        <w:pStyle w:val="Heading3"/>
      </w:pPr>
      <w:r>
        <w:t xml:space="preserve">6.3.1　固有资源：城市的历史存量</w:t>
      </w:r>
    </w:p>
    <w:p>
      <w:pPr>
        <w:pStyle w:val="FirstParagraph"/>
      </w:pPr>
      <w:r>
        <w:t xml:space="preserve">城市的生命力首先来自工业时代积累的固有基础设施——这些设施的折旧周期远超经济活动的变化速度，构成城市在多态社会里的底盘。同样是人口减少、经济活动萎缩，有完整基础设施存量的城市与小镇的衰退节奏完全不同。</w:t>
      </w:r>
    </w:p>
    <w:p>
      <w:pPr>
        <w:pStyle w:val="BodyText"/>
      </w:pPr>
      <w:r>
        <w:t xml:space="preserve">医疗设施是城市存量中最有黏性的资产。大型综合医院的器械投入、专科培养、信息系统积累需要数十年，一旦建立就很难复制到其他地方。2072年的医疗已经是AI辅助诊断+机器人手术+个性化治疗的成熟组合，但这套体系的地理载体仍然是城市医院。医疗设施的辐射半径决定了周边居民的选择：在辐射范围内可以就地生活，超出范围的复杂医疗需求需要转运，转运成本构成居住选择的隐性约束。城市越大、医疗设施越完整，辐射范围越大，边缘人口的居住地理约束越宽松。</w:t>
      </w:r>
    </w:p>
    <w:p>
      <w:pPr>
        <w:pStyle w:val="BodyText"/>
      </w:pPr>
      <w:r>
        <w:t xml:space="preserve">教育设施有相似的逻辑，但更复杂。基础教育随人口分散，高等教育高度集中。2072年大量课程内容可以在线获取，但实验室实操、临床实习、工程项目、创作工作坊等实践环节无法在线完成；加之校园是人脉构建、协作孵化和身份认同形成的场所，在校学习仍然是大学的常态，而非被线上化取代的例外。大学城因此维持了围绕教育经济（餐饮、住宿、文化、本地服务）的城市活力，在制造业和矿业城市衰退的背景下反而成为相对稳定的存在。</w:t>
      </w:r>
    </w:p>
    <w:p>
      <w:pPr>
        <w:pStyle w:val="BodyText"/>
      </w:pPr>
      <w:r>
        <w:t xml:space="preserve">行政和法律设施有地理服务半径，是城市区域枢纽功能的组成部分。AI替代了大量标准化行政服务，但面对面的司法、复杂行政事务和政治代表的物理存在仍然必要，使政府所在城市保留了一类不可迁移的功能基础，即使周边经济已经萎缩。</w:t>
      </w:r>
    </w:p>
    <w:bookmarkEnd w:id="358"/>
    <w:bookmarkStart w:id="359" w:name="新生命力城市作为生产系统"/>
    <w:p>
      <w:pPr>
        <w:pStyle w:val="Heading3"/>
      </w:pPr>
      <w:r>
        <w:t xml:space="preserve">6.3.2　新生命力：城市作为生产系统</w:t>
      </w:r>
    </w:p>
    <w:p>
      <w:pPr>
        <w:pStyle w:val="FirstParagraph"/>
      </w:pPr>
      <w:r>
        <w:t xml:space="preserve">固有资源维持城市的下限，新的生产功能决定城市能否获得主动的生命力。聚变时代的城市不只是消费中心，也发展出基于廉价能源和AI管理的本地生产能力，形成与工业时代完全不同的城市物质代谢逻辑。</w:t>
      </w:r>
    </w:p>
    <w:p>
      <w:pPr>
        <w:pStyle w:val="BodyText"/>
      </w:pPr>
      <w:r>
        <w:rPr>
          <w:bCs/>
          <w:b/>
        </w:rPr>
        <w:t xml:space="preserve">城市矿山。</w:t>
      </w:r>
      <w:r>
        <w:t xml:space="preserve">城市集群是2072年最重要的矿山之一——不是比喻，是字面意义。聚变使能源成本消失，AI和自动化使分拣成本大幅下降，人口密度使废弃物流密度天然高于任何其他地理形态。稀土（钕铁硼永磁体回收）、铂族金属（催化剂、燃料电池回收）、锂和钴（退役固态电池，2030–2040年代大规模部署后生命周期陆续结束）——这些品种的城市回收成本已低于一次采矿。大宗金属（铁、铜、铝）的城市回收率接近95%以上。有完整城市矿山体系的城市，在稀贵金属上接近自给，对原矿进口的依赖大幅下降。城市矿山的运营能力是城市工业活力的新指标，有体系的城市形成正反馈（回收收入→维护设施→提升回收率），没有体系的城市持续依赖外部输入。</w:t>
      </w:r>
    </w:p>
    <w:p>
      <w:pPr>
        <w:pStyle w:val="BodyText"/>
      </w:pPr>
      <w:r>
        <w:rPr>
          <w:bCs/>
          <w:b/>
        </w:rPr>
        <w:t xml:space="preserve">合成食品与城市垂直农场。</w:t>
      </w:r>
      <w:r>
        <w:t xml:space="preserve">合成蛋白质和细胞培养食品是最低保障配给的物质基础，工厂逻辑主导：聚变能源成本消失使生产成本接近原材料和设施折旧，不依赖土地、气候、季节。合成食品工厂选址靠近聚变电厂和配给分发节点，是城市能源基础设施的下游产业。城市垂直农场在合成食品的上方填补了一个需求层：叶菜、草莓、香草——真实植物，但无土栽培、LED人工光、封闭水循环。AI替代劳动后大量空置的城市办公楼宇成为垂直农场的天然载体，不需要土地，不需要自然光，只需要聚变电力和水循环系统。城市物质代谢在空置空间的填充中悄悄完成自我更新——建筑从经济活动的容器，变成食物生产的容器。</w:t>
      </w:r>
    </w:p>
    <w:p>
      <w:pPr>
        <w:pStyle w:val="BodyText"/>
      </w:pPr>
      <w:r>
        <w:rPr>
          <w:bCs/>
          <w:b/>
        </w:rPr>
        <w:t xml:space="preserve">城市基础设施与城市生命力的分层。</w:t>
      </w:r>
      <w:r>
        <w:t xml:space="preserve">将上述要素叠加，可以描述城市在2072年的四种生命力状态。第一种：基础设施完整+城市矿山成熟+垂直农场规模化，自给率高，吸引高技能人口，是城市集群核心区的图景。第二种：基础设施完整但新型生产能力有限，依赖外部资源输入，以历史积累的医疗教育行政设施维持城市下限，是大型内陆区域枢纽的图景。第三种：基础设施部分完整，城市矿山规模有限，垂直农场刚刚起步，是中等城市在慢速适应中的图景。第四种：基础设施老化，无城市矿山体系，无垂直农场，依赖外部配给覆盖基本生存，是收缩中的小城市的图景。这四种状态不是固定分类，而是连续光谱上的区间——城市可以在不同时间处于不同状态，也可以因特定功能优势停留在某个区间，不遵循单一的衰退轨迹。</w:t>
      </w:r>
    </w:p>
    <w:bookmarkEnd w:id="359"/>
    <w:bookmarkStart w:id="360" w:name="为什么城市仍然存在动态机制简述"/>
    <w:p>
      <w:pPr>
        <w:pStyle w:val="Heading3"/>
      </w:pPr>
      <w:r>
        <w:t xml:space="preserve">6.3.3　为什么城市仍然存在：动态机制简述</w:t>
      </w:r>
    </w:p>
    <w:p>
      <w:pPr>
        <w:pStyle w:val="FirstParagraph"/>
      </w:pPr>
      <w:r>
        <w:t xml:space="preserve">城市在2072年的存续，不是惯性，而是多重机制叠加的结果。第四部分和第五部分已分析过这些机制的内在逻辑，这里只是简要说明它们如何在地理图景中落地。</w:t>
      </w:r>
    </w:p>
    <w:p>
      <w:pPr>
        <w:pStyle w:val="BodyText"/>
      </w:pPr>
      <w:r>
        <w:rPr>
          <w:bCs/>
          <w:b/>
        </w:rPr>
        <w:t xml:space="preserve">人口机制。</w:t>
      </w:r>
      <w:r>
        <w:t xml:space="preserve">AI时代新进入劳动市场的人口发现岗位已被AI占据，基础保障覆盖人口在城市比在分散地点更容易获得基础设施覆盖和配给节点，这形成向城市聚集的持续引力——即使城市无法提供大量正式就业，它仍然是最低生活保障成本最低的地点（见4.7节）。</w:t>
      </w:r>
    </w:p>
    <w:p>
      <w:pPr>
        <w:pStyle w:val="BodyText"/>
      </w:pPr>
      <w:r>
        <w:rPr>
          <w:bCs/>
          <w:b/>
        </w:rPr>
        <w:t xml:space="preserve">功能锚点机制。</w:t>
      </w:r>
      <w:r>
        <w:t xml:space="preserve">区域枢纽功能——医疗、高等教育、行政、法律——有地理服务半径，不能无限集中到少数节点，也不能随人口分散而同步分散。这些功能的存在维持了城市作为区域中心的不可替代性，即使周边经济基础已经收缩（见6.3.1）。</w:t>
      </w:r>
    </w:p>
    <w:p>
      <w:pPr>
        <w:pStyle w:val="BodyText"/>
      </w:pPr>
      <w:r>
        <w:rPr>
          <w:bCs/>
          <w:b/>
        </w:rPr>
        <w:t xml:space="preserve">衰退与平衡。</w:t>
      </w:r>
      <w:r>
        <w:t xml:space="preserve">人口流出超过阈值后，商业萎缩与年轻人加速离开形成正反馈，衰退螺旋一旦启动难以逆转。但基础设施存量提供了下限——聚变使运营能源成本趋近于零，维持存量设施的边际成本极低，使城市在失去经济驱动力后仍能维持基本服务。这两个力量共同作用，使收缩中的城市趋向一个人口-基础设施的低水平平衡点，而非无限下滑。衰败是单一经济功能被替代后无法找到新定位的结果；存活是多重功能叠加韧性的结果。</w:t>
      </w:r>
    </w:p>
    <w:p>
      <w:pPr>
        <w:pStyle w:val="BodyText"/>
      </w:pPr>
      <w:r>
        <w:rPr>
          <w:bCs/>
          <w:b/>
        </w:rPr>
        <w:t xml:space="preserve">旅游与慢速移民。</w:t>
      </w:r>
      <w:r>
        <w:t xml:space="preserve">旅游模式在2072年发生根本变化：退出就业人口随时可以出发，BSC降低旅行门槛，停留时间从数天延长为数周，旅游流量从季节性爆发变为全年均匀分布。这对能提供真实体验和地方性的城市形成新的经济支撑。选择慢速生活方式的远程工作者、退休人员和创意工作者，以生活质量而非就业机会为居住决策依据，他们的收入来源在高速体系，消费在低速体系，构成独立于配给之外的真实资源输入渠道。这两类人口共同支撑了一批内陆和中小型城市的人口基础。</w:t>
      </w:r>
    </w:p>
    <w:bookmarkEnd w:id="360"/>
    <w:bookmarkStart w:id="361" w:name="生活仍在继续普通城镇的日常图景"/>
    <w:p>
      <w:pPr>
        <w:pStyle w:val="Heading3"/>
      </w:pPr>
      <w:r>
        <w:t xml:space="preserve">6.3.4　生活仍在继续：普通城镇的日常图景</w:t>
      </w:r>
    </w:p>
    <w:p>
      <w:pPr>
        <w:pStyle w:val="FirstParagraph"/>
      </w:pPr>
      <w:r>
        <w:t xml:space="preserve">2072年多数人口仍然生活在普通城镇，而不是城市集群核心区或被遗忘地带。这是最普通的生活场景，也是最容易被叙事两极化所遮蔽的图景。</w:t>
      </w:r>
    </w:p>
    <w:p>
      <w:pPr>
        <w:pStyle w:val="BodyText"/>
      </w:pPr>
      <w:r>
        <w:t xml:space="preserve">早晨，供水仍然到达水龙头，电力仍然驱动照明和通讯，医院仍然接受预约，学校仍然开门。这些基础服务的持续运转，是城市基础设施折旧周期长于经济活动变化周期的直接结果——经济已经转型，管道还在，建筑还在，公共交通还在。</w:t>
      </w:r>
    </w:p>
    <w:p>
      <w:pPr>
        <w:pStyle w:val="BodyText"/>
      </w:pPr>
      <w:r>
        <w:t xml:space="preserve">街道的变化比经济数据显示的更缓慢。不少商铺关门了，但不少新的开了——餐饮、本地服务、手工艺、文创，填补了制造业和标准化服务被AI替代后留下的经济空间。BSC确保了基本消费能力的底线，本地服务业围绕这个真实需求自我维持。人口构成在变：年轻人比例下降，老年人比例上升，外来的慢速移民带来了不同的生活节奏和消费习惯，但社区的基本面貌没有因此断裂。</w:t>
      </w:r>
    </w:p>
    <w:p>
      <w:pPr>
        <w:pStyle w:val="BodyText"/>
      </w:pPr>
      <w:r>
        <w:t xml:space="preserve">稳定下来的内陆城市，在功能上越来越接近旧时代的博物馆——不是贬义，而是一个准确的定位。工厂遗址、老铁路站、20世纪建筑群，因缺乏开发动力而无意间得到保留，产生了真实的历史质感。这种历史质感，在城市集群里已经被更新换代抹去，在这里却成为吸引旅游者和慢速移民的文化资源。旅游城市在这个背景下是旧世界版图上的一抹新颜色——不是例外，而是同一机制的显化：当真实体验成为稀缺资源，有历史密度的城市就有了意义感经济里的比较优势。</w:t>
      </w:r>
    </w:p>
    <w:p>
      <w:pPr>
        <w:pStyle w:val="BodyText"/>
      </w:pPr>
      <w:r>
        <w:t xml:space="preserve">生活仍在继续。不是繁荣，不是凋零，而是在变化中持续的日常。</w:t>
      </w:r>
    </w:p>
    <w:bookmarkEnd w:id="361"/>
    <w:bookmarkEnd w:id="362"/>
    <w:bookmarkStart w:id="369" w:name="气候变化分化加速器20262072"/>
    <w:p>
      <w:pPr>
        <w:pStyle w:val="Heading2"/>
      </w:pPr>
      <w:r>
        <w:t xml:space="preserve">6.4　气候变化：分化加速器（2026—2072）</w:t>
      </w:r>
    </w:p>
    <w:p>
      <w:pPr>
        <w:pStyle w:val="FirstParagraph"/>
      </w:pPr>
      <w:r>
        <w:t xml:space="preserve">气候变化在2072年的世界不是文明的终结威胁，而是一个</w:t>
      </w:r>
      <w:r>
        <w:rPr>
          <w:bCs/>
          <w:b/>
        </w:rPr>
        <w:t xml:space="preserve">分化加速器</w:t>
      </w:r>
      <w:r>
        <w:t xml:space="preserve">：它扩大了有能力应对的国家与没有能力应对的国家之间的差距，强化了已有的社会分层逻辑，把部分地区更快地推向被遗忘地带，同时为政治动员提供了持续的素材。理解这个定位，需要先理解本世界观的三个内生缓冲条件：聚变商业化后（约2055年起）合成食品和海水淡化成本系统性下降，大幅中和了农业和水资源的气候压力；配给体系在约2052—2055年覆盖基本生存，为最底层人口提供了制度性物质底线；2072年全球均温较工业化前上升约1.5—1.8°C，对应本世界观的排放轨迹，属于中低情景而非极端情景。这三个条件叠加，使大规模、跨系统的气候人道主义崩溃在A1/A2/B1类国家范围内概率较低。</w:t>
      </w:r>
    </w:p>
    <w:p>
      <w:pPr>
        <w:pStyle w:val="BodyText"/>
      </w:pPr>
      <w:r>
        <w:t xml:space="preserve">然而这些缓冲大多在2055年前尚未到位。2027—2052年是真正意义上的</w:t>
      </w:r>
      <w:r>
        <w:rPr>
          <w:bCs/>
          <w:b/>
        </w:rPr>
        <w:t xml:space="preserve">气候裸露期</w:t>
      </w:r>
      <w:r>
        <w:t xml:space="preserve">：农业压力已经显现，合成食品尚未规模化，配给体系尚未建立，气候移民已经在路上。裸露期内气候冲击与AI就业冲击同步叠加，是制造业主导型C/B2类国家承压最重的历史阶段，也是气候议题在政治上最具动员能量的窗口。</w:t>
      </w:r>
    </w:p>
    <w:bookmarkStart w:id="363" w:name="热湿球温度边界与户外生存极限"/>
    <w:p>
      <w:pPr>
        <w:pStyle w:val="Heading3"/>
      </w:pPr>
      <w:r>
        <w:t xml:space="preserve">6.4.1　热：湿球温度边界与户外生存极限</w:t>
      </w:r>
    </w:p>
    <w:p>
      <w:pPr>
        <w:pStyle w:val="FirstParagraph"/>
      </w:pPr>
      <w:r>
        <w:t xml:space="preserve">气候变化对人体的最直接约束不是年均温度的变化，而是湿球温度峰值的上移。湿球温度整合了温度与湿度对人体散热能力的综合影响：35°C湿球温度是人类生理极限，在此条件下即使健康的年轻人静止六小时也面临死亡风险；32°C湿球温度是持续体力劳动的实际上限，超过这个阈值，大多数户外体力工作不再安全。</w:t>
      </w:r>
    </w:p>
    <w:p>
      <w:pPr>
        <w:pStyle w:val="BodyText"/>
      </w:pPr>
      <w:r>
        <w:t xml:space="preserve">在本世界观的排放轨迹下，约2050年南亚、波斯湾和红海沿岸在夏季特定时段已经出现湿球温度接近或达到35°C的天气事件；约2070年，中国东部、东南亚部分地区和巴西也进入这个区间。这不是极端异常，而是该地区夏季气候的常态性特征。</w:t>
      </w:r>
    </w:p>
    <w:p>
      <w:pPr>
        <w:pStyle w:val="BodyText"/>
      </w:pPr>
      <w:r>
        <w:rPr>
          <w:bCs/>
          <w:b/>
        </w:rPr>
        <w:t xml:space="preserve">对户外劳动制度的影响。</w:t>
      </w:r>
      <w:r>
        <w:t xml:space="preserve"> </w:t>
      </w:r>
      <w:r>
        <w:t xml:space="preserve">2072年热带和亚热带城市的建筑施工、道路维护、港口装卸、农业收割等户外工作，在夏季每天有约4—8小时的时段被列为高危区间，工人需要在该时段强制休息或转入室内作业。Muule等自主移动设备在这个背景下的价值不只是效率——在高湿热环境下，减少人员户外暴露本身就是一个安全设计目标。A1体系通过劳动安全立法规定户外高温作业限制；A2体系通过行政指令管理工作时间；E类被遗忘地带没有任何有效的执行机制，户外劳动者在生存压力下继续暴露，是气候相关超额死亡最集中的人群。</w:t>
      </w:r>
    </w:p>
    <w:p>
      <w:pPr>
        <w:pStyle w:val="BodyText"/>
      </w:pPr>
      <w:r>
        <w:rPr>
          <w:bCs/>
          <w:b/>
        </w:rPr>
        <w:t xml:space="preserve">建筑与城市规划的适应性响应。</w:t>
      </w:r>
      <w:r>
        <w:t xml:space="preserve"> </w:t>
      </w:r>
      <w:r>
        <w:t xml:space="preserve">2072年热带城市的新建建筑普遍采用强制遮阳、交叉通风和主动冷却设计，公共空间设有密集的降温站点。但城市存量建筑的改造速度慢于气候变化速度，低收入人口居住的旧建筑热环境持续恶化。城市内部因建筑质量形成的热暴露分层，是气候不平等最可见的空间表达。</w:t>
      </w:r>
    </w:p>
    <w:bookmarkEnd w:id="363"/>
    <w:bookmarkStart w:id="364" w:name="水冰川退缩与供水结构的阶段性变化"/>
    <w:p>
      <w:pPr>
        <w:pStyle w:val="Heading3"/>
      </w:pPr>
      <w:r>
        <w:t xml:space="preserve">6.4.2　水：冰川退缩与供水结构的阶段性变化</w:t>
      </w:r>
    </w:p>
    <w:p>
      <w:pPr>
        <w:pStyle w:val="FirstParagraph"/>
      </w:pPr>
      <w:r>
        <w:t xml:space="preserve">喜马拉雅-青藏高原冰川是恒河、印度河、湄公河、长江上游和黄河的季节性水源，影响约20亿人口的农业灌溉和城市供水。冰川退缩对径流的影响遵循一个确定的时序逻辑：在冰川大规模萎缩的过渡期，融水加速使夏季径流短期内反而增加；当冰川体量减小到临界点之后，夏季径流开始趋势性下降，季节性峰值消失，河流流量的年内分配被彻底重构。</w:t>
      </w:r>
    </w:p>
    <w:p>
      <w:pPr>
        <w:pStyle w:val="BodyText"/>
      </w:pPr>
      <w:r>
        <w:t xml:space="preserve">在本世界观的时间范围内（至2072年），恒河和印度河流域处于这个过渡的中段：冰川仍在退缩，融水增加的效应尚未完全转负，但夏末径流已经出现可测量的下降趋势，高海拔农业区的灌溉可靠性下降，局部地区山洪和冰川湖溃决（GLOF）事件频率上升。对南亚C类国家而言，这是真实的农业和供水压力，但尚未到达系统性崩溃的量级。</w:t>
      </w:r>
    </w:p>
    <w:p>
      <w:pPr>
        <w:pStyle w:val="BodyText"/>
      </w:pPr>
      <w:r>
        <w:t xml:space="preserve">聚变使大规模海水淡化在约2055年后具备经济可行性，为沿海城市的城市供水提供了替代路径。但管网铺设和分配体系的建设需要时间和国家能力，内陆农业区的灌溉水源不能被海水淡化直接替代。这意味着冰川退缩的水资源影响在地理上是不均匀的：沿海城市有技术出口，内陆农业区的脆弱性持续存在。</w:t>
      </w:r>
    </w:p>
    <w:bookmarkEnd w:id="364"/>
    <w:bookmarkStart w:id="365" w:name="粮食裸露期的农业压力与合成食品的接力"/>
    <w:p>
      <w:pPr>
        <w:pStyle w:val="Heading3"/>
      </w:pPr>
      <w:r>
        <w:t xml:space="preserve">6.4.3　粮食：裸露期的农业压力与合成食品的接力</w:t>
      </w:r>
    </w:p>
    <w:p>
      <w:pPr>
        <w:pStyle w:val="FirstParagraph"/>
      </w:pPr>
      <w:r>
        <w:t xml:space="preserve">气候变化对全球农业的影响在作物种类和地理分布上高度不均匀。玉米受热应激影响最大，产量在热带和亚热带主产区预计到2050年下降15—25%，美国中部、西非、巴西和中国华北的主产区都在受冲击范围内。小麦对CO₂浓度升高的响应相对正面，高纬度新可耕地的开放部分抵消了原有产区的减产，全球总量变化幅度较小，但地理重心北移。水稻在热带地区同样受高温胁迫影响，营养品质的下降早于产量的可测量减少。</w:t>
      </w:r>
    </w:p>
    <w:p>
      <w:pPr>
        <w:pStyle w:val="BodyText"/>
      </w:pPr>
      <w:r>
        <w:rPr>
          <w:bCs/>
          <w:b/>
        </w:rPr>
        <w:t xml:space="preserve">关键时序：裸露期与接力节点。</w:t>
      </w:r>
      <w:r>
        <w:t xml:space="preserve"> </w:t>
      </w:r>
      <w:r>
        <w:t xml:space="preserve">气候农业压力在2030年代已经显现，而合成食品的大规模商业化约在2050—2055年完成。这意味着有约二十年的窗口期，气候农业减产是真实压力，且缺乏技术替代。这个窗口期与AI就业冲击的裸露期高度重叠，两股压力对制造业主导型C/B2类经济体的叠加效应是动荡期最深层的物质来源之一。2055年之后，合成蛋白质和垂直农业在聚变廉价能源支撑下越过经济可行临界点，农业气候压力对基本热量供给的威胁系统性降低，但对依赖传统农业出口创汇的国家经济仍有持续影响。</w:t>
      </w:r>
    </w:p>
    <w:bookmarkEnd w:id="365"/>
    <w:bookmarkStart w:id="366" w:name="气候移民人口压力的地理重构与政治接口"/>
    <w:p>
      <w:pPr>
        <w:pStyle w:val="Heading3"/>
      </w:pPr>
      <w:r>
        <w:t xml:space="preserve">6.4.4　气候移民：人口压力的地理重构与政治接口</w:t>
      </w:r>
    </w:p>
    <w:p>
      <w:pPr>
        <w:pStyle w:val="FirstParagraph"/>
      </w:pPr>
      <w:r>
        <w:t xml:space="preserve">气候移民是本章节与社会政治框架连接最密切的机制。气候驱动的迁移不是单一原因的突发事件，而是多重慢变量叠加的累积过程：沿海低洼地的周期性洪水使居住成本上升直至不可持续；农业减产使农村收入下降到无法维持的水平；热浪使部分地区夏季数月内户外工作不可能；这些压力通常不单独触发大规模迁移，而是共同侵蚀一个地方对其居民的支撑能力，使迁移在某个时点从选择变为必须。</w:t>
      </w:r>
    </w:p>
    <w:p>
      <w:pPr>
        <w:pStyle w:val="BodyText"/>
      </w:pPr>
      <w:r>
        <w:rPr>
          <w:bCs/>
          <w:b/>
        </w:rPr>
        <w:t xml:space="preserve">规模与方向。</w:t>
      </w:r>
      <w:r>
        <w:t xml:space="preserve"> </w:t>
      </w:r>
      <w:r>
        <w:t xml:space="preserve">气候移民的数量估算差异极大，但方向确定：主要是从热带低洼沿海、干旱农业区和高热带地区向温带内陆和高纬度地区的净流动。在本世界观的排放轨迹和时间范围内，到2050年前的内部气候移民规模（在国家内部流动）估计在1—2亿量级，跨国移民规模较小但政治敏感性更高。2050—2072年，随着部分地区超过居住临界点，跨国迁移压力继续上升。</w:t>
      </w:r>
    </w:p>
    <w:p>
      <w:pPr>
        <w:pStyle w:val="BodyText"/>
      </w:pPr>
      <w:r>
        <w:rPr>
          <w:bCs/>
          <w:b/>
        </w:rPr>
        <w:t xml:space="preserve">与被遗忘地带的接口。</w:t>
      </w:r>
      <w:r>
        <w:t xml:space="preserve"> </w:t>
      </w:r>
      <w:r>
        <w:t xml:space="preserve">气候移民的主要来源地与被遗忘地带高度重叠：萨赫勒地带、孟加拉国三角洲、太平洋岛国、也门和索马里沿海，这些地区同时具有最高的气候暴露度和最低的国家应对能力。气候压力加速了这些地区向被遗忘状态的滑落——不是单独制造新的类别，而是使已有的边缘化进程提速。离开是理性选择，留下是被迫，这与经济动因驱动的流动逻辑相同，但气候移民的不可逆性更强：淹没的土地不会复原，退化的农业生态系统恢复需要数十年。</w:t>
      </w:r>
    </w:p>
    <w:p>
      <w:pPr>
        <w:pStyle w:val="BodyText"/>
      </w:pPr>
      <w:r>
        <w:rPr>
          <w:bCs/>
          <w:b/>
        </w:rPr>
        <w:t xml:space="preserve">与政治动员的接口。</w:t>
      </w:r>
      <w:r>
        <w:t xml:space="preserve"> </w:t>
      </w:r>
      <w:r>
        <w:t xml:space="preserve">气候移民进入目的地社会时触发的政治反应，比移民本身在数量上更具全局意义。大规模气候移民潮——无论是内部流动还是跨国——为目的地社会的右翼民粹动员提供了文化和资源竞争叙事的素材，同时也激活了左翼关于全球气候责任分配不公的政治诉求（见7.2.2、7.2.3节）。这个政治效应与移民的实际规模不成比例：即使数量有限的可见移民潮，其政治放大效应也远超其物质影响。</w:t>
      </w:r>
    </w:p>
    <w:bookmarkEnd w:id="366"/>
    <w:bookmarkStart w:id="367" w:name="沿海城市两种应对路径"/>
    <w:p>
      <w:pPr>
        <w:pStyle w:val="Heading3"/>
      </w:pPr>
      <w:r>
        <w:t xml:space="preserve">6.4.5　沿海城市：两种应对路径</w:t>
      </w:r>
    </w:p>
    <w:p>
      <w:pPr>
        <w:pStyle w:val="FirstParagraph"/>
      </w:pPr>
      <w:r>
        <w:t xml:space="preserve">沿海城市是气候变化影响最集中、最具象的地理载体。6.4.1—6.4.5节描述的热、水、粮食和移民压力，在沿海城市中以最直接的形式同时叠加：海平面上升和风暴潮频率增加直接威胁建成区，地面沉降与海平面上升相互叠加使实际风险远超全球平均数字，部分城市在2072年已面临结构性的物理存续问题。</w:t>
      </w:r>
    </w:p>
    <w:p>
      <w:pPr>
        <w:pStyle w:val="BodyText"/>
      </w:pPr>
      <w:r>
        <w:t xml:space="preserve">应对路径的分化，不由威胁量级单独决定，而由”威胁量级×城市经济价值×国家工程能力×政治意志”的组合决定。相同量级的海平面上升，在荷兰是一道工程问题，在东南亚三角洲城市或多孔石灰岩地基的城市，则是低洼区逐步退出、城市重心向高地渐移的起点。这个分化使沿海城市在2072年呈现两条应对路径：工程保全、重心渐移。</w:t>
      </w:r>
    </w:p>
    <w:p>
      <w:pPr>
        <w:pStyle w:val="BodyText"/>
      </w:pPr>
      <w:r>
        <w:rPr>
          <w:bCs/>
          <w:b/>
        </w:rPr>
        <w:t xml:space="preserve">基础参数。</w:t>
      </w:r>
      <w:r>
        <w:t xml:space="preserve"> </w:t>
      </w:r>
      <w:r>
        <w:t xml:space="preserve">2072年全球平均海平面相对2026年上升约0.3—0.5米（中位数约0.4米）。各城市面临的实际相对上升因地面沉降差异极大，构成下表：</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城市</w:t>
            </w:r>
          </w:p>
        </w:tc>
        <w:tc>
          <w:tcPr/>
          <w:p>
            <w:pPr>
              <w:pStyle w:val="Compact"/>
              <w:jc w:val="left"/>
            </w:pPr>
            <w:r>
              <w:t xml:space="preserve">全球平均上升</w:t>
            </w:r>
          </w:p>
        </w:tc>
        <w:tc>
          <w:tcPr/>
          <w:p>
            <w:pPr>
              <w:pStyle w:val="Compact"/>
              <w:jc w:val="left"/>
            </w:pPr>
            <w:r>
              <w:t xml:space="preserve">年均地面沉降</w:t>
            </w:r>
          </w:p>
        </w:tc>
        <w:tc>
          <w:tcPr/>
          <w:p>
            <w:pPr>
              <w:pStyle w:val="Compact"/>
              <w:jc w:val="left"/>
            </w:pPr>
            <w:r>
              <w:t xml:space="preserve">2072年相对上升</w:t>
            </w:r>
          </w:p>
        </w:tc>
        <w:tc>
          <w:tcPr/>
          <w:p>
            <w:pPr>
              <w:pStyle w:val="Compact"/>
              <w:jc w:val="left"/>
            </w:pPr>
            <w:r>
              <w:t xml:space="preserve">城区平均海拔</w:t>
            </w:r>
          </w:p>
        </w:tc>
        <w:tc>
          <w:tcPr/>
          <w:p>
            <w:pPr>
              <w:pStyle w:val="Compact"/>
              <w:jc w:val="left"/>
            </w:pPr>
            <w:r>
              <w:t xml:space="preserve">形势评级</w:t>
            </w:r>
          </w:p>
        </w:tc>
      </w:tr>
      <w:tr>
        <w:tc>
          <w:tcPr/>
          <w:p>
            <w:pPr>
              <w:pStyle w:val="Compact"/>
              <w:jc w:val="left"/>
            </w:pPr>
            <w:r>
              <w:t xml:space="preserve">雅加达</w:t>
            </w:r>
          </w:p>
        </w:tc>
        <w:tc>
          <w:tcPr/>
          <w:p>
            <w:pPr>
              <w:pStyle w:val="Compact"/>
              <w:jc w:val="left"/>
            </w:pPr>
            <w:r>
              <w:t xml:space="preserve">+0.4m</w:t>
            </w:r>
          </w:p>
        </w:tc>
        <w:tc>
          <w:tcPr/>
          <w:p>
            <w:pPr>
              <w:pStyle w:val="Compact"/>
              <w:jc w:val="left"/>
            </w:pPr>
            <w:r>
              <w:t xml:space="preserve">+15—25cm/年</w:t>
            </w:r>
          </w:p>
        </w:tc>
        <w:tc>
          <w:tcPr/>
          <w:p>
            <w:pPr>
              <w:pStyle w:val="Compact"/>
              <w:jc w:val="left"/>
            </w:pPr>
            <w:r>
              <w:t xml:space="preserve">+8—12m</w:t>
            </w:r>
          </w:p>
        </w:tc>
        <w:tc>
          <w:tcPr/>
          <w:p>
            <w:pPr>
              <w:pStyle w:val="Compact"/>
              <w:jc w:val="left"/>
            </w:pPr>
            <w:r>
              <w:t xml:space="preserve">0—8m</w:t>
            </w:r>
          </w:p>
        </w:tc>
        <w:tc>
          <w:tcPr/>
          <w:p>
            <w:pPr>
              <w:pStyle w:val="Compact"/>
              <w:jc w:val="left"/>
            </w:pPr>
            <w:r>
              <w:t xml:space="preserve">重心渐移（向周边高地）</w:t>
            </w:r>
          </w:p>
        </w:tc>
      </w:tr>
      <w:tr>
        <w:tc>
          <w:tcPr/>
          <w:p>
            <w:pPr>
              <w:pStyle w:val="Compact"/>
              <w:jc w:val="left"/>
            </w:pPr>
            <w:r>
              <w:t xml:space="preserve">曼谷</w:t>
            </w:r>
          </w:p>
        </w:tc>
        <w:tc>
          <w:tcPr/>
          <w:p>
            <w:pPr>
              <w:pStyle w:val="Compact"/>
              <w:jc w:val="left"/>
            </w:pPr>
            <w:r>
              <w:t xml:space="preserve">+0.4m</w:t>
            </w:r>
          </w:p>
        </w:tc>
        <w:tc>
          <w:tcPr/>
          <w:p>
            <w:pPr>
              <w:pStyle w:val="Compact"/>
              <w:jc w:val="left"/>
            </w:pPr>
            <w:r>
              <w:t xml:space="preserve">+2—5cm/年</w:t>
            </w:r>
          </w:p>
        </w:tc>
        <w:tc>
          <w:tcPr/>
          <w:p>
            <w:pPr>
              <w:pStyle w:val="Compact"/>
              <w:jc w:val="left"/>
            </w:pPr>
            <w:r>
              <w:t xml:space="preserve">+1.4—3m</w:t>
            </w:r>
          </w:p>
        </w:tc>
        <w:tc>
          <w:tcPr/>
          <w:p>
            <w:pPr>
              <w:pStyle w:val="Compact"/>
              <w:jc w:val="left"/>
            </w:pPr>
            <w:r>
              <w:t xml:space="preserve">0.5—1.5m</w:t>
            </w:r>
          </w:p>
        </w:tc>
        <w:tc>
          <w:tcPr/>
          <w:p>
            <w:pPr>
              <w:pStyle w:val="Compact"/>
              <w:jc w:val="left"/>
            </w:pPr>
            <w:r>
              <w:t xml:space="preserve">重心渐移（向北部高地）</w:t>
            </w:r>
          </w:p>
        </w:tc>
      </w:tr>
      <w:tr>
        <w:tc>
          <w:tcPr/>
          <w:p>
            <w:pPr>
              <w:pStyle w:val="Compact"/>
              <w:jc w:val="left"/>
            </w:pPr>
            <w:r>
              <w:t xml:space="preserve">胡志明市</w:t>
            </w:r>
          </w:p>
        </w:tc>
        <w:tc>
          <w:tcPr/>
          <w:p>
            <w:pPr>
              <w:pStyle w:val="Compact"/>
              <w:jc w:val="left"/>
            </w:pPr>
            <w:r>
              <w:t xml:space="preserve">+0.4m</w:t>
            </w:r>
          </w:p>
        </w:tc>
        <w:tc>
          <w:tcPr/>
          <w:p>
            <w:pPr>
              <w:pStyle w:val="Compact"/>
              <w:jc w:val="left"/>
            </w:pPr>
            <w:r>
              <w:t xml:space="preserve">+2—4cm/年</w:t>
            </w:r>
          </w:p>
        </w:tc>
        <w:tc>
          <w:tcPr/>
          <w:p>
            <w:pPr>
              <w:pStyle w:val="Compact"/>
              <w:jc w:val="left"/>
            </w:pPr>
            <w:r>
              <w:t xml:space="preserve">+1.4—2.5m</w:t>
            </w:r>
          </w:p>
        </w:tc>
        <w:tc>
          <w:tcPr/>
          <w:p>
            <w:pPr>
              <w:pStyle w:val="Compact"/>
              <w:jc w:val="left"/>
            </w:pPr>
            <w:r>
              <w:t xml:space="preserve">0.5—2m</w:t>
            </w:r>
          </w:p>
        </w:tc>
        <w:tc>
          <w:tcPr/>
          <w:p>
            <w:pPr>
              <w:pStyle w:val="Compact"/>
              <w:jc w:val="left"/>
            </w:pPr>
            <w:r>
              <w:t xml:space="preserve">重心渐移</w:t>
            </w:r>
          </w:p>
        </w:tc>
      </w:tr>
      <w:tr>
        <w:tc>
          <w:tcPr/>
          <w:p>
            <w:pPr>
              <w:pStyle w:val="Compact"/>
              <w:jc w:val="left"/>
            </w:pPr>
            <w:r>
              <w:t xml:space="preserve">上海</w:t>
            </w:r>
          </w:p>
        </w:tc>
        <w:tc>
          <w:tcPr/>
          <w:p>
            <w:pPr>
              <w:pStyle w:val="Compact"/>
              <w:jc w:val="left"/>
            </w:pPr>
            <w:r>
              <w:t xml:space="preserve">+0.4m</w:t>
            </w:r>
          </w:p>
        </w:tc>
        <w:tc>
          <w:tcPr/>
          <w:p>
            <w:pPr>
              <w:pStyle w:val="Compact"/>
              <w:jc w:val="left"/>
            </w:pPr>
            <w:r>
              <w:t xml:space="preserve">+1—2cm/年</w:t>
            </w:r>
          </w:p>
        </w:tc>
        <w:tc>
          <w:tcPr/>
          <w:p>
            <w:pPr>
              <w:pStyle w:val="Compact"/>
              <w:jc w:val="left"/>
            </w:pPr>
            <w:r>
              <w:t xml:space="preserve">+0.9—1.5m</w:t>
            </w:r>
          </w:p>
        </w:tc>
        <w:tc>
          <w:tcPr/>
          <w:p>
            <w:pPr>
              <w:pStyle w:val="Compact"/>
              <w:jc w:val="left"/>
            </w:pPr>
            <w:r>
              <w:t xml:space="preserve">2—4m</w:t>
            </w:r>
          </w:p>
        </w:tc>
        <w:tc>
          <w:tcPr/>
          <w:p>
            <w:pPr>
              <w:pStyle w:val="Compact"/>
              <w:jc w:val="left"/>
            </w:pPr>
            <w:r>
              <w:t xml:space="preserve">工程保全</w:t>
            </w:r>
          </w:p>
        </w:tc>
      </w:tr>
      <w:tr>
        <w:tc>
          <w:tcPr/>
          <w:p>
            <w:pPr>
              <w:pStyle w:val="Compact"/>
              <w:jc w:val="left"/>
            </w:pPr>
            <w:r>
              <w:t xml:space="preserve">迈阿密</w:t>
            </w:r>
          </w:p>
        </w:tc>
        <w:tc>
          <w:tcPr/>
          <w:p>
            <w:pPr>
              <w:pStyle w:val="Compact"/>
              <w:jc w:val="left"/>
            </w:pPr>
            <w:r>
              <w:t xml:space="preserve">+0.4m</w:t>
            </w:r>
          </w:p>
        </w:tc>
        <w:tc>
          <w:tcPr/>
          <w:p>
            <w:pPr>
              <w:pStyle w:val="Compact"/>
              <w:jc w:val="left"/>
            </w:pPr>
            <w:r>
              <w:t xml:space="preserve">接近零</w:t>
            </w:r>
          </w:p>
        </w:tc>
        <w:tc>
          <w:tcPr/>
          <w:p>
            <w:pPr>
              <w:pStyle w:val="Compact"/>
              <w:jc w:val="left"/>
            </w:pPr>
            <w:r>
              <w:t xml:space="preserve">+0.4—0.5m</w:t>
            </w:r>
          </w:p>
        </w:tc>
        <w:tc>
          <w:tcPr/>
          <w:p>
            <w:pPr>
              <w:pStyle w:val="Compact"/>
              <w:jc w:val="left"/>
            </w:pPr>
            <w:r>
              <w:t xml:space="preserve">0.9—2m</w:t>
            </w:r>
          </w:p>
        </w:tc>
        <w:tc>
          <w:tcPr/>
          <w:p>
            <w:pPr>
              <w:pStyle w:val="Compact"/>
              <w:jc w:val="left"/>
            </w:pPr>
            <w:r>
              <w:t xml:space="preserve">重心渐移（向内陆高地）</w:t>
            </w:r>
          </w:p>
        </w:tc>
      </w:tr>
      <w:tr>
        <w:tc>
          <w:tcPr/>
          <w:p>
            <w:pPr>
              <w:pStyle w:val="Compact"/>
              <w:jc w:val="left"/>
            </w:pPr>
            <w:r>
              <w:t xml:space="preserve">孟买</w:t>
            </w:r>
          </w:p>
        </w:tc>
        <w:tc>
          <w:tcPr/>
          <w:p>
            <w:pPr>
              <w:pStyle w:val="Compact"/>
              <w:jc w:val="left"/>
            </w:pPr>
            <w:r>
              <w:t xml:space="preserve">+0.4m</w:t>
            </w:r>
          </w:p>
        </w:tc>
        <w:tc>
          <w:tcPr/>
          <w:p>
            <w:pPr>
              <w:pStyle w:val="Compact"/>
              <w:jc w:val="left"/>
            </w:pPr>
            <w:r>
              <w:t xml:space="preserve">+0.5cm/年</w:t>
            </w:r>
          </w:p>
        </w:tc>
        <w:tc>
          <w:tcPr/>
          <w:p>
            <w:pPr>
              <w:pStyle w:val="Compact"/>
              <w:jc w:val="left"/>
            </w:pPr>
            <w:r>
              <w:t xml:space="preserve">+0.65m</w:t>
            </w:r>
          </w:p>
        </w:tc>
        <w:tc>
          <w:tcPr/>
          <w:p>
            <w:pPr>
              <w:pStyle w:val="Compact"/>
              <w:jc w:val="left"/>
            </w:pPr>
            <w:r>
              <w:t xml:space="preserve">8—11m</w:t>
            </w:r>
          </w:p>
        </w:tc>
        <w:tc>
          <w:tcPr/>
          <w:p>
            <w:pPr>
              <w:pStyle w:val="Compact"/>
              <w:jc w:val="left"/>
            </w:pPr>
            <w:r>
              <w:t xml:space="preserve">重心渐移（低洼区退出）</w:t>
            </w:r>
          </w:p>
        </w:tc>
      </w:tr>
      <w:tr>
        <w:tc>
          <w:tcPr/>
          <w:p>
            <w:pPr>
              <w:pStyle w:val="Compact"/>
              <w:jc w:val="left"/>
            </w:pPr>
            <w:r>
              <w:t xml:space="preserve">纽约</w:t>
            </w:r>
          </w:p>
        </w:tc>
        <w:tc>
          <w:tcPr/>
          <w:p>
            <w:pPr>
              <w:pStyle w:val="Compact"/>
              <w:jc w:val="left"/>
            </w:pPr>
            <w:r>
              <w:t xml:space="preserve">+0.5m</w:t>
            </w:r>
          </w:p>
        </w:tc>
        <w:tc>
          <w:tcPr/>
          <w:p>
            <w:pPr>
              <w:pStyle w:val="Compact"/>
              <w:jc w:val="left"/>
            </w:pPr>
            <w:r>
              <w:t xml:space="preserve">+0.1—0.2cm/年</w:t>
            </w:r>
          </w:p>
        </w:tc>
        <w:tc>
          <w:tcPr/>
          <w:p>
            <w:pPr>
              <w:pStyle w:val="Compact"/>
              <w:jc w:val="left"/>
            </w:pPr>
            <w:r>
              <w:t xml:space="preserve">+0.5—0.6m</w:t>
            </w:r>
          </w:p>
        </w:tc>
        <w:tc>
          <w:tcPr/>
          <w:p>
            <w:pPr>
              <w:pStyle w:val="Compact"/>
              <w:jc w:val="left"/>
            </w:pPr>
            <w:r>
              <w:t xml:space="preserve">低洼区0—2m</w:t>
            </w:r>
          </w:p>
        </w:tc>
        <w:tc>
          <w:tcPr/>
          <w:p>
            <w:pPr>
              <w:pStyle w:val="Compact"/>
              <w:jc w:val="left"/>
            </w:pPr>
            <w:r>
              <w:t xml:space="preserve">工程保全（核心区）+重心渐移（外围）</w:t>
            </w:r>
          </w:p>
        </w:tc>
      </w:tr>
      <w:tr>
        <w:tc>
          <w:tcPr/>
          <w:p>
            <w:pPr>
              <w:pStyle w:val="Compact"/>
              <w:jc w:val="left"/>
            </w:pPr>
            <w:r>
              <w:t xml:space="preserve">鹿特丹</w:t>
            </w:r>
          </w:p>
        </w:tc>
        <w:tc>
          <w:tcPr/>
          <w:p>
            <w:pPr>
              <w:pStyle w:val="Compact"/>
              <w:jc w:val="left"/>
            </w:pPr>
            <w:r>
              <w:t xml:space="preserve">+0.4m</w:t>
            </w:r>
          </w:p>
        </w:tc>
        <w:tc>
          <w:tcPr/>
          <w:p>
            <w:pPr>
              <w:pStyle w:val="Compact"/>
              <w:jc w:val="left"/>
            </w:pPr>
            <w:r>
              <w:t xml:space="preserve">+0.2cm/年</w:t>
            </w:r>
          </w:p>
        </w:tc>
        <w:tc>
          <w:tcPr/>
          <w:p>
            <w:pPr>
              <w:pStyle w:val="Compact"/>
              <w:jc w:val="left"/>
            </w:pPr>
            <w:r>
              <w:t xml:space="preserve">+0.5m</w:t>
            </w:r>
          </w:p>
        </w:tc>
        <w:tc>
          <w:tcPr/>
          <w:p>
            <w:pPr>
              <w:pStyle w:val="Compact"/>
              <w:jc w:val="left"/>
            </w:pPr>
            <w:r>
              <w:t xml:space="preserve">部分低于海平面</w:t>
            </w:r>
          </w:p>
        </w:tc>
        <w:tc>
          <w:tcPr/>
          <w:p>
            <w:pPr>
              <w:pStyle w:val="Compact"/>
              <w:jc w:val="left"/>
            </w:pPr>
            <w:r>
              <w:t xml:space="preserve">工程保全（成熟）</w:t>
            </w:r>
          </w:p>
        </w:tc>
      </w:tr>
      <w:tr>
        <w:tc>
          <w:tcPr/>
          <w:p>
            <w:pPr>
              <w:pStyle w:val="Compact"/>
              <w:jc w:val="left"/>
            </w:pPr>
            <w:r>
              <w:t xml:space="preserve">伦敦</w:t>
            </w:r>
          </w:p>
        </w:tc>
        <w:tc>
          <w:tcPr/>
          <w:p>
            <w:pPr>
              <w:pStyle w:val="Compact"/>
              <w:jc w:val="left"/>
            </w:pPr>
            <w:r>
              <w:t xml:space="preserve">+0.4m</w:t>
            </w:r>
          </w:p>
        </w:tc>
        <w:tc>
          <w:tcPr/>
          <w:p>
            <w:pPr>
              <w:pStyle w:val="Compact"/>
              <w:jc w:val="left"/>
            </w:pPr>
            <w:r>
              <w:t xml:space="preserve">+0.1cm/年</w:t>
            </w:r>
          </w:p>
        </w:tc>
        <w:tc>
          <w:tcPr/>
          <w:p>
            <w:pPr>
              <w:pStyle w:val="Compact"/>
              <w:jc w:val="left"/>
            </w:pPr>
            <w:r>
              <w:t xml:space="preserve">+0.45m</w:t>
            </w:r>
          </w:p>
        </w:tc>
        <w:tc>
          <w:tcPr/>
          <w:p>
            <w:pPr>
              <w:pStyle w:val="Compact"/>
              <w:jc w:val="left"/>
            </w:pPr>
            <w:r>
              <w:t xml:space="preserve">5—15m</w:t>
            </w:r>
          </w:p>
        </w:tc>
        <w:tc>
          <w:tcPr/>
          <w:p>
            <w:pPr>
              <w:pStyle w:val="Compact"/>
              <w:jc w:val="left"/>
            </w:pPr>
            <w:r>
              <w:t xml:space="preserve">工程保全</w:t>
            </w:r>
          </w:p>
        </w:tc>
      </w:tr>
      <w:tr>
        <w:tc>
          <w:tcPr/>
          <w:p>
            <w:pPr>
              <w:pStyle w:val="Compact"/>
              <w:jc w:val="left"/>
            </w:pPr>
            <w:r>
              <w:t xml:space="preserve">东京</w:t>
            </w:r>
          </w:p>
        </w:tc>
        <w:tc>
          <w:tcPr/>
          <w:p>
            <w:pPr>
              <w:pStyle w:val="Compact"/>
              <w:jc w:val="left"/>
            </w:pPr>
            <w:r>
              <w:t xml:space="preserve">+0.4m</w:t>
            </w:r>
          </w:p>
        </w:tc>
        <w:tc>
          <w:tcPr/>
          <w:p>
            <w:pPr>
              <w:pStyle w:val="Compact"/>
              <w:jc w:val="left"/>
            </w:pPr>
            <w:r>
              <w:t xml:space="preserve">+0.1cm/年</w:t>
            </w:r>
          </w:p>
        </w:tc>
        <w:tc>
          <w:tcPr/>
          <w:p>
            <w:pPr>
              <w:pStyle w:val="Compact"/>
              <w:jc w:val="left"/>
            </w:pPr>
            <w:r>
              <w:t xml:space="preserve">+0.45m</w:t>
            </w:r>
          </w:p>
        </w:tc>
        <w:tc>
          <w:tcPr/>
          <w:p>
            <w:pPr>
              <w:pStyle w:val="Compact"/>
              <w:jc w:val="left"/>
            </w:pPr>
            <w:r>
              <w:t xml:space="preserve">局部低洼</w:t>
            </w:r>
          </w:p>
        </w:tc>
        <w:tc>
          <w:tcPr/>
          <w:p>
            <w:pPr>
              <w:pStyle w:val="Compact"/>
              <w:jc w:val="left"/>
            </w:pPr>
            <w:r>
              <w:t xml:space="preserve">局部防护</w:t>
            </w:r>
          </w:p>
        </w:tc>
      </w:tr>
    </w:tbl>
    <w:p>
      <w:pPr>
        <w:pStyle w:val="BodyText"/>
      </w:pPr>
      <w:r>
        <w:rPr>
          <w:bCs/>
          <w:b/>
        </w:rPr>
        <w:t xml:space="preserve">路径一：工程保全。</w:t>
      </w:r>
      <w:r>
        <w:t xml:space="preserve"> </w:t>
      </w:r>
      <w:r>
        <w:t xml:space="preserve">适用于威胁量级可工程化应对、国家能力充足、城市经济价值支撑长期投入的情形。核心工具组合为防波堤系统（封闭河口和海湾的大型闸门，控制风暴潮）、逆沉降工程（地下水回灌，恢复含水层压力使地面稳定或小幅回升）、以及核心区地面填高（新建建筑桩基标准提升）。</w:t>
      </w:r>
    </w:p>
    <w:p>
      <w:pPr>
        <w:pStyle w:val="BodyText"/>
      </w:pPr>
      <w:r>
        <w:t xml:space="preserve">逆沉降工程在聚变时代获得了新的经济可行性：地下水回灌的最大成本瓶颈是海水淡化和泵送的能源消耗，聚变使这个成本趋近于零。AI精确监测地下含水层压力和地面高程变化，使回灌量的精确控制成为可能，避免历史上回灌工程的最主要技术风险（局部压力过高导致不均匀隆起）。上海有地下水回灌的历史经验（1965年起实施，使年沉降从1—2厘米降至约0.2厘米），2072年的版本在规模和精度上都远超这个起点。荷兰是工程保全模式的极致——2000年的治水经验叠加聚变后的低能源成本，使鹿特丹和阿姆斯特丹的防护成本相对于其经济规模处于可持续区间，城市形态基本维持，但闸门运行从偶发性应急变为日常运营。</w:t>
      </w:r>
    </w:p>
    <w:p>
      <w:pPr>
        <w:pStyle w:val="BodyText"/>
      </w:pPr>
      <w:r>
        <w:rPr>
          <w:bCs/>
          <w:b/>
        </w:rPr>
        <w:t xml:space="preserve">路径二：重心渐移。</w:t>
      </w:r>
      <w:r>
        <w:t xml:space="preserve"> </w:t>
      </w:r>
      <w:r>
        <w:t xml:space="preserve">全城工程保全代价超过国家能力或城市经济价值上限时，城市通过另一条路径延续：低洼区在持续的洪水风险和上升的保险与维护成本下，逐渐失去投资吸引力；居民和资本自然向地势更高的方向积累；城市重心在数十年的渐变中完成迁移。这不是规划主导的整体搬迁，而是由个体和市场决策累积驱动的方向性漂移——政府规划可以引导节奏，但不是主导力量。城市整体规模不因此缩减，低洼区退出的速度通常慢于高地新区的成长速度。</w:t>
      </w:r>
    </w:p>
    <w:p>
      <w:pPr>
        <w:pStyle w:val="BodyText"/>
      </w:pPr>
      <w:r>
        <w:t xml:space="preserve">曼谷是典型案例：湄南河冲积平原的历史核心区（平均海拔低于1米）随周期性洪水频率上升，维护成本持续走高，投资和人口向北部和东北部海拔5米以上地带自然积累，交通基础设施建设随之向高地倾斜。雅加达的地面沉降量级更大，城市重心向周边高地方向的漂移速度更快、距离更远。迈阿密的石灰岩地质使工程保全无效——防波堤无法阻止海水从地下渗入，逆沉降工程对多孔地质结构同样无效——居住人口和投资向内陆西北方向海拔3—8米的高地自然积累，海滩区在高潮时定期被淹后逐步失去商业和居住价值。三个城市的机制相同，差别只在于威胁量级决定了漂移的速度与距离。</w:t>
      </w:r>
    </w:p>
    <w:p>
      <w:pPr>
        <w:pStyle w:val="BodyText"/>
      </w:pPr>
      <w:r>
        <w:rPr>
          <w:bCs/>
          <w:b/>
        </w:rPr>
        <w:t xml:space="preserve">工程能力作为国家能力指标。</w:t>
      </w:r>
      <w:r>
        <w:t xml:space="preserve"> </w:t>
      </w:r>
      <w:r>
        <w:t xml:space="preserve">城市在两条路径之间的分布，由”威胁量级×城市经济价值×国家工程能力×政治意志”的组合决定。荷兰、中国、日本、英国——有工程传统、资本或政治意志的国家——其沿海城市基本在工程保全路径上。东南亚、南亚和受地质条件制约的城市走向重心渐移路径，漂移的速度与距离因威胁量级而异。这个分布本身是国家能力在2072年的一个具体地理表达：谁的城市还在原地，谁的城市重心已经悄然向高地移动。</w:t>
      </w:r>
    </w:p>
    <w:bookmarkEnd w:id="367"/>
    <w:bookmarkStart w:id="368" w:name="气候变化与被遗忘地带两种放弃机制的叠加"/>
    <w:p>
      <w:pPr>
        <w:pStyle w:val="Heading3"/>
      </w:pPr>
      <w:r>
        <w:t xml:space="preserve">6.4.6　气候变化与被遗忘地带：两种放弃机制的叠加</w:t>
      </w:r>
    </w:p>
    <w:p>
      <w:pPr>
        <w:pStyle w:val="FirstParagraph"/>
      </w:pPr>
      <w:r>
        <w:t xml:space="preserve">被气候放弃的城市（沿海低洼）与被经济放弃的城市（内陆无高铁走廊、无工业基础）在地理上不重叠，但在多态社会的梯队结构里具有相同的社会含义：曾经存在的地方，正在成为废墟或空城。两种机制的叠加使被遗忘地带的地理范围比单一因素预测的更大——部分地区同时面临气候压力和经济边缘化，脆弱性相互强化。</w:t>
      </w:r>
    </w:p>
    <w:p>
      <w:pPr>
        <w:pStyle w:val="BodyText"/>
      </w:pPr>
      <w:r>
        <w:t xml:space="preserve">气候压力对被遗忘地带的最深层影响，不是哪场灾难，而是对这些地区</w:t>
      </w:r>
      <w:r>
        <w:rPr>
          <w:bCs/>
          <w:b/>
        </w:rPr>
        <w:t xml:space="preserve">继续在这里值得吗</w:t>
      </w:r>
      <w:r>
        <w:t xml:space="preserve">这个集体判断的持续侵蚀。当一个海岛或三角洲低地的年轻人看到周期性洪水越来越频繁、农业越来越不可靠、政府支持越来越稀薄，离开不需要一个单一的灾难性触发事件——它在日常的合理性计算中就已经完成了。留下的人口逐渐老化，基础设施进入无人维护的退化螺旋，直到某一时点被遗忘地带完成从”正在衰退”到”已经放弃”的过渡。气候变化加速了这个过渡的速度，缩短了这些地方的剩余时间。</w:t>
      </w:r>
    </w:p>
    <w:p>
      <w:pPr>
        <w:pStyle w:val="BodyText"/>
      </w:pPr>
      <w:r>
        <w:rPr>
          <w:bCs/>
          <w:b/>
        </w:rPr>
        <w:t xml:space="preserve">关于地球工程的世界观设定说明。</w:t>
      </w:r>
      <w:r>
        <w:t xml:space="preserve"> </w:t>
      </w:r>
      <w:r>
        <w:t xml:space="preserve">平流层气溶胶注射（SAI）等主动地球工程方案在技术上是可行的，其地缘政治争议性极高（谁决定实施、副作用由谁承担、对全球降水分布的影响存在不确定性）。在本世界观中，SAI在2072年尚未被任何主要国家或国际机构正式实施，处于持续争议和小规模实验阶段。这个设定的依据是：在A1与A2体系深度对立的框架下，任何单边地球工程行动都会被视为对他方的潜在威胁，多边协商的成本极高，而聚变的到来使紧迫性论证在2044年后系统性减弱。地球工程因此成为2026—2044年动荡期的政治议题，但不成为已实施的事实。</w:t>
      </w:r>
    </w:p>
    <w:bookmarkEnd w:id="368"/>
    <w:bookmarkEnd w:id="369"/>
    <w:bookmarkStart w:id="374" w:name="人类活动的地球印记"/>
    <w:p>
      <w:pPr>
        <w:pStyle w:val="Heading2"/>
      </w:pPr>
      <w:r>
        <w:t xml:space="preserve">6.5　人类活动的地球印记</w:t>
      </w:r>
    </w:p>
    <w:p>
      <w:pPr>
        <w:pStyle w:val="FirstParagraph"/>
      </w:pPr>
      <w:r>
        <w:t xml:space="preserve">人类对地球物质系统的改变不只通过气候变化发生。采矿、砍伐、捕捞、污染、废弃居民点——这些活动直接重塑地表形态、生态系统结构和物质循环，在2072年仍以各自的逻辑延续，部分在加速，部分在减缓，但几乎没有完全停止。</w:t>
      </w:r>
    </w:p>
    <w:p>
      <w:pPr>
        <w:pStyle w:val="BodyText"/>
      </w:pPr>
      <w:r>
        <w:t xml:space="preserve">驱动这些活动的逻辑有两个：经济利益和环保压力。两者在不同地区、不同活动类型上的相对权重截然不同，构成了2072年人类物质足迹的分化图景。聚变改变了这个方程的部分参数——能源成本的大幅下降既能使某些破坏性活动扩大规模，也能为修复技术提供动力；但不同地区接入成本差异极大，核心电网覆盖区与被遗忘地带之间的落差使这个参数在全球层面分布极不均匀。同时，聚变改变不了政治阻力的地域分布：环保立法的执行能力与意愿，依然与路径类型高度对应。</w:t>
      </w:r>
    </w:p>
    <w:bookmarkStart w:id="370" w:name="资源开采陆上采矿砍伐与捕捞"/>
    <w:p>
      <w:pPr>
        <w:pStyle w:val="Heading3"/>
      </w:pPr>
      <w:r>
        <w:t xml:space="preserve">6.5.1　资源开采：陆上采矿、砍伐与捕捞</w:t>
      </w:r>
    </w:p>
    <w:p>
      <w:pPr>
        <w:pStyle w:val="FirstParagraph"/>
      </w:pPr>
      <w:r>
        <w:rPr>
          <w:bCs/>
          <w:b/>
        </w:rPr>
        <w:t xml:space="preserve">陆上采矿。</w:t>
      </w:r>
      <w:r>
        <w:t xml:space="preserve"> </w:t>
      </w:r>
      <w:r>
        <w:t xml:space="preserve">地面采矿的环境破坏是高度局部化的——山体剥离、尾矿库渗漏、重金属污染集中于矿区及其下游流域。这种局部性使政治阻力的分布极为不均：在A1/B1类路径，矿区环境标准在数十年立法积累下相对严格；在被遗忘地带和资源依赖型路径（D类及相关B2类成员），采矿的经济收益高度集中于政治精英，环保的经济政治阻力极小，标准形同虚设或根本不存在。聚变的到来进一步改变了开采经济学：在已接入聚变电网的地区，设备运营能源成本大幅下降，原本因能耗成本过高而不经济的低品位矿床重新具备开采价值，这在全球南方已接入地区扩大了潜在开采规模。</w:t>
      </w:r>
    </w:p>
    <w:p>
      <w:pPr>
        <w:pStyle w:val="BodyText"/>
      </w:pPr>
      <w:r>
        <w:t xml:space="preserve">跨境污染是局部性原则的主要例外。流经多国的河流——湄公河、刚果河、赞比西河流域——将上游矿区的尾矿污染传递至下游国家，而下游国家通常是谈判能力更弱的一方。这个结构在2072年没有系统性解决，只在个别双边协议中获得部分约束。</w:t>
      </w:r>
    </w:p>
    <w:p>
      <w:pPr>
        <w:pStyle w:val="BodyText"/>
      </w:pPr>
      <w:r>
        <w:t xml:space="preserve">城市矿山在A1/A2核心地区的成熟是另一个方向：AI精细化分拣使废旧电子设备、建筑材料、工业废料的金属回收率大幅提升，部分替代了原矿开采。但城市矿山的受益者是已有成熟回收基础设施的地区，全球南方的废料依然主要依赖出口至处理中心或在当地低标准拆解。</w:t>
      </w:r>
    </w:p>
    <w:p>
      <w:pPr>
        <w:pStyle w:val="BodyText"/>
      </w:pPr>
      <w:r>
        <w:rPr>
          <w:bCs/>
          <w:b/>
        </w:rPr>
        <w:t xml:space="preserve">砍伐。</w:t>
      </w:r>
      <w:r>
        <w:t xml:space="preserve"> </w:t>
      </w:r>
      <w:r>
        <w:t xml:space="preserve">历史上驱动森林砍伐的最大单一力量是农业扩张——为新增耕地而清林。合成食品和农业自动化在2072年系统性压缩了这个需求：单位粮食产出所需土地面积大幅下降，农业前沿向森林边界推进的压力减弱。这在亚马逊、东南亚和非洲刚果盆地森林地带的卫星图像上已有可观察的体现。</w:t>
      </w:r>
    </w:p>
    <w:p>
      <w:pPr>
        <w:pStyle w:val="BodyText"/>
      </w:pPr>
      <w:r>
        <w:t xml:space="preserve">但砍伐的其他驱动力依然存在：木材需求（建筑、家具、纸张）、基础设施建设（公路、输电线廊道）、以及被遗忘地带仍有相当比例人口依赖薪柴作为燃料。这三个驱动力在聚变时代的演变方向不同：木材需求因合成材料和回收建材的竞争而趋于平稳；基础设施建设在全球南方聚变电网覆盖推进中实际增加；薪柴需求随电力可及性提升而下降，但被遗忘地带的电力接入时间表存在高度不确定性。</w:t>
      </w:r>
    </w:p>
    <w:p>
      <w:pPr>
        <w:pStyle w:val="BodyText"/>
      </w:pPr>
      <w:r>
        <w:t xml:space="preserve">净效果是全球森林面积在核心地区趋于稳定或小幅恢复，在被遗忘地带和基础设施建设活跃地区继续承压。值得注意的是，森林面积的变化与气候系统之间存在碳汇反馈（见6.4节），使砍伐问题不完全独立于气候变化。</w:t>
      </w:r>
    </w:p>
    <w:p>
      <w:pPr>
        <w:pStyle w:val="BodyText"/>
      </w:pPr>
      <w:r>
        <w:rPr>
          <w:bCs/>
          <w:b/>
        </w:rPr>
        <w:t xml:space="preserve">捕捞。</w:t>
      </w:r>
      <w:r>
        <w:t xml:space="preserve"> </w:t>
      </w:r>
      <w:r>
        <w:t xml:space="preserve">野生捕捞的压力在2072年面临方向相反的两个力量：替代品供给（合成蛋白质、规模化水产养殖）的扩大在边际上减少了对野生渔获的需求；聚变使捕捞船队的能源成本大幅下降，经济约束对捕捞规模的自然限制随之减弱。两个力量的净结果在不同地区不同：近海渔业在A1/B1类路径受较严格管理，公海捕捞的执行约束历来极弱。</w:t>
      </w:r>
    </w:p>
    <w:p>
      <w:pPr>
        <w:pStyle w:val="BodyText"/>
      </w:pPr>
      <w:r>
        <w:t xml:space="preserve">公海的特殊性在于它是全球公域：没有主权归属，执法依赖大国意愿，国际渔业协议的有效性在历史上就参差不齐。能源成本大幅下降后，协议约束的经济激励基础进一步被削弱——违约的经济收益与被发现的成本之间的差距扩大，使自愿遵守的动力下降。这使公海渔业成为公地保护中进展最慢的领域之一，尽管发达国家主导的监测能力（卫星追踪、AI识别非法捕捞船队）在2072年已大幅提升，威慑效果有所改善但仍不足以系统性扭转局面。</w:t>
      </w:r>
    </w:p>
    <w:bookmarkEnd w:id="370"/>
    <w:bookmarkStart w:id="371" w:name="污染与废弃物地域意愿与国际约束"/>
    <w:p>
      <w:pPr>
        <w:pStyle w:val="Heading3"/>
      </w:pPr>
      <w:r>
        <w:t xml:space="preserve">6.5.2　污染与废弃物：地域、意愿与国际约束</w:t>
      </w:r>
    </w:p>
    <w:p>
      <w:pPr>
        <w:pStyle w:val="FirstParagraph"/>
      </w:pPr>
      <w:r>
        <w:t xml:space="preserve">污染与废弃物的处理能力和意愿，比任何其他环境问题都更直接地反映地域差异——因为污染的产生者和受害者经常不是同一主体，而处理能力和政治意志的分布与财富和制度质量高度重叠。</w:t>
      </w:r>
    </w:p>
    <w:p>
      <w:pPr>
        <w:pStyle w:val="BodyText"/>
      </w:pPr>
      <w:r>
        <w:rPr>
          <w:bCs/>
          <w:b/>
        </w:rPr>
        <w:t xml:space="preserve">陆地污染。</w:t>
      </w:r>
      <w:r>
        <w:t xml:space="preserve"> </w:t>
      </w:r>
      <w:r>
        <w:t xml:space="preserve">工业废水、重金属排放、农业化肥径流在A1/B1类路径受到较为完善的监管，AI实时监测使排放数据的可见性大幅提升，违规成本在制度健全地区显著上升。农业化肥径流随合成食品的扩大而减少，是少数在2072年明显改善的污染类型之一。电子废料是新增的主要压力源：AI硬件更新周期短，大量含稀土、重金属的废旧设备在城市矿山体系不覆盖的地区以低标准方式处置，毒性渗漏集中在处理能力最弱的地区。</w:t>
      </w:r>
    </w:p>
    <w:p>
      <w:pPr>
        <w:pStyle w:val="BodyText"/>
      </w:pPr>
      <w:r>
        <w:rPr>
          <w:bCs/>
          <w:b/>
        </w:rPr>
        <w:t xml:space="preserve">海洋污染。</w:t>
      </w:r>
      <w:r>
        <w:t xml:space="preserve"> </w:t>
      </w:r>
      <w:r>
        <w:t xml:space="preserve">海洋是陆地污染的最终汇集点：河流入海携带的工农业污染物、直接的海洋倾倒、以及大气沉降。塑料污染在2072年仍是海洋污染的主体——生物降解材料的规模化替代进展慢于预期，历史积累的塑料碎片已深度进入食物链底层。深海采矿（见6.8节）带来的海底沉积物扰动是新增压力，其长期影响在2072年尚处于观察阶段。</w:t>
      </w:r>
    </w:p>
    <w:p>
      <w:pPr>
        <w:pStyle w:val="BodyText"/>
      </w:pPr>
      <w:r>
        <w:t xml:space="preserve">太平洋、大西洋的塑料浮岛在2072年的命运呈现两个层面：浮岛本身的清理已有初步进展——物质丰裕背景下发达国家的环保意愿提升，加上能源成本下降使大规模清理船队的运营成本趋于可行，国际社会在发达国家主导下启动了若干清理项目，浮岛总量的增速有所放缓。但治理结构仍是主要障碍：公海无主，清理成本与收益的归属难以界定，商业模式无法自持，现有项目依赖政府资助和多边基金，覆盖率远低于浮岛总量。更根本的问题是微塑料：已进入海洋沉积物、食物链和深海生物体内的微塑料在2072年已是不可逆的既成事实，无论浮岛是否清理，这部分影响都将延续数百年。</w:t>
      </w:r>
    </w:p>
    <w:p>
      <w:pPr>
        <w:pStyle w:val="BodyText"/>
      </w:pPr>
      <w:r>
        <w:t xml:space="preserve">国际海洋污染治理的有效性在2072年整体有所改善，但内部高度分化。近岸专属经济区内，沿海国主权清晰，执行能力和意愿的差异依然极大。公海区域，发达国家主导的监测能力大幅提升（卫星覆盖、AI识别违规排放），约束力有所增强但执法仍依赖大国意愿。深海区域的治理框架在2072年仍处于建立阶段，执法基本缺席。</w:t>
      </w:r>
    </w:p>
    <w:p>
      <w:pPr>
        <w:pStyle w:val="BodyText"/>
      </w:pPr>
      <w:r>
        <w:rPr>
          <w:bCs/>
          <w:b/>
        </w:rPr>
        <w:t xml:space="preserve">太空碎片。</w:t>
      </w:r>
      <w:r>
        <w:t xml:space="preserve"> </w:t>
      </w:r>
      <w:r>
        <w:t xml:space="preserve">近地轨道的卫星碎片（Kessler效应）是2072年真实存在的运营风险。AI时代对低轨卫星网络的依赖（通信、导航、地球观测）使轨道碎片不再只是航天机构的工程问题，而是全球数字基础设施的系统性脆弱点。与公海渔业和海洋污染不同，太空碎片问题对A1和A2都有直接的切身利益——两个体系的军事和民用卫星都暴露于同一风险，近地轨道一旦进入碎片链式反应将使双方的卫星基础设施同时瘫痪。这种对称性使太空碎片成为极少数A1/A2双方都有强烈合作动机的环境议题，是公地保护中发达国家主导机制进展相对较快的领域。碎片清除技术在2072年已进入商业化阶段，发达国家联合资助的清除项目持续运营；但清除速度仍慢于新碎片产生速度，近地轨道的长期可持续性仍是悬而未决的问题。</w:t>
      </w:r>
    </w:p>
    <w:bookmarkEnd w:id="371"/>
    <w:bookmarkStart w:id="372" w:name="废弃居民点人类撤退的物质痕迹"/>
    <w:p>
      <w:pPr>
        <w:pStyle w:val="Heading3"/>
      </w:pPr>
      <w:r>
        <w:t xml:space="preserve">6.5.3　废弃居民点：人类撤退的物质痕迹</w:t>
      </w:r>
    </w:p>
    <w:p>
      <w:pPr>
        <w:pStyle w:val="FirstParagraph"/>
      </w:pPr>
      <w:r>
        <w:t xml:space="preserve">人口流动在地球表面留下两类相反的印记：人口集中处，建成环境密度上升；人口撤离处，废弃的建筑、道路、农业设施和基础设施进入漫长的物理降解过程。2072年废弃居民点的规模，是工业时代以来最大的一次——被遗忘地带的人口外流、气候迁移、沿海低洼区的重心渐移，三个机制同时制造废弃聚落。</w:t>
      </w:r>
    </w:p>
    <w:p>
      <w:pPr>
        <w:pStyle w:val="BodyText"/>
      </w:pPr>
      <w:r>
        <w:t xml:space="preserve">废弃本身是一种环境变化，但方向不确定。建筑材料（混凝土、沥青、金属）在降解过程中释放污染物；废弃农田如果没有人工干预，在温带地区会自然向次生林演替，是碳汇的潜在来源；废弃的工业设施（矿场、化工厂、港口）在无人维护后成为持续的点源污染。废弃城镇也为外来物种提供了扩散走廊——在无人干预的建成环境中，生态演替的方向和速度不受控制，可能强化也可能削弱本地生物多样性。</w:t>
      </w:r>
    </w:p>
    <w:p>
      <w:pPr>
        <w:pStyle w:val="BodyText"/>
      </w:pPr>
      <w:r>
        <w:t xml:space="preserve">废弃居民点在2072年分布极不均匀：在被遗忘地带（E类路径），废弃是漫长且无人记录的过程；在气候迁移热点区（三角洲低地、太平洋岛国），废弃有时跟随灾害事件加速完成；在A1/A2核心地区，工业遗址的棕地修复是城市政策的成熟议题，但资金和意愿差异极大。</w:t>
      </w:r>
    </w:p>
    <w:bookmarkEnd w:id="372"/>
    <w:bookmarkStart w:id="373" w:name="不可逆的损失技术修复的边界"/>
    <w:p>
      <w:pPr>
        <w:pStyle w:val="Heading3"/>
      </w:pPr>
      <w:r>
        <w:t xml:space="preserve">6.5.4　不可逆的损失：技术修复的边界</w:t>
      </w:r>
    </w:p>
    <w:p>
      <w:pPr>
        <w:pStyle w:val="FirstParagraph"/>
      </w:pPr>
      <w:r>
        <w:t xml:space="preserve">聚变提供了廉价能源，AI提供了精细监控和优化能力，两者合力在部分环境问题上开辟了修复路径：逆沉降工程、受损珊瑚礁的辅助恢复、污染土壤的原位修复、大气碳捕获。这些技术能力是真实的，但它们处理的是可逆的物理化学问题。</w:t>
      </w:r>
    </w:p>
    <w:p>
      <w:pPr>
        <w:pStyle w:val="BodyText"/>
      </w:pPr>
      <w:r>
        <w:t xml:space="preserve">物种灭绝不在这个范围内。2072年的物种灭绝速率仍显著高于背景水平，栖息地破碎化、污染和气候变化的叠加使部分生态系统的功能性崩溃不可用技术手段短期逆转。消失的物种不会回来，退化的生态系统功能的完整恢复以百年计。这是人类活动地球印记中最持久的部分——不是因为技术不够，而是因为生物系统的复杂性和时间尺度超出了工程修复的逻辑范围。</w:t>
      </w:r>
    </w:p>
    <w:bookmarkEnd w:id="373"/>
    <w:bookmarkEnd w:id="374"/>
    <w:bookmarkStart w:id="378" w:name="技术密集地区的地理图景北美欧洲东亚"/>
    <w:p>
      <w:pPr>
        <w:pStyle w:val="Heading2"/>
      </w:pPr>
      <w:r>
        <w:t xml:space="preserve">6.6　技术密集地区的地理图景：北美、欧洲、东亚</w:t>
      </w:r>
    </w:p>
    <w:bookmarkStart w:id="375" w:name="东亚高铁骨架上的线性集聚"/>
    <w:p>
      <w:pPr>
        <w:pStyle w:val="Heading3"/>
      </w:pPr>
      <w:r>
        <w:t xml:space="preserve">6.6.1　东亚：高铁骨架上的线性集聚</w:t>
      </w:r>
    </w:p>
    <w:p>
      <w:pPr>
        <w:pStyle w:val="FirstParagraph"/>
      </w:pPr>
      <w:r>
        <w:t xml:space="preserve">东亚城市集群的概念本身来自高铁网络——上海-苏州-杭州-南京不是四个城市，是一个城市集群，劳动力市场和服务业实质上已经一体化。这个一体化是高铁给的，不是行政规划给的。聚变使高铁运营成本趋近于零，集中效应在2072年充分释放：沿海城市集群密集分布，内陆沿高铁走廊线性分布，走廊外迅速过渡到低密度。地效应货轮进一步强化沿海优势，东亚沿海本来已经是经济重心，城市集群之间的物资流动比任何时候都更紧密。</w:t>
      </w:r>
    </w:p>
    <w:p>
      <w:pPr>
        <w:pStyle w:val="BodyText"/>
      </w:pPr>
      <w:r>
        <w:t xml:space="preserve">中国东部城市集群（长三角、珠三角、京津冀）是AI基础设施和聚变电网最先覆盖的地区，制造业向AI自动化深度转型，配给体系以城市为核心运作，城市集群核心区人口持续吸纳。城市矿山体系完整，合成食品工厂国家主导配置，垂直农场在AI替代劳动后的空置商办空间中规模扩张。农村腹地在国家规划主导的主动清理中加速空心化——撤点并校、乡镇并入，这是有主体意志的人口集中化，不是无主体的市场退出。内陆三四线城市处于第二梯队和第三梯队之间，保留医疗教育行政资源作为区域枢纽功能，但制造业就业已大幅萎缩，依赖配给体系维持基本秩序。</w:t>
      </w:r>
    </w:p>
    <w:p>
      <w:pPr>
        <w:pStyle w:val="BodyText"/>
      </w:pPr>
      <w:r>
        <w:t xml:space="preserve">日韩两国人口持续减少，高龄化加深，城市化率接近极限，人口向首尔圈、东京圈进一步集中。聚变电网全面覆盖，电力层面已实现自给；日本的山地水库和抽蓄设施作为储能补充，应对聚变电厂维护窗口期的供电波动，进一步提升了电网稳定性。制造业自动化率极高，人工照护需求随老龄化持续上升成为就业结构的特殊稳定项。日本地方城市进入缓慢收缩轨道，新干线沿线小城市的人口外流在高铁集中效应充分释放后趋于稳定——不是停止，而是剩余人口趋向稳定的留下者群体。</w:t>
      </w:r>
    </w:p>
    <w:bookmarkEnd w:id="375"/>
    <w:bookmarkStart w:id="376" w:name="北美点状核心与大面积低密度背景"/>
    <w:p>
      <w:pPr>
        <w:pStyle w:val="Heading3"/>
      </w:pPr>
      <w:r>
        <w:t xml:space="preserve">6.6.2　北美：点状核心与大面积低密度背景</w:t>
      </w:r>
    </w:p>
    <w:p>
      <w:pPr>
        <w:pStyle w:val="FirstParagraph"/>
      </w:pPr>
      <w:r>
        <w:t xml:space="preserve">北美没有高铁骨架，城市集群是汽车文化加高速公路的产物，密度低，蔓延广。2072年的北美城市分布呈现少数极端集聚的点加大面积低速背景的结构，与东亚的线性走廊根本不同。</w:t>
      </w:r>
    </w:p>
    <w:p>
      <w:pPr>
        <w:pStyle w:val="BodyText"/>
      </w:pPr>
      <w:r>
        <w:t xml:space="preserve">双海岸走廊（东北走廊：波士顿-纽约-华盛顿；西海岸：旧金山-洛杉矶-西雅图）是北美第一梯队：直接海运加地效应走廊加全控高速路段密集覆盖，AI资本和技术人口高度集中，城市矿山体系成熟，BSC在这里实际购买力最低，依赖BSC的公民居住在高密度共享住宅，与AI资本受益者在同一街区但几乎不发生真实的社会交换。</w:t>
      </w:r>
    </w:p>
    <w:p>
      <w:pPr>
        <w:pStyle w:val="BodyText"/>
      </w:pPr>
      <w:r>
        <w:t xml:space="preserve">内陆枢纽（芝加哥、达拉斯、亚特兰大、丹佛）通过内陆铁路走廊或港口间接连接海运，处于第一点五至第二梯队，保留区域医疗教育行政枢纽功能，吸引慢速移民（远程工作者以生活成本可控为由迁入）维持人口基础。中西部和南部内陆广大地区是北美慢速的主体——从来就是低密度，没有从高速跌落的失落感，汽车加低速道路是默认的移动方式，Muule主要以两轮或低速四轮形态出现，全控高速路段稀疏。</w:t>
      </w:r>
    </w:p>
    <w:p>
      <w:pPr>
        <w:pStyle w:val="BodyText"/>
      </w:pPr>
      <w:r>
        <w:t xml:space="preserve">加拿大多伦多-渥太华-蒙特利尔走廊依托圣劳伦斯海道内河航运，是北美内陆与大西洋海运体系的连接节点，处于间接海运枢纽的位置。</w:t>
      </w:r>
    </w:p>
    <w:bookmarkEnd w:id="376"/>
    <w:bookmarkStart w:id="377" w:name="欧洲多国边界切割的分散走廊"/>
    <w:p>
      <w:pPr>
        <w:pStyle w:val="Heading3"/>
      </w:pPr>
      <w:r>
        <w:t xml:space="preserve">6.6.3　欧洲：多国边界切割的分散走廊</w:t>
      </w:r>
    </w:p>
    <w:p>
      <w:pPr>
        <w:pStyle w:val="FirstParagraph"/>
      </w:pPr>
      <w:r>
        <w:t xml:space="preserve">欧洲同时具备几个互相冲突的特征：有局部高铁走廊，但被国境线切割效率大打折扣；城市历史上分散，没有东亚那样的极端集聚；福利体系使人口流动激励弱于北美；多个独立地效应水域（北海、波罗的海、地中海、黑海）彼此不连通。</w:t>
      </w:r>
    </w:p>
    <w:p>
      <w:pPr>
        <w:pStyle w:val="BodyText"/>
      </w:pPr>
      <w:r>
        <w:t xml:space="preserve">西北欧走廊（伦敦-巴黎-布鲁塞尔-阿姆斯特丹-科隆-法兰克福）是欧洲最接近东亚城市集群的区域：人口密度高，高铁连接成熟，地效应货轮沿北海和英吉利海峡连接主要港口。北海海上聚变加风能混合发电集群（英国、挪威、丹麦共同管理）是2072年欧洲能源供应的核心，能源自主性的实体基础。挪威丰富的峡湾淡水水电资源使其成为欧洲能源最自足的国家——聚变与水力储能互补，接近完全自给，同时向相邻地区出口电力。</w:t>
      </w:r>
    </w:p>
    <w:p>
      <w:pPr>
        <w:pStyle w:val="BodyText"/>
      </w:pPr>
      <w:r>
        <w:t xml:space="preserve">地中海走廊（巴塞罗那-马赛-热那亚-米兰）依托地中海地效应，旅游经济和制造业并存，文化密度使旅游城市在意义感危机背景下获得新的市场价值。中东欧（波兰、捷克、匈牙利、波罗的海国家）在2040–2060年间依托欧盟基础设施资金和工程教育传统完成赶超，在工业机器人维修、AI系统集成和精密制造建立比较优势，是欧洲经济版图中活力显著上升的部分。</w:t>
      </w:r>
    </w:p>
    <w:p>
      <w:pPr>
        <w:pStyle w:val="BodyText"/>
      </w:pPr>
      <w:r>
        <w:t xml:space="preserve">欧洲福利体系对城市分布有独特影响：最低保障覆盖使人口不需要为生存而大规模迁移，城市衰退缓慢——不会迅速空洞化，也不会迅速更新。欧洲的旧时代博物馆遍布各地，而不是像东亚那样集中在内陆。对于城市集群里生活的人来说，这些分散的历史小城是可以短暂退出的出口——不需要永久移居，只需要知道有这样的地方存在。</w:t>
      </w:r>
    </w:p>
    <w:p>
      <w:pPr>
        <w:pStyle w:val="BodyText"/>
      </w:pPr>
      <w:r>
        <w:t xml:space="preserve">理解2072年欧洲社会图景，地区比国家是更准确的分析单位。西北欧走廊城市集群与南欧内陆小城市之间的差距，大于多数国家之间的差距——一个鹿特丹港的物流工人和一个希腊内陆山地小镇的居民，在基础设施覆盖、日常生活节奏上所经历的差异，超过了任何两个西北欧相邻城市之间的差异。</w:t>
      </w:r>
    </w:p>
    <w:bookmarkEnd w:id="377"/>
    <w:bookmarkEnd w:id="378"/>
    <w:bookmarkStart w:id="384" w:name="世界其他地区的地理图景"/>
    <w:p>
      <w:pPr>
        <w:pStyle w:val="Heading2"/>
      </w:pPr>
      <w:r>
        <w:t xml:space="preserve">6.7　世界其他地区的地理图景</w:t>
      </w:r>
    </w:p>
    <w:bookmarkStart w:id="379" w:name="全球南方聚变接入与依附结构"/>
    <w:p>
      <w:pPr>
        <w:pStyle w:val="Heading3"/>
      </w:pPr>
      <w:r>
        <w:t xml:space="preserve">6.7.1　全球南方：聚变接入与依附结构</w:t>
      </w:r>
    </w:p>
    <w:p>
      <w:pPr>
        <w:pStyle w:val="FirstParagraph"/>
      </w:pPr>
      <w:r>
        <w:t xml:space="preserve">全球南方（B2/C类国家）的地理图景是内部极度分化的：获得聚变接入的城市集群（通常是首都和主要港口）与广大农村腹地处于功能性不同的历史时间，两个世界在同一个国家内部并存。</w:t>
      </w:r>
    </w:p>
    <w:p>
      <w:pPr>
        <w:pStyle w:val="BodyText"/>
      </w:pPr>
      <w:r>
        <w:t xml:space="preserve">接入中国体系的C类国家通过技术输出获得聚变电力，基础设施真实到位，但以资源权益和政治依附为代价：聚变电厂的建设、运营、维护依赖中国技术团队，本地工程能力积累缓慢，形成新的技术依附结构，与历史上殖民地基础设施的逻辑相似——有铁路但铁路服务于宗主国的资源输出。接入美国体系的C类国家通过市场机制获取技术，速度较慢但自主性更高，聚变覆盖时序滞后约10–15年，但本地工程和运营能力随之积累。</w:t>
      </w:r>
    </w:p>
    <w:p>
      <w:pPr>
        <w:pStyle w:val="BodyText"/>
      </w:pPr>
      <w:r>
        <w:t xml:space="preserve">不论体系归属，C类国家的城市集群内部形态接近A2降级版：聚变电力有限渗透，合成食品生产集中在首都核心，AI基础设施有限渗透，城市非正式经济体量巨大。城市流入压力持续——农村劳动力在AI农业推广后失去原有就业，向城市集群迁移，但城市无法提供足够的正式就业，非正式服务业吸纳了大量人口，形成高密度低收入的城市边缘形态。</w:t>
      </w:r>
    </w:p>
    <w:bookmarkEnd w:id="379"/>
    <w:bookmarkStart w:id="380" w:name="南亚"/>
    <w:p>
      <w:pPr>
        <w:pStyle w:val="Heading3"/>
      </w:pPr>
      <w:r>
        <w:t xml:space="preserve">6.7.2　南亚</w:t>
      </w:r>
    </w:p>
    <w:p>
      <w:pPr>
        <w:pStyle w:val="FirstParagraph"/>
      </w:pPr>
      <w:r>
        <w:t xml:space="preserve">南亚次大陆的人口大国在这50年间经历的变化幅度可能超过其他任何主要地区。拥有英语技术人才储量、高度数字化金融基础设施和庞大内部市场的经济体，在AI服务业领域建立了类似20世纪软件外包但附加值更高的全球地位。聚变能源普及使中等城市的基础设施成本下降，形成多个具有完整功能的区域中心城市，与超大城市并存的多极城市体系。</w:t>
      </w:r>
    </w:p>
    <w:p>
      <w:pPr>
        <w:pStyle w:val="BodyText"/>
      </w:pPr>
      <w:r>
        <w:t xml:space="preserve">南亚次大陆同时存在另一类人口大国：受政治结构约束、安全张力消耗和气候变化冲击的叠加影响，错过了聚变普及带来的发展窗口，城市基础设施覆盖薄弱，向被遗忘地带边缘滑动。与之形成对比的是出口导向型工业化起步较晚、但制度环境相对稳定的经济体——通过初级工业积累的资本完成了一次工业到服务业的跨越，主要城市陆续接入聚变电网。</w:t>
      </w:r>
    </w:p>
    <w:p>
      <w:pPr>
        <w:pStyle w:val="BodyText"/>
      </w:pPr>
      <w:r>
        <w:t xml:space="preserve">南亚的内部差异是全球最大的地区内部差异之一，</w:t>
      </w:r>
      <w:r>
        <w:t xml:space="preserve">“</w:t>
      </w:r>
      <w:r>
        <w:t xml:space="preserve">南亚</w:t>
      </w:r>
      <w:r>
        <w:t xml:space="preserve">”</w:t>
      </w:r>
      <w:r>
        <w:t xml:space="preserve">作为整体几乎没有分析价值，三类截然不同的发展轨迹同时存在于这片次大陆上。</w:t>
      </w:r>
    </w:p>
    <w:bookmarkEnd w:id="380"/>
    <w:bookmarkStart w:id="381" w:name="非洲核心节点与广袤的被遗忘地带"/>
    <w:p>
      <w:pPr>
        <w:pStyle w:val="Heading3"/>
      </w:pPr>
      <w:r>
        <w:t xml:space="preserve">6.7.3　非洲：核心节点与广袤的被遗忘地带</w:t>
      </w:r>
    </w:p>
    <w:p>
      <w:pPr>
        <w:pStyle w:val="FirstParagraph"/>
      </w:pPr>
      <w:r>
        <w:t xml:space="preserve">非洲大陆在这50年间的内部多样性使任何单一叙事都失真。东部沿海拥有早期数字金融基础设施优势和清洁地热能源的走廊地区，是非洲最接近跨越式发展的区域：既有的移动支付生态在AI时代演化为区域金融科技竞争力，英语教育体系与AI服务业直接对接，形成非洲东海岸的知识服务节点。西部拥有数亿人口体量的大型经济体，以高度活跃的非正式经济创新文化和本地文化产业为优势，是所在次区域最大的经济活力中心，但同时面临资源型财政依赖崩溃和复杂联邦治理危机的双重压力；它同时是成功与混乱的现场。南部沿海的气候条件和后聚变基础设施投资，使特定城市地区成为非洲重要的科技和创意产业节点，吸引人才向此集中。</w:t>
      </w:r>
    </w:p>
    <w:p>
      <w:pPr>
        <w:pStyle w:val="BodyText"/>
      </w:pPr>
      <w:r>
        <w:t xml:space="preserve">与此同时，内陆干旱地带是2072年被遗忘地带最集中的区域——气候变化加速的农业崩溃和长期治理失败互相强化，产生持续的人道主义危机和安全空白。聚变能源理论上可以通过大规模海水淡化和垂直农业改变这个区域的物质条件，但基础设施投资无法在安全空白中进行——这是被遗忘地带悖论的完整形态：最需要基础设施的地方，恰好是最无法建设基础设施的地方。</w:t>
      </w:r>
    </w:p>
    <w:p>
      <w:pPr>
        <w:pStyle w:val="BodyText"/>
      </w:pPr>
      <w:r>
        <w:t xml:space="preserve">非洲大陆2072年的真实状态是：几个正在发生跨越式发展的区域中心，被大量仍在被遗忘地带边缘挣扎的腹地包围。区域中心与腹地之间的基础设施差距，比世界上任何其他主要地区的内部差距都大。</w:t>
      </w:r>
    </w:p>
    <w:bookmarkEnd w:id="381"/>
    <w:bookmarkStart w:id="382" w:name="中东化石能源崩溃后的地理重组"/>
    <w:p>
      <w:pPr>
        <w:pStyle w:val="Heading3"/>
      </w:pPr>
      <w:r>
        <w:t xml:space="preserve">6.7.4　中东：化石能源崩溃后的地理重组</w:t>
      </w:r>
    </w:p>
    <w:p>
      <w:pPr>
        <w:pStyle w:val="FirstParagraph"/>
      </w:pPr>
      <w:r>
        <w:t xml:space="preserve">聚变电网普及后石油作为能源的战略价值系统性消失，中东和北非产油地区的收入基础根本性瓦解——时序不是一夜之间，而是从2044年聚变电网开始规模化接入后的渐进侵蚀，到2058–2065年财政危机陆续到临界点。</w:t>
      </w:r>
    </w:p>
    <w:p>
      <w:pPr>
        <w:pStyle w:val="BodyText"/>
      </w:pPr>
      <w:r>
        <w:t xml:space="preserve">拥有较大主权财富基金储备的海湾产油城市，有一定的转型时间窗口，但面临结构性困难：长期依赖外籍劳动力的人口结构在AI替代劳动后失去经济理由；依托石油美元建成的超大规模城市基础设施在失去经济驱动后维护成本沉重。这些城市物理上真实存在，建筑和道路都在，但活力衰减。能否转型为区域知识服务中心或旅游目的地，取决于教育系统改革和政治体制适应速度——两项条件均不确定。经历了动荡期冲突的中小产油地区，面临基础设施损毁叠加收入崩溃的双重困境，修复所需的资本和安全条件均不具备，是最接近被遗忘地带的中东地区图景。</w:t>
      </w:r>
    </w:p>
    <w:bookmarkEnd w:id="382"/>
    <w:bookmarkStart w:id="383" w:name="被遗忘地带的地理共性"/>
    <w:p>
      <w:pPr>
        <w:pStyle w:val="Heading3"/>
      </w:pPr>
      <w:r>
        <w:t xml:space="preserve">6.7.5　被遗忘地带的地理共性</w:t>
      </w:r>
    </w:p>
    <w:p>
      <w:pPr>
        <w:pStyle w:val="FirstParagraph"/>
      </w:pPr>
      <w:r>
        <w:t xml:space="preserve">被遗忘地带在地理上分散——撒哈拉以南非洲内陆、中东冲突地区、内陆封闭的中亚低收入国家、孤立的太平洋岛国。尽管位置各异，这些地区在2072年的物质状态有共同的特征：无聚变电网接入（依赖太阳能离网、旧型燃油发电机或无稳定电力）、无全控高速路网（普通公路、低保有率的燃油车和低端电动车是主要运力，基础设施缺乏系统性维护投入）、无城市矿山（无废弃物处理能力）、无合成食品工厂（依赖传统农业和外部援助）。</w:t>
      </w:r>
    </w:p>
    <w:p>
      <w:pPr>
        <w:pStyle w:val="BodyText"/>
      </w:pPr>
      <w:r>
        <w:t xml:space="preserve">医疗基础设施是被遗忘地带与其他地区之间最可感知的差距：AI辅助诊断、机器人手术、个性化治疗在这里全部缺席，传统医生的数量和药品供应是决定居民生死的变量，与世界其他地方相差了一个历史时代。</w:t>
      </w:r>
    </w:p>
    <w:p>
      <w:pPr>
        <w:pStyle w:val="BodyText"/>
      </w:pPr>
      <w:r>
        <w:t xml:space="preserve">被遗忘地带并非没有社会生活——传统家族、部落、宗教社区仍然提供组织框架，日升日落仍然提供时间结构，邻里彼此需要仍然提供意义感。但外面的世界在讲一种听不懂的语言，多态社会的意义危机在这里尚未到来——不是因为问题被解决了，而是因为生存本身仍然提供足够的结构，没有剩余的精神空间去追问更高层次的意义。</w:t>
      </w:r>
    </w:p>
    <w:bookmarkEnd w:id="383"/>
    <w:bookmarkEnd w:id="384"/>
    <w:bookmarkStart w:id="396" w:name="深海采矿城镇"/>
    <w:p>
      <w:pPr>
        <w:pStyle w:val="Heading2"/>
      </w:pPr>
      <w:r>
        <w:t xml:space="preserve">6.8　深海采矿城镇</w:t>
      </w:r>
    </w:p>
    <w:p>
      <w:pPr>
        <w:pStyle w:val="FirstParagraph"/>
      </w:pPr>
      <w:r>
        <w:t xml:space="preserve">深海采矿城镇是2072年最独特的社区形态——不是工作站，不是营地，而是真正意义上的城镇。居民以家庭为单位定居，孩子在平台上成长接受教育，日常生活的完整性与大陆城镇无本质区别，只是地理坐标悬浮在海面上。整个系统由三个垂直分布的层级构成，各层功能明确，通过专用通道连接，重工业与生活区完全隔离（工程技术规格详见附录：深海采矿城镇技术规格文件）。</w:t>
      </w:r>
    </w:p>
    <w:bookmarkStart w:id="385" w:name="三层结构总览"/>
    <w:p>
      <w:pPr>
        <w:pStyle w:val="Heading3"/>
      </w:pPr>
      <w:r>
        <w:t xml:space="preserve">6.8.1　三层结构总览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层级</w:t>
            </w:r>
          </w:p>
        </w:tc>
        <w:tc>
          <w:tcPr/>
          <w:p>
            <w:pPr>
              <w:pStyle w:val="Compact"/>
              <w:jc w:val="left"/>
            </w:pPr>
            <w:r>
              <w:rPr>
                <w:bCs/>
                <w:b/>
              </w:rPr>
              <w:t xml:space="preserve">深度</w:t>
            </w:r>
          </w:p>
        </w:tc>
        <w:tc>
          <w:tcPr/>
          <w:p>
            <w:pPr>
              <w:pStyle w:val="Compact"/>
              <w:jc w:val="left"/>
            </w:pPr>
            <w:r>
              <w:rPr>
                <w:bCs/>
                <w:b/>
              </w:rPr>
              <w:t xml:space="preserve">人员</w:t>
            </w:r>
          </w:p>
        </w:tc>
        <w:tc>
          <w:tcPr/>
          <w:p>
            <w:pPr>
              <w:pStyle w:val="Compact"/>
              <w:jc w:val="left"/>
            </w:pPr>
            <w:r>
              <w:rPr>
                <w:bCs/>
                <w:b/>
              </w:rPr>
              <w:t xml:space="preserve">主要功能</w:t>
            </w:r>
          </w:p>
        </w:tc>
      </w:tr>
      <w:tr>
        <w:tc>
          <w:tcPr/>
          <w:p>
            <w:pPr>
              <w:pStyle w:val="Compact"/>
              <w:jc w:val="left"/>
            </w:pPr>
            <w:r>
              <w:t xml:space="preserve">水面层</w:t>
            </w:r>
          </w:p>
        </w:tc>
        <w:tc>
          <w:tcPr/>
          <w:p>
            <w:pPr>
              <w:pStyle w:val="Compact"/>
              <w:jc w:val="left"/>
            </w:pPr>
            <w:r>
              <w:t xml:space="preserve">海面</w:t>
            </w:r>
          </w:p>
        </w:tc>
        <w:tc>
          <w:tcPr/>
          <w:p>
            <w:pPr>
              <w:pStyle w:val="Compact"/>
              <w:jc w:val="left"/>
            </w:pPr>
            <w:r>
              <w:t xml:space="preserve">400–800人（全部居民）</w:t>
            </w:r>
          </w:p>
        </w:tc>
        <w:tc>
          <w:tcPr/>
          <w:p>
            <w:pPr>
              <w:pStyle w:val="Compact"/>
              <w:jc w:val="left"/>
            </w:pPr>
            <w:r>
              <w:t xml:space="preserve">居住社区、运输舱码头、航空甲板、AUV/ROV控制站、物流调度</w:t>
            </w:r>
          </w:p>
        </w:tc>
      </w:tr>
      <w:tr>
        <w:tc>
          <w:tcPr/>
          <w:p>
            <w:pPr>
              <w:pStyle w:val="Compact"/>
              <w:jc w:val="left"/>
            </w:pPr>
            <w:r>
              <w:t xml:space="preserve">浮潜工厂层</w:t>
            </w:r>
          </w:p>
        </w:tc>
        <w:tc>
          <w:tcPr/>
          <w:p>
            <w:pPr>
              <w:pStyle w:val="Compact"/>
              <w:jc w:val="left"/>
            </w:pPr>
            <w:r>
              <w:t xml:space="preserve">水下100–150米</w:t>
            </w:r>
          </w:p>
        </w:tc>
        <w:tc>
          <w:tcPr/>
          <w:p>
            <w:pPr>
              <w:pStyle w:val="Compact"/>
              <w:jc w:val="left"/>
            </w:pPr>
            <w:r>
              <w:t xml:space="preserve">20–40人（每日通勤）</w:t>
            </w:r>
          </w:p>
        </w:tc>
        <w:tc>
          <w:tcPr/>
          <w:p>
            <w:pPr>
              <w:pStyle w:val="Compact"/>
              <w:jc w:val="left"/>
            </w:pPr>
            <w:r>
              <w:t xml:space="preserve">初级处理→湿法冶金→电解精炼→运输舱装填→人员控制核心。重工业与居民区完全隔离</w:t>
            </w:r>
          </w:p>
        </w:tc>
      </w:tr>
      <w:tr>
        <w:tc>
          <w:tcPr/>
          <w:p>
            <w:pPr>
              <w:pStyle w:val="Compact"/>
              <w:jc w:val="left"/>
            </w:pPr>
            <w:r>
              <w:t xml:space="preserve">海底层</w:t>
            </w:r>
          </w:p>
        </w:tc>
        <w:tc>
          <w:tcPr/>
          <w:p>
            <w:pPr>
              <w:pStyle w:val="Compact"/>
              <w:jc w:val="left"/>
            </w:pPr>
            <w:r>
              <w:t xml:space="preserve">4000–5000米</w:t>
            </w:r>
          </w:p>
        </w:tc>
        <w:tc>
          <w:tcPr/>
          <w:p>
            <w:pPr>
              <w:pStyle w:val="Compact"/>
              <w:jc w:val="left"/>
            </w:pPr>
            <w:r>
              <w:t xml:space="preserve">极稀少载人（特殊任务）</w:t>
            </w:r>
          </w:p>
        </w:tc>
        <w:tc>
          <w:tcPr/>
          <w:p>
            <w:pPr>
              <w:pStyle w:val="Compact"/>
              <w:jc w:val="left"/>
            </w:pPr>
            <w:r>
              <w:t xml:space="preserve">无人采矿车群、矿浆收集中转、废料回注。遥控巡检为主，绝对黑暗环境</w:t>
            </w:r>
          </w:p>
        </w:tc>
      </w:tr>
    </w:tbl>
    <w:bookmarkEnd w:id="385"/>
    <w:bookmarkStart w:id="386" w:name="水面层真正意义上的城镇"/>
    <w:p>
      <w:pPr>
        <w:pStyle w:val="Heading3"/>
      </w:pPr>
      <w:r>
        <w:t xml:space="preserve">6.8.2　水面层：真正意义上的城镇</w:t>
      </w:r>
    </w:p>
    <w:p>
      <w:pPr>
        <w:pStyle w:val="FirstParagraph"/>
      </w:pPr>
      <w:r>
        <w:t xml:space="preserve">去掉重工业后，水面平台是真正的城镇而非工厂加宿舍。平台集群由功能分化的多个单元构成，通过半封闭连廊连接成可内部通行的整体，恶劣天气下无需进入甲板。</w:t>
      </w:r>
    </w:p>
    <w:p>
      <w:pPr>
        <w:pStyle w:val="BodyText"/>
      </w:pPr>
      <w:r>
        <w:t xml:space="preserve">居住与社区平台容纳400–800名常驻居民，以家庭为单位分配居住空间，包含学校（基础至中等教育）、儿童设施、医疗（具备小型手术能力）、餐饮、健身、文化休闲、行政管理。有孩子的地方才是真正意义上的社区。动力平台承载聚变反应堆模块、海水淡化系统，废热回收用于居住区供暖。运输舱码头甲板一侧专设低矮码头（干舷约1–2米），起重机接收从水中漂浮的密封运输舱，直接吊运至停靠船侧；矿产运输船同时在此卸载补给物资。航空平台提供电磁辅助起降轨道（约300米），是人员往来大陆的主要通道——预约制航班，1–3小时抵达沿海港口。</w:t>
      </w:r>
    </w:p>
    <w:p>
      <w:pPr>
        <w:pStyle w:val="BodyText"/>
      </w:pPr>
      <w:r>
        <w:t xml:space="preserve">周24小时工作制使同一岗位需要约8人轮替覆盖，浮潜层实际编制约60人，加上水面层运营人员约100人、生活服务人员约130人，就业人口合计约290人；携带家属后总人口达到500–700人。这条因果链解释了为什么深海城镇能够支撑完整的服务业和城镇形态——城镇而非营地，是制度逻辑的自然产物，不是特意设计的结果。</w:t>
      </w:r>
    </w:p>
    <w:bookmarkEnd w:id="386"/>
    <w:bookmarkStart w:id="387" w:name="浮潜工厂层水下稳定工业区"/>
    <w:p>
      <w:pPr>
        <w:pStyle w:val="Heading3"/>
      </w:pPr>
      <w:r>
        <w:t xml:space="preserve">6.8.3　浮潜工厂层：水下稳定工业区</w:t>
      </w:r>
    </w:p>
    <w:p>
      <w:pPr>
        <w:pStyle w:val="FirstParagraph"/>
      </w:pPr>
      <w:r>
        <w:t xml:space="preserve">浮潜工厂层位于水下100–150米，完全脱离海浪影响——这个深度的海浪能量衰减约95%，精密自动化控制精度大幅高于水面。整体采用模块化集群设计，五个功能模块各自独立密封，内部均维持1个大气压，通过柔性接头在水下拼接。模块按振动源隔离、化学品分区、精密设备保护三原则划分：模块A（初级处理/振动源）→模块B（湿法冶金/化学品）→模块C（电解精炼/精密设备）→模块D（运输舱装填）→模块E（人员与控制核心）。模块E是唯一按人居标准控制、无需防护服的正常空气环境；进入其他模块需着对应等级防护工作服，这个切换动作是深海工业环境与正常工作环境之间最具体的物理边界。</w:t>
      </w:r>
    </w:p>
    <w:p>
      <w:pPr>
        <w:pStyle w:val="BodyText"/>
      </w:pPr>
      <w:r>
        <w:t xml:space="preserve">工作人员全部居住在水面平台，每日通过通勤潜艇上下班（下潜100–150米约10–15分钟，无减压问题）。在密封舱内对着屏幕和控制台工作，外部环境完全通过仪器感知——这与在地面工厂工作的视觉体验没有本质区别，但知道外面是100米深的海水这个事实始终存在。浮潜工厂层将重工业的噪音、振动、化学品风险彻底与水面居民生活区隔离，是城镇形态从「工厂宿舍」演化为「真正城镇」的物质基础。</w:t>
      </w:r>
    </w:p>
    <w:bookmarkEnd w:id="387"/>
    <w:bookmarkStart w:id="388" w:name="海底层绝对黑暗中的无人系统"/>
    <w:p>
      <w:pPr>
        <w:pStyle w:val="Heading3"/>
      </w:pPr>
      <w:r>
        <w:t xml:space="preserve">6.8.4　海底层：绝对黑暗中的无人系统</w:t>
      </w:r>
    </w:p>
    <w:p>
      <w:pPr>
        <w:pStyle w:val="FirstParagraph"/>
      </w:pPr>
      <w:r>
        <w:t xml:space="preserve">海底4000–5000米是全自主无人系统的领域，也是地球上最彻底的黑暗——不是「很暗」，是完全没有自然光。采矿车靠声呐、压力传感器、激光测距、惯性导航作业，不需要灯光。整个矿场在黑暗里持续运转，声波和传感器是信息的全部来源。</w:t>
      </w:r>
    </w:p>
    <w:p>
      <w:pPr>
        <w:pStyle w:val="BodyText"/>
      </w:pPr>
      <w:r>
        <w:t xml:space="preserve">声呐是「广域感知」——在约100–300米范围内重建周围环境的三维形状，AI实时将声呐数据渲染为伪彩色三维图像，操作员在水面控制站看到的「海底景象」主要是这种声学重建，不是真实光学图像。摄像头是「局部精细确认」——靠近目标时开灯，切换到真实光学画面，用于精细操作和细节确认。从声呐图像切换到摄像头图像的瞬间，视觉从抽象变为具体——这是深海作业特有的感知质感，与任何地面工作都不同。</w:t>
      </w:r>
    </w:p>
    <w:p>
      <w:pPr>
        <w:pStyle w:val="BodyText"/>
      </w:pPr>
      <w:r>
        <w:t xml:space="preserve">载人下潜极稀少（约每月1–2次），用于重大设备故障现场判断、重要部件更换等遥控无法处理的情况。标准配置是两人机器人团队：一人负责操作（控制机械臂、执行精细任务），一人负责感知和导航（声呐监控、系统状态、与水面通讯）。陈木执行的正是这类任务——他在潜艇的灯束里看到采矿车从黑暗里突然出现，是因为采矿车平时在黑暗中运作，他的灯光是那个空间里唯一的人造光源。</w:t>
      </w:r>
    </w:p>
    <w:bookmarkEnd w:id="388"/>
    <w:bookmarkStart w:id="389" w:name="离群作业两人组标配"/>
    <w:p>
      <w:pPr>
        <w:pStyle w:val="Heading3"/>
      </w:pPr>
      <w:r>
        <w:t xml:space="preserve">6.8.5　离群作业：两人组标配</w:t>
      </w:r>
    </w:p>
    <w:p>
      <w:pPr>
        <w:pStyle w:val="FirstParagraph"/>
      </w:pPr>
      <w:r>
        <w:t xml:space="preserve">所有脱离平台集群即时救援覆盖范围（响应时间超过约30分钟）的作业，一律采用两人组——任何单人失能时，必须有第二个人能维持基本操作并发出求救。载人深海下潜、远距离海面作业、复杂设备维修，全部适用。</w:t>
      </w:r>
    </w:p>
    <w:p>
      <w:pPr>
        <w:pStyle w:val="BodyText"/>
      </w:pPr>
      <w:r>
        <w:t xml:space="preserve">两人组的职能不是「一个工作一个监督」，而是互补的技能配置和持续的情境感知分工。长期固定搭档之间形成的默契类似消防员或飞行机组——不一定是朋友，但在极端环境里高度互相了解、高度信任。在深海城镇这个意义感充沛的社区里，搭档关系是职业伙伴关系中最浓缩的形式：你的工作搭档是那个在黑暗里唯一真实的人类存在。</w:t>
      </w:r>
    </w:p>
    <w:bookmarkEnd w:id="389"/>
    <w:bookmarkStart w:id="390" w:name="运输与调度"/>
    <w:p>
      <w:pPr>
        <w:pStyle w:val="Heading3"/>
      </w:pPr>
      <w:r>
        <w:t xml:space="preserve">6.8.6　运输与调度</w:t>
      </w:r>
    </w:p>
    <w:p>
      <w:pPr>
        <w:pStyle w:val="FirstParagraph"/>
      </w:pPr>
      <w:r>
        <w:t xml:space="preserve">密封运输舱利用物理规律在浮潜平台与水面之间传输：装填精炼金属的满舱顶部连接可充气浮筒，沿导索缓慢上升至水面；空舱注入海水压载后下沉回收。机械只做控制，不做功。多条导索并行运行，生产节律与运输节律完全解耦——恶劣天气时码头停止作业，运输舱在浮潜平台积累暂存，生产不停，天气好转后集中释放。</w:t>
      </w:r>
    </w:p>
    <w:p>
      <w:pPr>
        <w:pStyle w:val="BodyText"/>
      </w:pPr>
      <w:r>
        <w:t xml:space="preserve">专用矿产运输船点对点往返：以中等规模城镇为例，每天产出约100–200吨精炼金属，配备2–3艘专用船形成稳定班次——一艘装货，一艘在航行，一艘在目的地港口卸货返回。返程带回食品、生活物资、设备备件。矿产船靠泊是城镇最重要的周期性事件——有人离开去休假，有人返回，有人第一次来。船的节律是这个没有四季的海上城镇的时间感来源之一。</w:t>
      </w:r>
    </w:p>
    <w:p>
      <w:pPr>
        <w:pStyle w:val="BodyText"/>
      </w:pPr>
      <w:r>
        <w:t xml:space="preserve">完整运输链条：锰结核→采矿车→海底中转节点→立管泵送→浮潜工厂层精炼→物料气闸出仓→导索-浮筒系统上升→码头起重机吊运→专用矿产运输船→沿海冶炼港口。</w:t>
      </w:r>
    </w:p>
    <w:bookmarkEnd w:id="390"/>
    <w:bookmarkStart w:id="391" w:name="矿场迁移"/>
    <w:p>
      <w:pPr>
        <w:pStyle w:val="Heading3"/>
      </w:pPr>
      <w:r>
        <w:t xml:space="preserve">6.8.7　矿场迁移</w:t>
      </w:r>
    </w:p>
    <w:p>
      <w:pPr>
        <w:pStyle w:val="FirstParagraph"/>
      </w:pPr>
      <w:r>
        <w:t xml:space="preserve">克拉里昂-克利伯顿区（CCZ）面积约450万平方公里，结核覆盖不均匀，一个作业区的结核大约需要20–30年采完。届时平台集群需要迁移到下一个作业区，距离可能是数百公里。迁移时海底基地模块通过AUV和ROV拆解回收，平台集群自行航行到新位置，重新部署海底系统，迁移周期约3–6个月。</w:t>
      </w:r>
    </w:p>
    <w:p>
      <w:pPr>
        <w:pStyle w:val="BodyText"/>
      </w:pPr>
      <w:r>
        <w:t xml:space="preserve">这是深海城镇与陆地城镇最根本的物理差异——它是可以移动的，社区的地理坐标不是永久的。第二代海上人对「家」的理解因此不同于任何陆地社区：家是那个平台集群，不是那个海底坐标。</w:t>
      </w:r>
    </w:p>
    <w:bookmarkEnd w:id="391"/>
    <w:bookmarkStart w:id="392" w:name="环境监测与第三方独立节点"/>
    <w:p>
      <w:pPr>
        <w:pStyle w:val="Heading3"/>
      </w:pPr>
      <w:r>
        <w:t xml:space="preserve">6.8.8　环境监测与第三方独立节点</w:t>
      </w:r>
    </w:p>
    <w:p>
      <w:pPr>
        <w:pStyle w:val="FirstParagraph"/>
      </w:pPr>
      <w:r>
        <w:t xml:space="preserve">深海采矿的主要环境影响是沉积物羽流（扩散范围可达数十公里）和尾矿回注点的重金属浓度扩散。第三方独立远程监测节点：锚定式传感器阵列，数据直接加密上传给第三方，企业无法访问原始数据流，节点能源自持（温差发电或海流发电），无需维护。这些节点同时具有战略价值：提供了互相核查采矿边界的机制，在中美规则框架（2048–2055）形成时作为最低限度共识被纳入。叙事上它是「无人在场的见证者」——记录一切，没有人实时在看，但痕迹永久存在。</w:t>
      </w:r>
    </w:p>
    <w:bookmarkEnd w:id="392"/>
    <w:bookmarkStart w:id="393" w:name="社区形态家庭定居的城镇"/>
    <w:p>
      <w:pPr>
        <w:pStyle w:val="Heading3"/>
      </w:pPr>
      <w:r>
        <w:t xml:space="preserve">6.8.9　社区形态：家庭定居的城镇</w:t>
      </w:r>
    </w:p>
    <w:p>
      <w:pPr>
        <w:pStyle w:val="FirstParagraph"/>
      </w:pPr>
      <w:r>
        <w:t xml:space="preserve">居民以家庭为单位申请长期驻留合约，定期续签，不受统一轮班时间表约束。不同家庭的休假窗口自然错开，平台上始终有足够的人维持社区运转。孩子在平台上出生成长，接受完整的基础教育，大陆对他们来说是休假目的地而不是家。这一代「海上人」的身份认同与任何陆地社区都不同——他们是真正的第二代深海城镇居民，不是从大陆借调来的工人。</w:t>
      </w:r>
    </w:p>
    <w:p>
      <w:pPr>
        <w:pStyle w:val="BodyText"/>
      </w:pPr>
      <w:r>
        <w:t xml:space="preserve">人人有功能性角色是这个社区最根本的特征。支撑性服务人员（教育、医疗、餐饮、维修）约占三分之一，但同样有不可替代的位置。意义感危机在此最晚到来——被需要感是结构性保障的，不依赖任何主动选择。物理孤岛但信息完全连通：平台与外部世界保持实时高带宽联系，你在世界最偏远的地方，却完全置身于现代信息环境中。</w:t>
      </w:r>
    </w:p>
    <w:bookmarkEnd w:id="393"/>
    <w:bookmarkStart w:id="394" w:name="巡检工作与社区长期存在"/>
    <w:p>
      <w:pPr>
        <w:pStyle w:val="Heading3"/>
      </w:pPr>
      <w:r>
        <w:t xml:space="preserve">6.8.10　巡检工作与社区长期存在</w:t>
      </w:r>
    </w:p>
    <w:p>
      <w:pPr>
        <w:pStyle w:val="FirstParagraph"/>
      </w:pPr>
      <w:r>
        <w:t xml:space="preserve">深海城镇的社区稳定性有一个非显而易见的技术基础：AI自动化系统的误差积累机制。深海采矿车和处理设施在长期运行中遭遇「分布偏移」——训练时的海底环境假设与实际持续变化的海底条件之间的差距随时间积累，AI决策质量悄悄下降。人类巡检员能发现AI不知道自己不知道的事——边界条件、异常模式、偏差的早期信号。</w:t>
      </w:r>
    </w:p>
    <w:p>
      <w:pPr>
        <w:pStyle w:val="BodyText"/>
      </w:pPr>
      <w:r>
        <w:t xml:space="preserve">技术逻辑提供正当性，社会逻辑提供驱动力，两条逻辑相互强化，使平台维持比纯粹经济逻辑更多的人员。陈木在潜艇里感受到那个异常的振动频谱峰值，记下数字，等待ROV——这个动作在技术上可以被自动化取代，但取代后失去的是一种「人在场」的存在方式，以及由此维持的社区结构。</w:t>
      </w:r>
    </w:p>
    <w:bookmarkEnd w:id="394"/>
    <w:bookmarkStart w:id="395" w:name="法律政治地位稀土战略链与慢生活社区的关系"/>
    <w:p>
      <w:pPr>
        <w:pStyle w:val="Heading3"/>
      </w:pPr>
      <w:r>
        <w:t xml:space="preserve">6.8.11　法律政治地位、稀土战略链与慢生活社区的关系</w:t>
      </w:r>
    </w:p>
    <w:p>
      <w:pPr>
        <w:pStyle w:val="FirstParagraph"/>
      </w:pPr>
      <w:r>
        <w:t xml:space="preserve">注册在母国（美国或中国）旗下，适用母国劳动法和商业法。事实上是主权延伸的资源前哨站，有母国军事保护但不是军事基地——企业运营，国家背书。美国体系平台企业运营，工人有完整劳动合同；中国体系平台更接近国有企业海外项目，集体主义文化更强，国家安全部门有更直接的存在。</w:t>
      </w:r>
    </w:p>
    <w:p>
      <w:pPr>
        <w:pStyle w:val="BodyText"/>
      </w:pPr>
      <w:r>
        <w:t xml:space="preserve">锰结核含有大量稀土元素（钕、镝等），太平洋深海稀土总量估计超过陆地已知储量数倍，且分布于国际水域，不在任何单一国家主权控制之下。深海稀土规模化供应使稀土价格从2060年代开始系统性下降，这条「深海采矿→稀土价格下降→高速道路体系经济可行边界外移」的因果链，改变了边界的位置，但不改变边界存在的事实。</w:t>
      </w:r>
    </w:p>
    <w:p>
      <w:pPr>
        <w:pStyle w:val="BodyText"/>
      </w:pPr>
      <w:r>
        <w:t xml:space="preserve">深海城镇内部没有慢生活社区存在的空间——功能性密度极高，每个人都有位置。但离开平台的人面对的意义感失落比普通陆地人更剧烈：他们习惯了极度被需要的存在方式，而那种方式在陆地上已经消失。第二代「海上人」的失重更特殊——他们失去的不只是一个工作位置，而是一整套生活的物理坐标，包括那个可以移动的「家」。</w:t>
      </w:r>
    </w:p>
    <w:bookmarkEnd w:id="395"/>
    <w:bookmarkEnd w:id="396"/>
    <w:bookmarkStart w:id="402" w:name="太空基地与前进基地"/>
    <w:p>
      <w:pPr>
        <w:pStyle w:val="Heading2"/>
      </w:pPr>
      <w:r>
        <w:t xml:space="preserve">6.9　太空基地与前进基地</w:t>
      </w:r>
    </w:p>
    <w:p>
      <w:pPr>
        <w:pStyle w:val="FirstParagraph"/>
      </w:pPr>
      <w:r>
        <w:t xml:space="preserve">2072年的太空基地不构成多态社会的独立路径——规模太小，太孤立，太临时。它是国家竞争在物理空间上的最远延伸，性质更接近南极科考站，而不是深海采矿城镇。「有人在月球上」这个事实改变了2072年的世界质感，大多数人知道但与自己的生活毫无关系。</w:t>
      </w:r>
    </w:p>
    <w:bookmarkStart w:id="397" w:name="经济价值有限且间接"/>
    <w:p>
      <w:pPr>
        <w:pStyle w:val="Heading3"/>
      </w:pPr>
      <w:r>
        <w:t xml:space="preserve">6.9.1　经济价值：有限且间接</w:t>
      </w:r>
    </w:p>
    <w:p>
      <w:pPr>
        <w:pStyle w:val="FirstParagraph"/>
      </w:pPr>
      <w:r>
        <w:t xml:space="preserve">氘-氚聚变已满足地球全部能源需求，氦-3对地球经济价值因此消失。几乎所有月球矿产的运输成本使其地球经济价值为零；外太空矿产的价值在于支撑基地就地扩张，不作为出口燃料运回地球。白金族金属（铂、铱、锇）是极少数可能具有地球经济价值的例外，小行星采矿在2072年仍处于前沿探索阶段，不是成熟产业。</w:t>
      </w:r>
    </w:p>
    <w:bookmarkEnd w:id="397"/>
    <w:bookmarkStart w:id="398" w:name="政治价值主要驱动力"/>
    <w:p>
      <w:pPr>
        <w:pStyle w:val="Heading3"/>
      </w:pPr>
      <w:r>
        <w:t xml:space="preserve">6.9.2　政治价值：主要驱动力</w:t>
      </w:r>
    </w:p>
    <w:p>
      <w:pPr>
        <w:pStyle w:val="FirstParagraph"/>
      </w:pPr>
      <w:r>
        <w:t xml:space="preserve">先占即主权的事实延伸：月球南极水冰分布有限，最佳区域稀缺，中美各自在南极附近建立基地，形成物理边界。「安全区」概念（Artemis Accords核心机制）实质上是排他性控制区，范围由先占事实决定。顺月球轨道的战略制高点——拉格朗日点（特别是L4、L5）是自然轨道稳定点，用极低燃料维持，适合部署监视卫星和通信中继。控制顺月球空间意味着对地球轨道以外的一切太空活动有战略优势。在双体系格局里，顺月球空间是中美战略博弈的新维度——不是战场，而是博弈棋盘。</w:t>
      </w:r>
    </w:p>
    <w:p>
      <w:pPr>
        <w:pStyle w:val="BodyText"/>
      </w:pPr>
      <w:r>
        <w:t xml:space="preserve">象征性和软实力：月球永久基地是文明能力的展示，影响全球南方国家的体系选择，与中国能源主权输出战略的逻辑一致——技术能力的展示本身是外交工具。</w:t>
      </w:r>
    </w:p>
    <w:bookmarkEnd w:id="398"/>
    <w:bookmarkStart w:id="399" w:name="探索价值前进基地功能"/>
    <w:p>
      <w:pPr>
        <w:pStyle w:val="Heading3"/>
      </w:pPr>
      <w:r>
        <w:t xml:space="preserve">6.9.3　探索价值：前进基地功能</w:t>
      </w:r>
    </w:p>
    <w:p>
      <w:pPr>
        <w:pStyle w:val="FirstParagraph"/>
      </w:pPr>
      <w:r>
        <w:t xml:space="preserve">月球背面完全屏蔽地球无线电噪声，是建造低频射电望远镜的唯一理想地点，可探测宇宙黎明时期的信号。月球重力井浅（逃逸速度2.38 km/s，地球11.2 km/s），就地生产推进剂使深空探索不再完全依赖地球补给链。第一批火星载人任务在2060–2070年代，与故事节点2072重叠——背景里人类正在向外扩张，与地球上多态社会向内收缩的主题形成宏观对比。</w:t>
      </w:r>
    </w:p>
    <w:bookmarkEnd w:id="399"/>
    <w:bookmarkStart w:id="400" w:name="年的实际图景"/>
    <w:p>
      <w:pPr>
        <w:pStyle w:val="Heading3"/>
      </w:pPr>
      <w:r>
        <w:t xml:space="preserve">6.9.4　2072年的实际图景</w:t>
      </w:r>
    </w:p>
    <w:p>
      <w:pPr>
        <w:pStyle w:val="FirstParagraph"/>
      </w:pPr>
      <w:r>
        <w:t xml:space="preserve">月球南极中美各有1–2个基地，每个驻扎50–200人，轮换制，无永久定居人口。火星有1个实验性前进基地，十几到几十人，处于建立阶段。拉格朗日点有无人或少量有人的监测和中继节点。各基地之间没有功能性联系，各自孤立，共同构成的不是「太空社会」，而是若干个「国家在太空的名片」。</w:t>
      </w:r>
    </w:p>
    <w:p>
      <w:pPr>
        <w:pStyle w:val="BodyText"/>
      </w:pPr>
      <w:r>
        <w:t xml:space="preserve">缺乏长居吸引力的根本原因不只是经济问题：月球低重力（1/6G）对骨密度和肌肉的长期影响未解决；辐射暴露是持续的健康风险；心理上月球基地的封闭性远超深海城镇——没有天空、海风、自然光线变化，日夜周期14天，与人类生理节律完全不符。仿真仓在这里有其最重要的非娱乐用途：悬浮式力反馈系统在极小的物理空间内完成完整的高强度训练，是强制性医疗要求，不是娱乐选项。</w:t>
      </w:r>
    </w:p>
    <w:bookmarkEnd w:id="400"/>
    <w:bookmarkStart w:id="401" w:name="与深海城镇的对比"/>
    <w:p>
      <w:pPr>
        <w:pStyle w:val="Heading3"/>
      </w:pPr>
      <w:r>
        <w:t xml:space="preserve">6.9.5　与深海城镇的对比</w:t>
      </w:r>
    </w:p>
    <w:p>
      <w:pPr>
        <w:pStyle w:val="FirstParagraph"/>
      </w:pPr>
      <w:r>
        <w:t xml:space="preserve">深海城镇是真正意义上的城镇：家庭定居，孩子在此成长，社区完整，与大陆保持实时通信。太空基地是轮换制的临时工作站：单人或小组轮换，无家庭定居，无永久社区，与地球有1.3秒（月球）到20分钟（火星）的通信延迟。</w:t>
      </w:r>
    </w:p>
    <w:p>
      <w:pPr>
        <w:pStyle w:val="BodyText"/>
      </w:pPr>
      <w:r>
        <w:t xml:space="preserve">这个延迟是太空基地最独特的存在特征：月球基地的人与地球任何人说话，永远有1.3秒的停顿——不足以阻止通信，但足以使所有互动产生一种奇特的间隔感。这不是技术问题，是存在体验的根本改变。深海城镇的居民随时可以与家人实时通话，太空基地的人只能等待。</w:t>
      </w:r>
    </w:p>
    <w:p>
      <w:pPr>
        <w:pStyle w:val="BodyText"/>
      </w:pPr>
      <w:r>
        <w:t xml:space="preserve">深海城镇的人离开平台，失去的是「被需要的位置」。太空基地的人回到地球，失去的是「成为人类前沿的感觉」。两种失落的性质完全不同，但在慢生活社区上同样无法复现。</w:t>
      </w:r>
    </w:p>
    <w:bookmarkEnd w:id="401"/>
    <w:bookmarkEnd w:id="402"/>
    <w:bookmarkEnd w:id="403"/>
    <w:bookmarkStart w:id="434" w:name="第七部分-动荡期20272055"/>
    <w:p>
      <w:pPr>
        <w:pStyle w:val="Heading1"/>
      </w:pPr>
      <w:r>
        <w:t xml:space="preserve">第七部分　动荡期（2027—2055）</w:t>
      </w:r>
    </w:p>
    <w:p>
      <w:pPr>
        <w:pStyle w:val="FirstParagraph"/>
      </w:pPr>
      <w:r>
        <w:t xml:space="preserve">这一时期是所有路径的共同起点，也是塑造人物背景的关键窗口。技术加速但红利未至，是最危险的窗口：大量标准化岗位被替代，新秩序尚未建立，能源仍然昂贵，地缘竞争白热化。动荡期的时间跨度因路径不同而不同——A1/A2/B1类路径的核心动荡约在2027—2044年；全球南方部分地区延续至2055年前后；被遗忘地带从未真正进入动荡期，也从未真正走出。</w:t>
      </w:r>
    </w:p>
    <w:bookmarkStart w:id="410" w:name="技术-经济-制度互动机制a1a2b1类路径"/>
    <w:p>
      <w:pPr>
        <w:pStyle w:val="Heading2"/>
      </w:pPr>
      <w:r>
        <w:t xml:space="preserve">7.1　技术-经济-制度互动机制（A1/A2/B1类路径）</w:t>
      </w:r>
    </w:p>
    <w:p>
      <w:pPr>
        <w:pStyle w:val="FirstParagraph"/>
      </w:pPr>
      <w:r>
        <w:t xml:space="preserve">前六部分已从变量、因果链、经济图景、社会形态、地理分布等多个维度对动荡期进行了分散推演。本节的任务是将这些分散的分析整合为一个时序性的互动机制——在约2027—2055年间，技术冲击、经济重构与制度响应三者如何相互驱动、相互约束，最终形成新的稳态基础。分析对象为受AI和聚变影响最深的A1/A2/B1类国家和地区。</w:t>
      </w:r>
    </w:p>
    <w:bookmarkStart w:id="404" w:name="裸露期就业崩塌先于制度响应20272035"/>
    <w:p>
      <w:pPr>
        <w:pStyle w:val="Heading3"/>
      </w:pPr>
      <w:r>
        <w:t xml:space="preserve">7.1.1　裸露期：就业崩塌先于制度响应（2027—2035）</w:t>
      </w:r>
    </w:p>
    <w:p>
      <w:pPr>
        <w:pStyle w:val="FirstParagraph"/>
      </w:pPr>
      <w:r>
        <w:t xml:space="preserve">动荡期的第一阶段由V1的急剧上升主导。AGI临界（±2年）之后，标准化认知劳动的替代开始系统性展开——不是此前若干年的局部渗透，而是跨行业的同步冲击。法律文件审查、会计处理、中级客服、基础编程、标准化内容生产，在数年内完成从”AI辅助”到”AI替代”的跨越。</w:t>
      </w:r>
    </w:p>
    <w:p>
      <w:pPr>
        <w:pStyle w:val="BodyText"/>
      </w:pPr>
      <w:r>
        <w:t xml:space="preserve">这一阶段的结构性特征是</w:t>
      </w:r>
      <w:r>
        <w:rPr>
          <w:bCs/>
          <w:b/>
        </w:rPr>
        <w:t xml:space="preserve">时序错位</w:t>
      </w:r>
      <w:r>
        <w:t xml:space="preserve">：劳动替代的速度远快于制度响应的速度。</w:t>
      </w:r>
    </w:p>
    <w:p>
      <w:pPr>
        <w:pStyle w:val="BodyText"/>
      </w:pPr>
      <w:r>
        <w:t xml:space="preserve">劳动市场的调整存在内在弹性。历史上每一次技术替代都伴随着新岗位的涌现，有充分理由期待这一次也将产生新的就业需求。问题不在于期待是否合理，而在于新岗位的涌现需要时间，而被替代的岗位消失是即时的。这个时差——岗位消失与岗位创造之间的结构性空档——是裸露期的物质基础。</w:t>
      </w:r>
    </w:p>
    <w:p>
      <w:pPr>
        <w:pStyle w:val="BodyText"/>
      </w:pPr>
      <w:r>
        <w:t xml:space="preserve">制度层面的滞后更为严重。再分配机制（税制调整、福利扩展、BSC前身）的设计、立法、通过、部署，在现有政治体系的约束下，即使运转顺畅也需要数年；在民粹浪潮和政治极化的动荡期，这个周期进一步延长。技术替代完成时，制度保障通常尚未到位。这不是制度设计的失败，而是技术变迁速度与民主决策速度之间的固有落差。</w:t>
      </w:r>
    </w:p>
    <w:p>
      <w:pPr>
        <w:pStyle w:val="BodyText"/>
      </w:pPr>
      <w:r>
        <w:t xml:space="preserve">裸露期的社会现象：中产阶级规模收缩，劳动收入占比系统性下降，储蓄侵蚀，债务上升，再就业成功率因年龄和技能结构差异极大。主观层面，职业身份的丧失早于替代身份的形成，意义危机的最初信号在这一阶段开始显现——不是哲学意义上的意义危机，而是”我不知道自己明天应该做什么”的具体迷失。</w:t>
      </w:r>
    </w:p>
    <w:bookmarkEnd w:id="404"/>
    <w:bookmarkStart w:id="405" w:name="经济冲击的政治传导链"/>
    <w:p>
      <w:pPr>
        <w:pStyle w:val="Heading3"/>
      </w:pPr>
      <w:r>
        <w:t xml:space="preserve">7.1.2　经济冲击的政治传导链</w:t>
      </w:r>
    </w:p>
    <w:p>
      <w:pPr>
        <w:pStyle w:val="FirstParagraph"/>
      </w:pPr>
      <w:r>
        <w:t xml:space="preserve">经济层面的裸露期通过若干可识别的传导机制进入政治领域。</w:t>
      </w:r>
    </w:p>
    <w:p>
      <w:pPr>
        <w:pStyle w:val="BodyText"/>
      </w:pPr>
      <w:r>
        <w:rPr>
          <w:bCs/>
          <w:b/>
        </w:rPr>
        <w:t xml:space="preserve">收入不平等的可见性上升。</w:t>
      </w:r>
      <w:r>
        <w:t xml:space="preserve"> </w:t>
      </w:r>
      <w:r>
        <w:t xml:space="preserve">AI替代在初期集中于中等技能劳动，形成典型的”空心化”结果：高技能劳动（AI协作、系统设计、创意判断）和低技能劳动（难以自动化的体力服务）短期内相对稳定，中等技能劳动受冲击最大。这种结构与工业时代”整体性贫困”不同——社会中同时可见的是少数人的财富快速积累和多数人的处境相对恶化，比较维度使不平等的感知强度高于绝对贫困场景。</w:t>
      </w:r>
    </w:p>
    <w:p>
      <w:pPr>
        <w:pStyle w:val="BodyText"/>
      </w:pPr>
      <w:r>
        <w:rPr>
          <w:bCs/>
          <w:b/>
        </w:rPr>
        <w:t xml:space="preserve">痛苦政治化的激活条件。</w:t>
      </w:r>
      <w:r>
        <w:t xml:space="preserve"> </w:t>
      </w:r>
      <w:r>
        <w:t xml:space="preserve">V7（痛苦政治化程度）的激活需要两个条件的叠合（见1.2.1节）：私人痛苦长期堆积，与组织门槛的突然降低。裸露期提供了前者的规模化积累；AI时代社交媒体降低了组织协调的成本，提供了后者的技术条件。两者的叠合使动荡期的政治动员门槛系统性低于历史先例。</w:t>
      </w:r>
    </w:p>
    <w:p>
      <w:pPr>
        <w:pStyle w:val="BodyText"/>
      </w:pPr>
      <w:r>
        <w:t xml:space="preserve">但V7的激活不自动等于有效的集体行动。A1体系内，相互忽视均衡的结构性力量（问题无集体解、施压对象不明确、动员预期收益低）同时发挥抑制作用。结果是一种高张力低整合的政治状态：民粹政治的选举表达强烈，街头动员的规模和持续性有限；愤怒可以选出不同的政府，但不足以维持推动系统性变革所需的持续施压。</w:t>
      </w:r>
    </w:p>
    <w:p>
      <w:pPr>
        <w:pStyle w:val="BodyText"/>
      </w:pPr>
      <w:r>
        <w:rPr>
          <w:bCs/>
          <w:b/>
        </w:rPr>
        <w:t xml:space="preserve">政治博弈与制度输出。</w:t>
      </w:r>
      <w:r>
        <w:t xml:space="preserve"> </w:t>
      </w:r>
      <w:r>
        <w:t xml:space="preserve">民粹浪潮的选举后果是：政策重心向再分配和保护主义倾斜，但不均匀。AI替代的受益方（科技企业、资本持有者）具备强大的游说和法律资源；受损方（中等技能劳动者）在组织上分散。政策输出通常是各方压力下的政治妥协：机器税以低于最优税率通过，UBI或BSC前身以有限覆盖面起步，再分配改革附带大量利益交换条款。带着政治博弈痕迹的不完美制度，是动荡期的正常制度产出，而非例外。</w:t>
      </w:r>
    </w:p>
    <w:bookmarkEnd w:id="405"/>
    <w:bookmarkStart w:id="406" w:name="制度适应窗口20352050"/>
    <w:p>
      <w:pPr>
        <w:pStyle w:val="Heading3"/>
      </w:pPr>
      <w:r>
        <w:t xml:space="preserve">7.1.3　制度适应窗口（2035—2050）</w:t>
      </w:r>
    </w:p>
    <w:p>
      <w:pPr>
        <w:pStyle w:val="FirstParagraph"/>
      </w:pPr>
      <w:r>
        <w:t xml:space="preserve">随着裸露期持续，政治压力持续积累，制度响应在2035年前后开始进入实质阶段。</w:t>
      </w:r>
    </w:p>
    <w:p>
      <w:pPr>
        <w:pStyle w:val="BodyText"/>
      </w:pPr>
      <w:r>
        <w:rPr>
          <w:bCs/>
          <w:b/>
        </w:rPr>
        <w:t xml:space="preserve">财政工具的重构。</w:t>
      </w:r>
      <w:r>
        <w:t xml:space="preserve"> </w:t>
      </w:r>
      <w:r>
        <w:t xml:space="preserve">机器税（对AI产出的资本收益征税）、平台税、数据税等新税种在多个A1国家以不同形式得到立法。税制重构的政治摩擦在这一阶段最为激烈——既有意识形态分歧（政府干预的边界），也有技术层面的税基界定困难（如何定义和计量”AI产出”）。最终通过的税制通常是各方可以接受的第二优选，而非经济学意义上的最优设计。</w:t>
      </w:r>
    </w:p>
    <w:p>
      <w:pPr>
        <w:pStyle w:val="BodyText"/>
      </w:pPr>
      <w:r>
        <w:rPr>
          <w:bCs/>
          <w:b/>
        </w:rPr>
        <w:t xml:space="preserve">分配制度的演化路径。</w:t>
      </w:r>
      <w:r>
        <w:t xml:space="preserve"> </w:t>
      </w:r>
      <w:r>
        <w:t xml:space="preserve">基本支持积分（BSC）的前身在这一时期以多种形式出现：试点性UBI项目、扩展的失业保障、特定人群的生活补贴。这些项目在财政可持续性和政治阻力的双重约束下，通常经历多轮扩展和收缩，最终在约2050—2055年前后达到覆盖基本生存的规模。聚变商业化对能源成本的系统性降低，是这一阶段制度扩张的关键物质条件——没有廉价能源，维持大规模分配体系的财政基础是脆弱的。</w:t>
      </w:r>
    </w:p>
    <w:p>
      <w:pPr>
        <w:pStyle w:val="BodyText"/>
      </w:pPr>
      <w:r>
        <w:rPr>
          <w:bCs/>
          <w:b/>
        </w:rPr>
        <w:t xml:space="preserve">制度保障与意义危机的分离。</w:t>
      </w:r>
      <w:r>
        <w:t xml:space="preserve"> </w:t>
      </w:r>
      <w:r>
        <w:t xml:space="preserve">值得特别注意的是：制度适应主要解决的是</w:t>
      </w:r>
      <w:r>
        <w:rPr>
          <w:bCs/>
          <w:b/>
        </w:rPr>
        <w:t xml:space="preserve">分配问题</w:t>
      </w:r>
      <w:r>
        <w:t xml:space="preserve">，而非</w:t>
      </w:r>
      <w:r>
        <w:rPr>
          <w:bCs/>
          <w:b/>
        </w:rPr>
        <w:t xml:space="preserve">意义问题</w:t>
      </w:r>
      <w:r>
        <w:t xml:space="preserve">。BSC能够保障基本生存，但不能提供稳定的自我价值感、社区归属感和生活目的感。裸露期积累的意义危机，在制度稳定化之后并未随之消解，而是进入一个新的慢性阶段——生存有保障，但空虚感持续。这是第五部分和第六部分所描述的2072年稳态的前史。</w:t>
      </w:r>
    </w:p>
    <w:bookmarkEnd w:id="406"/>
    <w:bookmarkStart w:id="407" w:name="聚变接入与路径分叉的加速20372052"/>
    <w:p>
      <w:pPr>
        <w:pStyle w:val="Heading3"/>
      </w:pPr>
      <w:r>
        <w:t xml:space="preserve">7.1.4　聚变接入与路径分叉的加速（2037—2052）</w:t>
      </w:r>
    </w:p>
    <w:p>
      <w:pPr>
        <w:pStyle w:val="FirstParagraph"/>
      </w:pPr>
      <w:r>
        <w:t xml:space="preserve">聚变净能量突破（约2037年）和随后的商业电网上线（约2044年），不是均匀惠及所有A1/A2/B1类国家的事件，而是通过技术标准和资本渗透制造新一轮路径分叉的节点。</w:t>
      </w:r>
    </w:p>
    <w:p>
      <w:pPr>
        <w:pStyle w:val="BodyText"/>
      </w:pPr>
      <w:r>
        <w:t xml:space="preserve">早期接入聚变网络的国家，能源成本在约十年内大幅下降，制度扩张的财政基础显著改善，分配体系可以以更低成本维持更高覆盖。晚期接入或以不利条件接入的国家，继续在高能源成本约束下运营再分配体系，财政压力持续更久。聚变接入的时序差异，在A1/A2/B1类国家内部进一步分化出”先稳定”和”后稳定”两个子集，使动荡期的持续时长出现显著的国家间差异。</w:t>
      </w:r>
    </w:p>
    <w:p>
      <w:pPr>
        <w:pStyle w:val="BodyText"/>
      </w:pPr>
      <w:r>
        <w:t xml:space="preserve">路径锁定的机制已在7.4节中详细分析（见技术标准竞争部分）。在此需要补充的是其社会含义：路径锁定不只是国家层面的战略选择，也是普通人生活轨迹的结构性约束。接入哪个体系的聚变电网，决定了这个国家的技术标准、贸易依附方向和制度演化可能性，而这些因素共同决定了生活在其中的普通人的可能生活半径。</w:t>
      </w:r>
    </w:p>
    <w:bookmarkEnd w:id="407"/>
    <w:bookmarkStart w:id="408" w:name="动荡期终结的结构条件20442055"/>
    <w:p>
      <w:pPr>
        <w:pStyle w:val="Heading3"/>
      </w:pPr>
      <w:r>
        <w:t xml:space="preserve">7.1.5　动荡期终结的结构条件（2044—2055）</w:t>
      </w:r>
    </w:p>
    <w:p>
      <w:pPr>
        <w:pStyle w:val="FirstParagraph"/>
      </w:pPr>
      <w:r>
        <w:t xml:space="preserve">动荡期的终结不是一个具体事件，而是若干条件同时满足的结构性时刻。</w:t>
      </w:r>
    </w:p>
    <w:p>
      <w:pPr>
        <w:pStyle w:val="BodyText"/>
      </w:pPr>
      <w:r>
        <w:rPr>
          <w:bCs/>
          <w:b/>
        </w:rPr>
        <w:t xml:space="preserve">第一条件：分配体系的财政可行性成立。</w:t>
      </w:r>
      <w:r>
        <w:t xml:space="preserve"> </w:t>
      </w:r>
      <w:r>
        <w:t xml:space="preserve">BSC或等效机制能够以可持续的财政路径覆盖基本生存，且这个判断被政治体系广泛接受而非持续争议。时间窗口约在2052—2055年。</w:t>
      </w:r>
    </w:p>
    <w:p>
      <w:pPr>
        <w:pStyle w:val="BodyText"/>
      </w:pPr>
      <w:r>
        <w:rPr>
          <w:bCs/>
          <w:b/>
        </w:rPr>
        <w:t xml:space="preserve">第二条件：主要政治体系完成适应性调整。</w:t>
      </w:r>
      <w:r>
        <w:t xml:space="preserve"> </w:t>
      </w:r>
      <w:r>
        <w:t xml:space="preserve">主要A类民主国家建立了AI时代福利体系的基本框架，且框架经过了至少一个完整的政治周期的检验而未被推翻。这不要求框架完美，只要求它在政治上可持续。</w:t>
      </w:r>
    </w:p>
    <w:p>
      <w:pPr>
        <w:pStyle w:val="BodyText"/>
      </w:pPr>
      <w:r>
        <w:rPr>
          <w:bCs/>
          <w:b/>
        </w:rPr>
        <w:t xml:space="preserve">第三条件：意义框架的初步重建。</w:t>
      </w:r>
      <w:r>
        <w:t xml:space="preserve"> </w:t>
      </w:r>
      <w:r>
        <w:t xml:space="preserve">配给经济加免费教育加社区自治的组合，开始为大量人口提供”虽然不是旧日的生活，但可以接受的新生活”的经验。这个条件最难精确时间化，但可以观察的代理指标是：社会动员意愿的系统性回落，以及主观幸福感测量中”可接受”比例的上升。</w:t>
      </w:r>
    </w:p>
    <w:p>
      <w:pPr>
        <w:pStyle w:val="BodyText"/>
      </w:pPr>
      <w:r>
        <w:t xml:space="preserve">动荡期终结不意味着问题解决，而是问题性质的转变：从”这个系统可能崩溃”变成”这个系统在运行，但它的代价是什么”。后者是可以在稳态中长期携带的问题，不是逼迫系统崩溃的问题。</w:t>
      </w:r>
    </w:p>
    <w:bookmarkEnd w:id="408"/>
    <w:bookmarkStart w:id="409" w:name="a2路径的内部冲击传导机制"/>
    <w:p>
      <w:pPr>
        <w:pStyle w:val="Heading3"/>
      </w:pPr>
      <w:r>
        <w:t xml:space="preserve">7.1.6　A2路径的内部冲击传导机制</w:t>
      </w:r>
    </w:p>
    <w:p>
      <w:pPr>
        <w:pStyle w:val="FirstParagraph"/>
      </w:pPr>
      <w:r>
        <w:t xml:space="preserve">A2体系的冲击传导链在结构上根本不同于A1路径：缺乏选举压力阀、缺乏独立工会、信息管控压制公开动员，但这不意味着冲击被吸收，而是以不同的形式积累和传导。</w:t>
      </w:r>
    </w:p>
    <w:p>
      <w:pPr>
        <w:pStyle w:val="BodyText"/>
      </w:pPr>
      <w:r>
        <w:rPr>
          <w:bCs/>
          <w:b/>
        </w:rPr>
        <w:t xml:space="preserve">裸露期的配给降质。</w:t>
      </w:r>
      <w:r>
        <w:t xml:space="preserve"> </w:t>
      </w:r>
      <w:r>
        <w:t xml:space="preserve">A2体系内，就业与体制绑定——国有单位、政府关联平台、配给接入资格，构成大量人口维持基本生活的通道。AI替代在初期集中于认知劳动，对这部分人口的直接冲击与A1类似；但A2的配给逻辑使失业的政治含义不同：在A1体系，失业首先是个人经济问题；在A2体系，失业意味着从货币薪资阶层跌入供应票据阶层——不是断绝基本生存保障（供应票据体系覆盖体制外人口约40—50%，见4.9.2节），而是失去货币收入所赋予的消费自主权和社会身份，危机的性质因此是向下跌落而非直接的生存威胁，但表达通道更受限，且恢复原有阶层地位的路径极为狭窄。</w:t>
      </w:r>
    </w:p>
    <w:p>
      <w:pPr>
        <w:pStyle w:val="BodyText"/>
      </w:pPr>
      <w:r>
        <w:rPr>
          <w:bCs/>
          <w:b/>
        </w:rPr>
        <w:t xml:space="preserve">精英层的博弈压力传导。</w:t>
      </w:r>
      <w:r>
        <w:t xml:space="preserve"> </w:t>
      </w:r>
      <w:r>
        <w:t xml:space="preserve">当AI替代开始侵蚀中等技能配给岗位，A2内部的传导路径主要是精英层的博弈压力，而非自下而上的政治动员。地方执行层面临的问题是：配给质量的局部退化不能公开上报（因为这意味着执行失败），但压力在积累。内部博弈以”换人不换结构”为默认边界，政策响应通常表现为配给品类的局部调整、绩效考核标准的修改，以及向特定群体的定向补偿（见5.8.6节精英均衡的自我维持机制）。</w:t>
      </w:r>
    </w:p>
    <w:p>
      <w:pPr>
        <w:pStyle w:val="BodyText"/>
      </w:pPr>
      <w:r>
        <w:rPr>
          <w:bCs/>
          <w:b/>
        </w:rPr>
        <w:t xml:space="preserve">聚变前与聚变后的阶段差异。</w:t>
      </w:r>
      <w:r>
        <w:t xml:space="preserve"> </w:t>
      </w:r>
      <w:r>
        <w:t xml:space="preserve">聚变商业化（约2044年）之前，A2体系的冲击主要来自认知劳动替代，这与A1同步，但压力以内部方式消化。约2044年之后，能源成本系统性降低使大规模自动化的门槛在制造业大幅下降——这一阶段的冲击比AI认知替代更为直接地触及A2体系内大量实体劳动人口，配给逻辑的缓冲能力面临比前期更严峻的考验。与A1不同，A2体系没有价格信号和政治反馈来校准响应速度，调整往往在问题已经积累到相当规模后才以行政指令的形式展开，时序上滞后于冲击。</w:t>
      </w:r>
    </w:p>
    <w:p>
      <w:pPr>
        <w:pStyle w:val="BodyText"/>
      </w:pPr>
      <w:r>
        <w:rPr>
          <w:bCs/>
          <w:b/>
        </w:rPr>
        <w:t xml:space="preserve">局部断裂风险。</w:t>
      </w:r>
      <w:r>
        <w:t xml:space="preserve"> </w:t>
      </w:r>
      <w:r>
        <w:t xml:space="preserve">A2动荡期最高风险节点不是系统性的政治危机，而是配给体系的区域性断裂。一旦某地区出现配给实质性中断，信息管控的有效性因大规模穿透而快速退化，局部事件有可能在难以预测的时间节点升至更高规模（见7.2.6节A2制度响应分析）。这是A2内部机制与A1的根本不对称之处：A1的冲击传导是弥散的、持续可见的、有选举周期缓冲的；A2的冲击传导是压缩的、被管理的，在平稳期间看似更稳定，但有更高的非线性跳升概率。</w:t>
      </w:r>
    </w:p>
    <w:bookmarkEnd w:id="409"/>
    <w:bookmarkEnd w:id="410"/>
    <w:bookmarkStart w:id="417" w:name="主要冲突形态与制度响应分地区分析"/>
    <w:p>
      <w:pPr>
        <w:pStyle w:val="Heading2"/>
      </w:pPr>
      <w:r>
        <w:t xml:space="preserve">7.2　主要冲突形态与制度响应：分地区分析</w:t>
      </w:r>
    </w:p>
    <w:p>
      <w:pPr>
        <w:pStyle w:val="FirstParagraph"/>
      </w:pPr>
      <w:r>
        <w:t xml:space="preserve">本节依据7.1节的机制框架，分地区描述动荡期制度响应的具体过程与结果。分析对象为A1、A2及B1类主要地区；A1/A2之外的其余国家见7.3节。各地区描述的重点是制度响应的差异，冲击的共同机制见7.1节，不在此重复。</w:t>
      </w:r>
    </w:p>
    <w:p>
      <w:pPr>
        <w:pStyle w:val="BodyText"/>
      </w:pPr>
      <w:r>
        <w:rPr>
          <w:bCs/>
          <w:b/>
        </w:rPr>
        <w:t xml:space="preserve">关于AI与聚变的冲击分工。</w:t>
      </w:r>
      <w:r>
        <w:t xml:space="preserve"> </w:t>
      </w:r>
      <w:r>
        <w:t xml:space="preserve">在理解各地区的冲击时序时，需区分两个驱动力的作用范围：AI替代在2027—2044年间集中冲击认知劳动（法律、会计、标准化内容生产、基础编程等），对实体制造业劳动力的直接冲击有限；对制造业就业构成系统性威胁的，是聚变商业化（约2044年）之后廉价能源大幅降低工业自动化门槛所带来的机器人化浪潮。因此，各地区的冲击呈现两个阶段：认知劳动替代先至（约2027—2044），制造业劳动替代后至（约2044—2058）。</w:t>
      </w:r>
    </w:p>
    <w:bookmarkStart w:id="411" w:name="北欧及高人均收入小国"/>
    <w:p>
      <w:pPr>
        <w:pStyle w:val="Heading3"/>
      </w:pPr>
      <w:r>
        <w:t xml:space="preserve">7.2.1　北欧及高人均收入小国</w:t>
      </w:r>
    </w:p>
    <w:p>
      <w:pPr>
        <w:pStyle w:val="FirstParagraph"/>
      </w:pPr>
      <w:r>
        <w:rPr>
          <w:bCs/>
          <w:b/>
        </w:rPr>
        <w:t xml:space="preserve">制度起点。</w:t>
      </w:r>
      <w:r>
        <w:t xml:space="preserve"> </w:t>
      </w:r>
      <w:r>
        <w:t xml:space="preserve">北欧五国及瑞士、荷兰、奥地利等高人均收入小国，以完备的福利体系、高度灵活的劳动力市场制度（灵活安全模式）和强社会信任为起点进入动荡期。认知劳动人口比例高，AI替代在2027—2035年间冲击显著，但现有失业保障体系在覆盖范围和财政可持续性上均处于最有利的初始位置。</w:t>
      </w:r>
    </w:p>
    <w:p>
      <w:pPr>
        <w:pStyle w:val="BodyText"/>
      </w:pPr>
      <w:r>
        <w:rPr>
          <w:bCs/>
          <w:b/>
        </w:rPr>
        <w:t xml:space="preserve">冲击与响应过程。</w:t>
      </w:r>
      <w:r>
        <w:t xml:space="preserve"> </w:t>
      </w:r>
      <w:r>
        <w:t xml:space="preserve">裸露期的社会震荡较其他A1地区温和：失业补偿覆盖及时，政治极化程度相对较低，再分配改革在议会内以常规立法路径推进而非被民粹浪潮驱动。机器税和AI资本收益税的立法在这一子集中最早完成，技术上也最为精确，部分原因是这类国家的税务行政能力和立法协商机制均较为成熟。</w:t>
      </w:r>
    </w:p>
    <w:p>
      <w:pPr>
        <w:pStyle w:val="BodyText"/>
      </w:pPr>
      <w:r>
        <w:t xml:space="preserve">约2044年之后，聚变驱动的工业自动化对这些小型高度开放经济体的影响相对有限：制造业在GDP中的比重本就较低，出口导向型高端制造业（精密仪器、制药、特种化学品）的自动化程度已经很高，追加的自动化红利以生产率提升而非大规模岗位替代的形式出现。</w:t>
      </w:r>
    </w:p>
    <w:p>
      <w:pPr>
        <w:pStyle w:val="BodyText"/>
      </w:pPr>
      <w:r>
        <w:rPr>
          <w:bCs/>
          <w:b/>
        </w:rPr>
        <w:t xml:space="preserve">结果与代价。</w:t>
      </w:r>
      <w:r>
        <w:t xml:space="preserve"> </w:t>
      </w:r>
      <w:r>
        <w:t xml:space="preserve">这一子集是A1地区中最早完成制度适应的，BSC等效机制约在2050—2055年间达到覆盖基本生存的规模，财政基础相对稳健。主要的持续性问题是意义危机——职业身份的脱嵌在保障充足的条件下反而更清晰地暴露出来，精神健康压力在这类国家以比其他地区更早、更系统的方式进入政策议程。</w:t>
      </w:r>
    </w:p>
    <w:bookmarkEnd w:id="411"/>
    <w:bookmarkStart w:id="412" w:name="西欧工业国"/>
    <w:p>
      <w:pPr>
        <w:pStyle w:val="Heading3"/>
      </w:pPr>
      <w:r>
        <w:t xml:space="preserve">7.2.2　西欧工业国</w:t>
      </w:r>
    </w:p>
    <w:p>
      <w:pPr>
        <w:pStyle w:val="FirstParagraph"/>
      </w:pPr>
      <w:r>
        <w:rPr>
          <w:bCs/>
          <w:b/>
        </w:rPr>
        <w:t xml:space="preserve">制度起点。</w:t>
      </w:r>
      <w:r>
        <w:t xml:space="preserve"> </w:t>
      </w:r>
      <w:r>
        <w:t xml:space="preserve">德国、法国、意大利、西班牙等西欧大型工业经济体，以较完整的福利体系和较高的制造业权重并存为起点。与北欧不同的是，这类国家工会力量强大，制度变革的摩擦成本更高，且存在显著的内部差异（德国、法国的工业基础与意大利南部、西班牙的结构失业并存）。</w:t>
      </w:r>
    </w:p>
    <w:p>
      <w:pPr>
        <w:pStyle w:val="BodyText"/>
      </w:pPr>
      <w:r>
        <w:rPr>
          <w:bCs/>
          <w:b/>
        </w:rPr>
        <w:t xml:space="preserve">冲击的两阶段结构。</w:t>
      </w:r>
      <w:r>
        <w:t xml:space="preserve"> </w:t>
      </w:r>
      <w:r>
        <w:t xml:space="preserve">第一阶段（约2027—2044）以认知劳动替代为主：法律助理、会计核算、标准化内容生产、中级行政管理等岗位系统性萎缩，受过高等教育的中产阶级成为受冲击的核心群体。政治表达以制度内博弈（工会谈判、欧盟监管提案）和选举动员并行。民粹动员在此阶段同时在左右两翼展开，并非单向：右翼以文化认同、反移民和主权叙事动员非都市选民；左翼以反资本、再国有化、财富税和工人权益动员失业中产和青年群体。在不同国家、不同选举周期，两翼交替占上风，没有哪一极在整个阶段内稳定主导。</w:t>
      </w:r>
    </w:p>
    <w:p>
      <w:pPr>
        <w:pStyle w:val="BodyText"/>
      </w:pPr>
      <w:r>
        <w:t xml:space="preserve">第二阶段（约2044—2058）以工业自动化为主：聚变降低能源成本后，汽车、机械、化工等核心行业面临比第一阶段更大规模的实体劳动替代，蓝领群体首次成为被直接冲击的主体，政治极化烈度在此时进入新峰值。这一阶段的动员格局更为复杂：左右两翼都在争夺同一批新受冲击的工业劳工——右翼以民族主义产业保护和”制造业失去”叙事动员，左翼以工人连带、自动化税和岗位保障动员。实际结果是两翼之间的震荡性轮替：哪翼先执政，哪翼先在现实中暴露承诺兑现的困难，然后另一翼获得反弹动员的机会。</w:t>
      </w:r>
    </w:p>
    <w:p>
      <w:pPr>
        <w:pStyle w:val="BodyText"/>
      </w:pPr>
      <w:r>
        <w:t xml:space="preserve">然而这一阶段的民粹动员能量出现性质变化，而非简单的强化。到约2052—2055年，BSC或同等保障覆盖基本生存后，纯粹的生存焦虑不再是动员的主要燃料；选民经历了多轮”民粹执政—代价显现—幻灭”的完整周期，动员的边际效率下降；愤怒仍然存在，但更难转化为持续动员，更多沉淀为对所有建制选项的低强度不满。民粹政党的选票仍然可观，但其执政时期对政策的实际扭曲能力相对于第一阶段有所收窄。</w:t>
      </w:r>
    </w:p>
    <w:p>
      <w:pPr>
        <w:pStyle w:val="BodyText"/>
      </w:pPr>
      <w:r>
        <w:rPr>
          <w:bCs/>
          <w:b/>
        </w:rPr>
        <w:t xml:space="preserve">转折机制。</w:t>
      </w:r>
      <w:r>
        <w:t xml:space="preserve"> </w:t>
      </w:r>
      <w:r>
        <w:t xml:space="preserve">转折的触发通常来自财政不可持续性的显现：当失业补偿支出与税收基础之间的缺口大到无法通过常规债务管理弥合时，政治博弈被迫收敛于真实的税制重构。AI资本收益税和聚变后能源效率红利税成为再分配财政的主要新来源，以带有博弈妥协痕迹的不完美形态通过立法。</w:t>
      </w:r>
    </w:p>
    <w:p>
      <w:pPr>
        <w:pStyle w:val="BodyText"/>
      </w:pPr>
      <w:r>
        <w:rPr>
          <w:bCs/>
          <w:b/>
        </w:rPr>
        <w:t xml:space="preserve">典型代价。</w:t>
      </w:r>
      <w:r>
        <w:t xml:space="preserve"> </w:t>
      </w:r>
      <w:r>
        <w:t xml:space="preserve">约十至十五年的持续政治极化，部分欧盟协调机制在民粹压力下出现功能性退化，以及制造业竞争力的保护主义损耗。制度框架保留，但内部的信任存量显著消耗。</w:t>
      </w:r>
    </w:p>
    <w:bookmarkEnd w:id="412"/>
    <w:bookmarkStart w:id="413" w:name="英美盎格鲁体系"/>
    <w:p>
      <w:pPr>
        <w:pStyle w:val="Heading3"/>
      </w:pPr>
      <w:r>
        <w:t xml:space="preserve">7.2.3　英美盎格鲁体系</w:t>
      </w:r>
    </w:p>
    <w:p>
      <w:pPr>
        <w:pStyle w:val="FirstParagraph"/>
      </w:pPr>
      <w:r>
        <w:rPr>
          <w:bCs/>
          <w:b/>
        </w:rPr>
        <w:t xml:space="preserve">制度起点。</w:t>
      </w:r>
      <w:r>
        <w:t xml:space="preserve"> </w:t>
      </w:r>
      <w:r>
        <w:t xml:space="preserve">美国、英国、澳大利亚、加拿大等自由市场体系以更薄的福利基础、更灵活的劳动力市场和更高的金融-服务业权重为起点。认知劳动的AI替代在这类经济体中最早、最快速展开，缓冲机制最弱。</w:t>
      </w:r>
    </w:p>
    <w:p>
      <w:pPr>
        <w:pStyle w:val="BodyText"/>
      </w:pPr>
      <w:r>
        <w:rPr>
          <w:bCs/>
          <w:b/>
        </w:rPr>
        <w:t xml:space="preserve">城乡与教育分化的政治后果。</w:t>
      </w:r>
      <w:r>
        <w:t xml:space="preserve"> </w:t>
      </w:r>
      <w:r>
        <w:t xml:space="preserve">大都市认知服务业人口与非都市地区人口对同一AI浪潮的感知几乎完全不同。城市高学历失业中产的政治表达是制度内的；非都市人口在此前数十年已经历去工业化造成的就业侵蚀，AI时代的冲击在他们的感知框架中被整合为一个更长的被抛弃叙事，动员形式更加情绪化、对制度的信任更低。</w:t>
      </w:r>
    </w:p>
    <w:p>
      <w:pPr>
        <w:pStyle w:val="BodyText"/>
      </w:pPr>
      <w:r>
        <w:t xml:space="preserve">民粹动员在左右两翼同时存在，且在这类体系内均有完整的历史先例和选民基础。右翼民粹以文化认同、移民管控和民族工业保护为主轴，左翼民粹以反资本、财富税、工人权益和公共服务扩展为主轴。两者都真实回应了不同群体的实际痛苦，都能在特定时期赢得执政权，也都在执政后遭遇现实的检验。左翼民粹的扩张性财政在全球资本流动和A2体系竞争压力下暴露其边界，右翼民粹的孤立主义削弱国际协调能力并在特定劳动力短缺行业造成供给收缩。政策与现实的摩擦迫使执政者调整，然后另一极借幻灭情绪完成反弹动员。</w:t>
      </w:r>
    </w:p>
    <w:p>
      <w:pPr>
        <w:pStyle w:val="BodyText"/>
      </w:pPr>
      <w:r>
        <w:t xml:space="preserve">动荡期的政治周期因此呈现为两极之间的震荡性轮替，而非某一翼的持续主导：民粹动员→执政实施→现实代价显现→部分承诺被迫收窄→对立极的反弹动员，这个循环反复进行。政治语言在一轮轮与现实的碰撞中逐渐向可操作的政策靠拢，但代价是信任的持续消耗。</w:t>
      </w:r>
    </w:p>
    <w:p>
      <w:pPr>
        <w:pStyle w:val="BodyText"/>
      </w:pPr>
      <w:r>
        <w:rPr>
          <w:bCs/>
          <w:b/>
        </w:rPr>
        <w:t xml:space="preserve">约2044—2058阶段的动员能量变化。</w:t>
      </w:r>
      <w:r>
        <w:t xml:space="preserve"> </w:t>
      </w:r>
      <w:r>
        <w:t xml:space="preserve">工业自动化冲击在这一阶段将左右两翼的争夺焦点推向蓝领群体，初期为两翼都提供了新的动员素材。但随着BSC等保障机制在约2052—2055年覆盖基本生存，纯粹的生存焦虑作为动员燃料的效力开始系统性减弱；经历了多轮”执政—幻灭”循环的选民，对两极的极端承诺都形成了更高的怀疑门槛。民粹的动员能量没有消失，但其能够转化为持续政治力量的效率相对于第一阶段有所下降——愤怒更多沉淀为对所有建制选项的弥散性不满，而非集中投向某一政治力量。</w:t>
      </w:r>
    </w:p>
    <w:p>
      <w:pPr>
        <w:pStyle w:val="BodyText"/>
      </w:pPr>
      <w:r>
        <w:rPr>
          <w:bCs/>
          <w:b/>
        </w:rPr>
        <w:t xml:space="preserve">聚变后的制造业分化。</w:t>
      </w:r>
      <w:r>
        <w:t xml:space="preserve"> </w:t>
      </w:r>
      <w:r>
        <w:t xml:space="preserve">廉价能源使本土高度自动化生产在成本上具备竞争力，制造业回流议程在政治叙事上获得素材。但”制造业回流”在就业上几乎不能复现工业时代的岗位规模——这是资本密集型、劳动力极少的制造业，就业效应有限，与政治叙事之间存在系统性落差。</w:t>
      </w:r>
    </w:p>
    <w:p>
      <w:pPr>
        <w:pStyle w:val="BodyText"/>
      </w:pPr>
      <w:r>
        <w:rPr>
          <w:bCs/>
          <w:b/>
        </w:rPr>
        <w:t xml:space="preserve">典型代价。</w:t>
      </w:r>
      <w:r>
        <w:t xml:space="preserve"> </w:t>
      </w:r>
      <w:r>
        <w:t xml:space="preserve">社会信任的持久性侵蚀，不平等进一步扩大后才进行的迟滞分配改革，以及高等教育体系的深度合法性危机。</w:t>
      </w:r>
    </w:p>
    <w:bookmarkEnd w:id="413"/>
    <w:bookmarkStart w:id="414" w:name="东亚民主体日本韩国台湾"/>
    <w:p>
      <w:pPr>
        <w:pStyle w:val="Heading3"/>
      </w:pPr>
      <w:r>
        <w:t xml:space="preserve">7.2.4　东亚民主体（日本、韩国、台湾）</w:t>
      </w:r>
    </w:p>
    <w:p>
      <w:pPr>
        <w:pStyle w:val="FirstParagraph"/>
      </w:pPr>
      <w:r>
        <w:rPr>
          <w:bCs/>
          <w:b/>
        </w:rPr>
        <w:t xml:space="preserve">制度起点。</w:t>
      </w:r>
      <w:r>
        <w:t xml:space="preserve"> </w:t>
      </w:r>
      <w:r>
        <w:t xml:space="preserve">日韩台以高人力资本积累、强制造业-出口导向、老龄化深度进行中、以及较薄的直接现金转移社会保障体系为起点。这类社会的就业文化高度内化了职业身份认同，失业的社会耻辱感比西欧更强，意义危机在保障缺失的条件下烈度更为严峻。</w:t>
      </w:r>
    </w:p>
    <w:p>
      <w:pPr>
        <w:pStyle w:val="BodyText"/>
      </w:pPr>
      <w:r>
        <w:rPr>
          <w:bCs/>
          <w:b/>
        </w:rPr>
        <w:t xml:space="preserve">认知劳动替代的特殊叠加。</w:t>
      </w:r>
      <w:r>
        <w:t xml:space="preserve"> </w:t>
      </w:r>
      <w:r>
        <w:t xml:space="preserve">内部劳动市场的二元结构明显：大企业正式员工和非正式就业人口的分化，使AI冲击对两类群体的传导路径不同。非正式就业者首先被替代且缺乏缓冲；正式员工的保护时间更长，但在大企业系统性引入AI后，整体调整同样不可避免。</w:t>
      </w:r>
    </w:p>
    <w:p>
      <w:pPr>
        <w:pStyle w:val="BodyText"/>
      </w:pPr>
      <w:r>
        <w:rPr>
          <w:bCs/>
          <w:b/>
        </w:rPr>
        <w:t xml:space="preserve">老龄化的逆向缓冲效应。</w:t>
      </w:r>
      <w:r>
        <w:t xml:space="preserve"> </w:t>
      </w:r>
      <w:r>
        <w:t xml:space="preserve">深度老龄化对劳动力市场产生一个逆向缓冲：劳动年龄人口自然减少在一定程度上吸收了AI替代造成的部分就业缺口，使失业率上升幅度低于人口结构更年轻的A1经济体。这个缓冲是真实的，但不覆盖认知劳动密集的特定行业。约2044年之后，聚变驱动的工业自动化对制造业劳动力的替代效应在日韩台同样不可忽视，但老龄化带来的劳动力自然退出部分吸收了这一冲击。</w:t>
      </w:r>
    </w:p>
    <w:p>
      <w:pPr>
        <w:pStyle w:val="BodyText"/>
      </w:pPr>
      <w:r>
        <w:rPr>
          <w:bCs/>
          <w:b/>
        </w:rPr>
        <w:t xml:space="preserve">制度响应的迟滞。</w:t>
      </w:r>
      <w:r>
        <w:t xml:space="preserve"> </w:t>
      </w:r>
      <w:r>
        <w:t xml:space="preserve">再分配改革速度慢于西欧，主要原因是政治结构上的保守倾向和文化层面对国家依赖的抵触。BSC等效机制约在2055—2060年才达到覆盖基本生存的规模，比北欧子集晚约十年。</w:t>
      </w:r>
    </w:p>
    <w:bookmarkEnd w:id="414"/>
    <w:bookmarkStart w:id="415" w:name="东欧b1类民主体"/>
    <w:p>
      <w:pPr>
        <w:pStyle w:val="Heading3"/>
      </w:pPr>
      <w:r>
        <w:t xml:space="preserve">7.2.5　东欧（B1类民主体）</w:t>
      </w:r>
    </w:p>
    <w:p>
      <w:pPr>
        <w:pStyle w:val="FirstParagraph"/>
      </w:pPr>
      <w:r>
        <w:rPr>
          <w:bCs/>
          <w:b/>
        </w:rPr>
        <w:t xml:space="preserve">制度起点。</w:t>
      </w:r>
      <w:r>
        <w:t xml:space="preserve"> </w:t>
      </w:r>
      <w:r>
        <w:t xml:space="preserve">波兰、捷克、匈牙利、罗马尼亚等东欧国家以中等发展水平、制度韧性不均匀、对西欧出口市场的高度依赖为起点。外资驱动的制造业（尤其是汽车零部件）是就业支柱。</w:t>
      </w:r>
    </w:p>
    <w:p>
      <w:pPr>
        <w:pStyle w:val="BodyText"/>
      </w:pPr>
      <w:r>
        <w:rPr>
          <w:bCs/>
          <w:b/>
        </w:rPr>
        <w:t xml:space="preserve">双重依赖的脆弱性。</w:t>
      </w:r>
      <w:r>
        <w:t xml:space="preserve"> </w:t>
      </w:r>
      <w:r>
        <w:t xml:space="preserve">东欧的冲击路径有特殊的结构：制造业就业依赖西欧整车厂，认知服务业岗位（金融、IT、共享服务中心）依赖西欧的离岸外包需求。当西欧工业国自身面临冲击和政治压力，对东欧制造外包的依赖出现变化时，东欧承受双重来源的冲击：本土的AI认知劳动替代，加上西欧产业链调整向东欧传导的间接冲击。约2044年之后，西欧工业国的聚变驱动自动化升级进一步压缩了对东欧劳动力成本套利的需求，东欧制造业面临比第一阶段更大的就业压力。</w:t>
      </w:r>
    </w:p>
    <w:p>
      <w:pPr>
        <w:pStyle w:val="BodyText"/>
      </w:pPr>
      <w:r>
        <w:rPr>
          <w:bCs/>
          <w:b/>
        </w:rPr>
        <w:t xml:space="preserve">政治不稳定的特殊形态。</w:t>
      </w:r>
      <w:r>
        <w:t xml:space="preserve"> </w:t>
      </w:r>
      <w:r>
        <w:t xml:space="preserve">部分东欧国家在动荡期前已经历了民粹政治对司法和媒体独立性的削弱。这类国家的制度缓冲能力比名义GDP数字所显示的更弱，媒体集中化使信息生态在危机时期更倾向于以民族主义叙事替代经济政策讨论。欧盟框架的存续是最重要的外部锚定——欧盟整合程度更深的成员，制度保留程度明显好于整合较浅者。</w:t>
      </w:r>
    </w:p>
    <w:bookmarkEnd w:id="415"/>
    <w:bookmarkStart w:id="416" w:name="a2路径制度响应过程与结果"/>
    <w:p>
      <w:pPr>
        <w:pStyle w:val="Heading3"/>
      </w:pPr>
      <w:r>
        <w:t xml:space="preserve">7.2.6　A2路径：制度响应过程与结果</w:t>
      </w:r>
    </w:p>
    <w:p>
      <w:pPr>
        <w:pStyle w:val="FirstParagraph"/>
      </w:pPr>
      <w:r>
        <w:rPr>
          <w:bCs/>
          <w:b/>
        </w:rPr>
        <w:t xml:space="preserve">自动化的起点与聚变红利的定位。</w:t>
      </w:r>
      <w:r>
        <w:t xml:space="preserve"> </w:t>
      </w:r>
      <w:r>
        <w:t xml:space="preserve">A2体系（以中国为核心原型）进入动荡期时，制造业自动化进程已经相当深入：工业机器人密度增速长期居全球前列，国家主导的产业政策持续推动制造业升级，且没有工会阻力或民粹政治对自动化节奏形成约束。聚变商业化带来的廉价能源对A2制造业的影响，因此更接近既有趋势的延续加速，而非跳跃性冲击——自动化在聚变前已大规模推进，聚变红利进一步降低运营成本，但不制造新的断层。</w:t>
      </w:r>
    </w:p>
    <w:p>
      <w:pPr>
        <w:pStyle w:val="BodyText"/>
      </w:pPr>
      <w:r>
        <w:rPr>
          <w:bCs/>
          <w:b/>
        </w:rPr>
        <w:t xml:space="preserve">消化就业压力的主要机制：制造工作。</w:t>
      </w:r>
      <w:r>
        <w:t xml:space="preserve"> </w:t>
      </w:r>
      <w:r>
        <w:t xml:space="preserve">A2体系应对劳动力贬值的核心手段之一，是由政府和国有企业主动制造低薪岗位。体制内中高收入岗位薪资与政府大量雇用的低薪岗位之间存在显著落差——后者薪资约为前者的十分之一，从事社区管理、基层网格、社会服务等实际产出有限的工作。这类岗位有编制或准编制，提供最低限度的社会保障和身份归属，其存在的首要功能是维持就业人口规模和社会稳定，而非经济效率。</w:t>
      </w:r>
    </w:p>
    <w:p>
      <w:pPr>
        <w:pStyle w:val="BodyText"/>
      </w:pPr>
      <w:r>
        <w:t xml:space="preserve">这里需要精确区分：这批低薪雇员尽管薪资与中高岗位差距悬殊，仍属于</w:t>
      </w:r>
      <w:r>
        <w:rPr>
          <w:bCs/>
          <w:b/>
        </w:rPr>
        <w:t xml:space="preserve">货币薪资阶层</w:t>
      </w:r>
      <w:r>
        <w:t xml:space="preserve">，而非供应票据覆盖人口（见4.9.2节双轨分化）。货币薪资——无论金额高低——赋予其消费自主权：在允许范围内自主选择消费品类，进入部分商业市场，积累有限的个人储蓄。这与票据依赖人口受实物配给约束的状况有结构性差异。就此而言，低薪岗位在物质层面是对供应票据阶层的”升级”，维持了A2激励体系的有效性——</w:t>
      </w:r>
      <w:r>
        <w:t xml:space="preserve">“</w:t>
      </w:r>
      <w:r>
        <w:t xml:space="preserve">有工作单位</w:t>
      </w:r>
      <w:r>
        <w:t xml:space="preserve">”</w:t>
      </w:r>
      <w:r>
        <w:t xml:space="preserve">不仅是身份地位的象征，更是可感知的实质性经济自由度差距。这一机制的财政成本随动荡期深入而持续扩大，但对A2体系而言，这是可以通过财政工具和国有平台内部消化的成本，不需要经过政治辩论。</w:t>
      </w:r>
    </w:p>
    <w:p>
      <w:pPr>
        <w:pStyle w:val="BodyText"/>
      </w:pPr>
      <w:r>
        <w:rPr>
          <w:bCs/>
          <w:b/>
        </w:rPr>
        <w:t xml:space="preserve">AI红利的定向调配能力。</w:t>
      </w:r>
      <w:r>
        <w:t xml:space="preserve"> </w:t>
      </w:r>
      <w:r>
        <w:t xml:space="preserve">A2体系的制度结构赋予其在AI红利分配上的主动性，这是与A1体系的根本差异之一。国有银行、国有平台、政策性工具使A2可以将AI带来的生产率增益定向导入特定产业或人口，而不是让其通过市场机制自发分配。这一能力在动荡期的意义是：A2可以选择性地将AI红利用于稳定特定群体的基本生活水平，而将效率损失转嫁至其他领域，在不触发系统性危机的条件下维持社会平稳。</w:t>
      </w:r>
    </w:p>
    <w:p>
      <w:pPr>
        <w:pStyle w:val="BodyText"/>
      </w:pPr>
      <w:r>
        <w:rPr>
          <w:bCs/>
          <w:b/>
        </w:rPr>
        <w:t xml:space="preserve">真实的压力点：劳动力贬值叠加低人均基数。</w:t>
      </w:r>
      <w:r>
        <w:t xml:space="preserve"> </w:t>
      </w:r>
      <w:r>
        <w:t xml:space="preserve">A2动荡期真正的结构性压力不是制度响应能力的不足，而是人均收入基数较低这一起点条件。在A1国家，AI时代的劳动力贬值主要表现为中产阶级的相对地位下滑；在A2，同样程度的劳动力贬值在低收入群体中意味着实质性贫困扩大——边际上的收入损失直接触及基本生存。这个压力是真实的，且规模庞大。</w:t>
      </w:r>
    </w:p>
    <w:p>
      <w:pPr>
        <w:pStyle w:val="BodyText"/>
      </w:pPr>
      <w:r>
        <w:t xml:space="preserve">但A2同时握有压制和管理这一压力的政治经济资源：信息管控限制了压力的横向传播和组织化，配给体系提供了最低限度的生存保障，精英层的博弈以”换人不换结构”为默认边界（见7.1.6节），局部断裂风险被系统性地识别和优先处置。动荡期A2的整体状态因此不是系统崩溃，也不是真正的平静，而是</w:t>
      </w:r>
      <w:r>
        <w:rPr>
          <w:bCs/>
          <w:b/>
        </w:rPr>
        <w:t xml:space="preserve">高压下的平静</w:t>
      </w:r>
      <w:r>
        <w:t xml:space="preserve">：社会表面有序，内部压力持续积累，通过低薪就业、配给扩张和信息管控维持稳定，代价是财政消耗的缓慢上升和人口在低效就业中的长期滞留。</w:t>
      </w:r>
    </w:p>
    <w:p>
      <w:pPr>
        <w:pStyle w:val="BodyText"/>
      </w:pPr>
      <w:r>
        <w:rPr>
          <w:bCs/>
          <w:b/>
        </w:rPr>
        <w:t xml:space="preserve">结果与路径终点。</w:t>
      </w:r>
      <w:r>
        <w:t xml:space="preserve"> </w:t>
      </w:r>
      <w:r>
        <w:t xml:space="preserve">A2体系完成动荡期的方式，是以更庞大的低效就业存量和更深度的国家介入为代价换取稳定，而非通过制度创新重建劳动与收入的新关系。动荡期终结的标志不是A2建立了类似BSC的普遍基本收入机制，而是AI红利积累到足以支撑扩大版配给体系的程度，同时低薪就业的规模稳定在财政可持续的边界内。这是一条与A1路径性质不同的出口：A1以新的分配制度框架为终点，A2以扩张后的国家配给体系为终点。</w:t>
      </w:r>
    </w:p>
    <w:bookmarkEnd w:id="416"/>
    <w:bookmarkEnd w:id="417"/>
    <w:bookmarkStart w:id="425" w:name="动荡期的其余国家被同时抛下但方式各异"/>
    <w:p>
      <w:pPr>
        <w:pStyle w:val="Heading2"/>
      </w:pPr>
      <w:r>
        <w:t xml:space="preserve">7.3　动荡期的其余国家：被同时抛下，但方式各异</w:t>
      </w:r>
    </w:p>
    <w:p>
      <w:pPr>
        <w:pStyle w:val="FirstParagraph"/>
      </w:pPr>
      <w:r>
        <w:t xml:space="preserve">动荡期对A1、A2、B1类以外的国家意味着什么？一句话：外部环境系统性收紧，而自身应对能力的提升赶不上。这不是某个大国的政策决定，而是多条独立趋势同时收紧的结果。</w:t>
      </w:r>
    </w:p>
    <w:p>
      <w:pPr>
        <w:pStyle w:val="BodyText"/>
      </w:pPr>
      <w:r>
        <w:rPr>
          <w:bCs/>
          <w:b/>
        </w:rPr>
        <w:t xml:space="preserve">三重收紧同时发生。</w:t>
      </w:r>
      <w:r>
        <w:t xml:space="preserve"> </w:t>
      </w:r>
      <w:r>
        <w:t xml:space="preserve">第一，A1国家的AI红利在国内政治压力下用于BSC建设和失业补偿，过去流向发展中国家的援助预算和外交资源大幅萎缩；A2的红利通过配给体系在内部消化，对外输出以基础设施捆绑为主，不是开放性投资。两大体系都在先顾自己。</w:t>
      </w:r>
    </w:p>
    <w:p>
      <w:pPr>
        <w:pStyle w:val="BodyText"/>
      </w:pPr>
      <w:r>
        <w:t xml:space="preserve">第二，聚变改变了企业的选址逻辑。工厂过去去发展中国家是因为工资便宜；聚变之后，廉价能源使A1/A2核心地区的本土生产成本大幅下降，企业开始回流——追逐的是能源成本和技术配套，而不再是低工资。发展中国家失去了工业时代最主要的外资吸引力。</w:t>
      </w:r>
    </w:p>
    <w:p>
      <w:pPr>
        <w:pStyle w:val="BodyText"/>
      </w:pPr>
      <w:r>
        <w:t xml:space="preserve">第三，全球贸易向内收缩。A1体系内部和A2体系内部各自整合加深，体系内贸易增速持续高于对外贸易；两套协议体系分化使跨体系贸易的接口成本上升；化石能源需求的长期下滑使资源出口国的贸易规模趋势性萎缩。对贸易依赖度高的发展中国家，这个收缩的冲击远超它们在全球贸易中的占比所暗示的程度。</w:t>
      </w:r>
    </w:p>
    <w:p>
      <w:pPr>
        <w:pStyle w:val="BodyText"/>
      </w:pPr>
      <w:r>
        <w:t xml:space="preserve">三重收紧叠加，结果是：多数发展中国家在动荡期内外部投资减少、产业升级的外部条件恶化，部分已经开始工业化的国家升级进程被卡住，甚至出现产业能力局部退缩。</w:t>
      </w:r>
    </w:p>
    <w:p>
      <w:pPr>
        <w:pStyle w:val="BodyText"/>
      </w:pPr>
      <w:r>
        <w:rPr>
          <w:bCs/>
          <w:b/>
        </w:rPr>
        <w:t xml:space="preserve">技术落后为何反而推迟了直接冲击。</w:t>
      </w:r>
      <w:r>
        <w:t xml:space="preserve"> </w:t>
      </w:r>
      <w:r>
        <w:t xml:space="preserve">有一个看起来反直觉的现象：这些技术相对落后的国家，在动荡期前期（约2027—2044年）受到的直接冲击反而比A1国家小。原因很简单：AI替代的直接对象是有大量中等技能白领岗位的经济体；工业自动化的直接对象是有大量制造业工人的经济体。这些国家的主体劳动力集中在非正规农业、小规模贸易和初级服务，AI和自动化暂时还没有打到它们的主体。</w:t>
      </w:r>
    </w:p>
    <w:p>
      <w:pPr>
        <w:pStyle w:val="BodyText"/>
      </w:pPr>
      <w:r>
        <w:t xml:space="preserve">但这不代表处境更好。直接冲击推迟了，间接冲击——投资减少、贸易收缩、升级条件恶化——却没有推迟，甚至更重。一些国家恰恰因为依赖外资来完成工业化，而在外部条件收紧的阶段被卡在半途，既没有完成转型，又失去了继续转型的条件。</w:t>
      </w:r>
    </w:p>
    <w:p>
      <w:pPr>
        <w:pStyle w:val="BodyText"/>
      </w:pPr>
      <w:r>
        <w:t xml:space="preserve">以下按经济角色分三类描述。</w:t>
      </w:r>
    </w:p>
    <w:bookmarkStart w:id="418" w:name="资源出口国d类"/>
    <w:p>
      <w:pPr>
        <w:pStyle w:val="Heading3"/>
      </w:pPr>
      <w:r>
        <w:t xml:space="preserve">7.3.1　资源出口国（D类）</w:t>
      </w:r>
    </w:p>
    <w:p>
      <w:pPr>
        <w:pStyle w:val="FirstParagraph"/>
      </w:pPr>
      <w:r>
        <w:t xml:space="preserve">D类经济体的共同起点是：经济高度依赖单一或少数资源出口，国内多数劳动力在非正规部门，没有大规模制造业，AI替代的直接威胁在聚变普及前相对有限。动荡期对这类经济体的核心压力不是AI就业替代，而是资源这条发展路径正在被聚变时代系统性削弱，而替代路径尚未建立。</w:t>
      </w:r>
    </w:p>
    <w:p>
      <w:pPr>
        <w:pStyle w:val="BodyText"/>
      </w:pPr>
      <w:r>
        <w:rPr>
          <w:bCs/>
          <w:b/>
        </w:rPr>
        <w:t xml:space="preserve">聚变普及前的表面稳定</w:t>
      </w:r>
    </w:p>
    <w:p>
      <w:pPr>
        <w:pStyle w:val="BodyText"/>
      </w:pPr>
      <w:r>
        <w:t xml:space="preserve">在聚变商业化完成之前，化石能源需求还在高位，资源价格有波动但中枢未系统性下移。化石能源依赖型D类国家约在2027—2044年间财政表面平稳，但这个平稳掩盖了压力的积累：主权财富基金是否持续投入生产性资产，各成员差异极大；精英层的部分服务外包岗位已开始受AI冲击；政府行政效率面临数字化转型压力。</w:t>
      </w:r>
    </w:p>
    <w:p>
      <w:pPr>
        <w:pStyle w:val="BodyText"/>
      </w:pPr>
      <w:r>
        <w:rPr>
          <w:bCs/>
          <w:b/>
        </w:rPr>
        <w:t xml:space="preserve">聚变普及后的根本性冲击</w:t>
      </w:r>
    </w:p>
    <w:p>
      <w:pPr>
        <w:pStyle w:val="BodyText"/>
      </w:pPr>
      <w:r>
        <w:t xml:space="preserve">能源需求的趋势性下降是这类经济体在动荡期最深层的压力来源。关键变量是时序：在资源收入还充裕的时候完成转型（用资源财富投资产业多元化、接入聚变电网），还是在收入耗尽后才被迫面对？完成转型的成员有机会向C类移动；未能完成的，在资源收入枯竭后面临本币崩溃和政治动荡，有向E类滑落的风险。</w:t>
      </w:r>
    </w:p>
    <w:p>
      <w:pPr>
        <w:pStyle w:val="BodyText"/>
      </w:pPr>
      <w:r>
        <w:t xml:space="preserve">矿产资源出口国的时序有所不同：战略矿产（锂、钴、铜）需求在聚变时代仍有窗口期，但深海采矿规模化的竞争压力和自动化采矿对本地就业的替代，使矿业城镇面临”资源还在但就业已无”的处境。有谈判能力的成员可部分保留价值链位置，无谈判筹码的成员基本被动接受外部定价。</w:t>
      </w:r>
    </w:p>
    <w:p>
      <w:pPr>
        <w:pStyle w:val="BodyText"/>
      </w:pPr>
      <w:r>
        <w:rPr>
          <w:bCs/>
          <w:b/>
        </w:rPr>
        <w:t xml:space="preserve">社会契约断裂的风险</w:t>
      </w:r>
    </w:p>
    <w:p>
      <w:pPr>
        <w:pStyle w:val="BodyText"/>
      </w:pPr>
      <w:r>
        <w:t xml:space="preserve">D类经济体的政治稳定往往建立在资源收益的分配上：以资源租金维系精英忠诚，以基本服务维持大众稳定。资源收入趋势性下降时，这个基础同步动摇。与A1/A2不同，多数D类经济体没有可以接续的再分配机制——精英内部裂解与大众动员往往同步发生，是D类政治动荡的典型触发路径。</w:t>
      </w:r>
    </w:p>
    <w:bookmarkEnd w:id="418"/>
    <w:bookmarkStart w:id="419" w:name="劳动力输出型经济体"/>
    <w:p>
      <w:pPr>
        <w:pStyle w:val="Heading3"/>
      </w:pPr>
      <w:r>
        <w:t xml:space="preserve">7.3.2　劳动力输出型经济体</w:t>
      </w:r>
    </w:p>
    <w:p>
      <w:pPr>
        <w:pStyle w:val="FirstParagraph"/>
      </w:pPr>
      <w:r>
        <w:t xml:space="preserve">劳动力输出型经济体（典型如菲律宾、孟加拉、部分非洲国家）靠向外输送劳动力维持外汇，国内劳动力主体在农业和非正规服务业。在新框架下，这类经济体分散于B2类和E类之间，部分与D类存在重叠——共同的结构性压力是：外汇来源高度依赖目的地国的就业市场，而这个市场正在被AI替代系统性收窄。</w:t>
      </w:r>
    </w:p>
    <w:p>
      <w:pPr>
        <w:pStyle w:val="BodyText"/>
      </w:pPr>
      <w:r>
        <w:rPr>
          <w:bCs/>
          <w:b/>
        </w:rPr>
        <w:t xml:space="preserve">侨汇先收缩</w:t>
      </w:r>
    </w:p>
    <w:p>
      <w:pPr>
        <w:pStyle w:val="BodyText"/>
      </w:pPr>
      <w:r>
        <w:t xml:space="preserve">侨汇取决于目的地国的就业市场。A1国家的AI替代首先削减的正是外劳集中的岗位——IT支持、会计、数据处理首当其冲，护理和建筑相对稳定。侨汇在动荡期前期出现结构性萎缩，直接打击这类经济体的外汇来源和家庭收入。与此同时，A1国家内部民粹压力使移民限制趋于收紧，合法劳工输出通道进一步收窄。</w:t>
      </w:r>
    </w:p>
    <w:p>
      <w:pPr>
        <w:pStyle w:val="BodyText"/>
      </w:pPr>
      <w:r>
        <w:rPr>
          <w:bCs/>
          <w:b/>
        </w:rPr>
        <w:t xml:space="preserve">本土冲击延迟但不缺席</w:t>
      </w:r>
    </w:p>
    <w:p>
      <w:pPr>
        <w:pStyle w:val="BodyText"/>
      </w:pPr>
      <w:r>
        <w:t xml:space="preserve">国内劳动力在非正规农业和服务业，AI直接替代的门槛暂时还没到。但聚变之后廉价能源使农业机械化和小型自动化设备变得可负担，约2050年代起这类经济体开始面临本土劳动力的实质替代压力——比A1晚十至二十年，但方向相同。届时人力资本是否积累到足以承接更高价值工作，是这类经济体路径的核心分叉点。综合实力较强、有产业多元化基础的成员有机会完成这个转型；实力较弱、完全依赖侨汇且本土人力资本积累严重不足的成员，面临向E类滑落的风险。</w:t>
      </w:r>
    </w:p>
    <w:bookmarkEnd w:id="419"/>
    <w:bookmarkStart w:id="420" w:name="对冲自主体c类与威权体系整合者b2类"/>
    <w:p>
      <w:pPr>
        <w:pStyle w:val="Heading3"/>
      </w:pPr>
      <w:r>
        <w:t xml:space="preserve">7.3.3　对冲自主体（C类）与威权体系整合者（B2类）</w:t>
      </w:r>
    </w:p>
    <w:p>
      <w:pPr>
        <w:pStyle w:val="FirstParagraph"/>
      </w:pPr>
      <w:r>
        <w:t xml:space="preserve">C类对冲自主体（印度、印度尼西亚、土耳其、巴西、俄罗斯、越南、墨西哥等）体量或实力足够大，两大体系都有争取意愿，在动荡期拥有真实的议价空间。B2类威权体系整合者（深度嵌入A2体系的较小经济体）则相反——它们已在结构上与A2深度绑定，面临的是如何在依附关系中保留有限自主空间的问题。</w:t>
      </w:r>
    </w:p>
    <w:p>
      <w:pPr>
        <w:pStyle w:val="BodyText"/>
      </w:pPr>
      <w:r>
        <w:rPr>
          <w:bCs/>
          <w:b/>
        </w:rPr>
        <w:t xml:space="preserve">C类的机遇与维持代价</w:t>
      </w:r>
    </w:p>
    <w:p>
      <w:pPr>
        <w:pStyle w:val="BodyText"/>
      </w:pPr>
      <w:r>
        <w:t xml:space="preserve">综合实力使C类国家不会被彻底吸纳，两大体系的竞相争取给了它们真实的谈判筹码。但维持双轨的代价持续上升：同时运行两套技术标准的工程成本、等距外交在危机时刻急剧上升的维护代价。大多数C类成员在约2044—2055年间已在实质上向某一体系倾斜，即使官方叙事仍维持自主的表述。</w:t>
      </w:r>
    </w:p>
    <w:p>
      <w:pPr>
        <w:pStyle w:val="BodyText"/>
      </w:pPr>
      <w:r>
        <w:rPr>
          <w:bCs/>
          <w:b/>
        </w:rPr>
        <w:t xml:space="preserve">B2类的路径锁定</w:t>
      </w:r>
    </w:p>
    <w:p>
      <w:pPr>
        <w:pStyle w:val="BodyText"/>
      </w:pPr>
      <w:r>
        <w:t xml:space="preserve">深度嵌入A2体系的经济体，制度整合主要不是通过显性政治压力，而是通过基础设施的切换成本实现的：数据治理标准、行政系统、基础设施协议一旦建成，政治上想切换体系，实际成本等同于全部重建。整合是渐进的、技术层面的，但结果是实质性的锁定。部分B2类成员是主动对齐的政治选择，部分是在综合实力不足的情况下结构性落入的，两者在形态上相似但动机不同；脱嵌的工程和政治代价在2072年对多数成员而言极高。</w:t>
      </w:r>
    </w:p>
    <w:p>
      <w:pPr>
        <w:pStyle w:val="BodyText"/>
      </w:pPr>
      <w:r>
        <w:rPr>
          <w:bCs/>
          <w:b/>
        </w:rPr>
        <w:t xml:space="preserve">直接冲击有限，外部压力更复杂</w:t>
      </w:r>
    </w:p>
    <w:p>
      <w:pPr>
        <w:pStyle w:val="BodyText"/>
      </w:pPr>
      <w:r>
        <w:t xml:space="preserve">C类与B2类中技术落后程度较高的部分，AI和自动化的直接冲击在聚变普及前相对有限。但外部压力更复杂：大国竞争加剧带来站队压力；贸易重组使依赖单一出口市场的脆弱性上升；技术标准分化使接口兼容成本提高。聚变普及后，接入哪个体系的能源基础设施，对这类经济体的长期路径有决定性影响。</w:t>
      </w:r>
    </w:p>
    <w:p>
      <w:pPr>
        <w:pStyle w:val="BodyText"/>
      </w:pPr>
      <w:r>
        <w:rPr>
          <w:bCs/>
          <w:b/>
        </w:rPr>
        <w:t xml:space="preserve">核心战场：路径选择的叙事竞争</w:t>
      </w:r>
    </w:p>
    <w:p>
      <w:pPr>
        <w:pStyle w:val="BodyText"/>
      </w:pPr>
      <w:r>
        <w:t xml:space="preserve">C类和B2类经济体的精英和普通人口，在2026—2044年间面临一个真实的选择：哪套制度模式更可能让我们活得更好？这个问题没有客观答案，但叙事竞争决定了倾斜方向。两大体系都清楚这一点，对C类成员的争取是动荡期地缘竞争最激烈的战场之一。 ## 7.4　意识形态战争：动荡期的叙事主战场（2026—2044）</w:t>
      </w:r>
    </w:p>
    <w:p>
      <w:pPr>
        <w:pStyle w:val="BodyText"/>
      </w:pPr>
      <w:r>
        <w:rPr>
          <w:iCs/>
          <w:i/>
        </w:rPr>
        <w:t xml:space="preserve">本节分析动荡期两大阵营的叙事体系、战场地图及历史后果，时间框架为2026—2044年。3.21节从技术与战术层面分析信息战工具和攻防手法，两节分析角度互补：本节是宏观叙事战争的历史分析，3.21节是信息战的技术条件和具体战法。</w:t>
      </w:r>
    </w:p>
    <w:p>
      <w:pPr>
        <w:pStyle w:val="BodyText"/>
      </w:pPr>
      <w:r>
        <w:t xml:space="preserve">动荡期的军事冲突有地理边界，经济博弈有可量化的指标，而意识形态战争没有前线——它发生在信息生态里，发生在课堂和家庭对话中，发生在人们判断一则新闻时所调用的解释框架里。这使它既是动荡期最弥漫的冲突形态，也是最难被识别为冲突的那一种。</w:t>
      </w:r>
    </w:p>
    <w:p>
      <w:pPr>
        <w:pStyle w:val="BodyText"/>
      </w:pPr>
      <w:r>
        <w:t xml:space="preserve">本节是第7.5节（国际冲突）的机制补充。国际冲突的物理维度是可见的，而塑造各方行为和认知框架的叙事系统是看不见的背景——理解这个背景，是理解国际冲突为何以特定方式演化、为何某些结果比其他结果更容易稳定的前提。</w:t>
      </w:r>
    </w:p>
    <w:p>
      <w:pPr>
        <w:pStyle w:val="BodyText"/>
      </w:pPr>
      <w:r>
        <w:t xml:space="preserve">这场战争的参与主体不只是两个国家，而是两个竞争性体系：以A1核心和B1类民主国家为主轴的一端，以A2核心和B2类整合者为主轴的另一端。但把它理解为边界清晰的两个阵营会过度简化现实：大多数C/D类国家并不认同任何一端的意识形态标签，它们的实际立场是务实的、分领域的，往往与两个体系都保持工作关系。把它理解为”美中宣传战”同样会遗漏最关键的结构：两端内部各有高度异质性的行为者，边界在全球南方和摇摆体中高度模糊，最重要的战场不在两国之间，而在全球南方的数十亿人口和A1体系内部的动摇者心中。</w:t>
      </w:r>
    </w:p>
    <w:bookmarkEnd w:id="420"/>
    <w:bookmarkStart w:id="421" w:name="战场地图三个层次"/>
    <w:p>
      <w:pPr>
        <w:pStyle w:val="Heading3"/>
      </w:pPr>
      <w:r>
        <w:t xml:space="preserve">7.4.1　战场地图：三个层次</w:t>
      </w:r>
    </w:p>
    <w:p>
      <w:pPr>
        <w:pStyle w:val="FirstParagraph"/>
      </w:pPr>
      <w:r>
        <w:rPr>
          <w:bCs/>
          <w:b/>
        </w:rPr>
        <w:t xml:space="preserve">核心战场：全球南方的路径选择叙事。</w:t>
      </w:r>
      <w:r>
        <w:t xml:space="preserve"> </w:t>
      </w:r>
      <w:r>
        <w:t xml:space="preserve">C类、D类经济体的精英和普通人口，在2026—2044年间面临一个真实的选择：哪套制度模式更可能让我们活得更好？这个问题没有客观答案——答案取决于这些社会采用哪套解释框架，相信哪套关于未来的叙事。两大阵营都清楚这一点，全球南方因此是意识形态战争投入最密集的地理战场。</w:t>
      </w:r>
    </w:p>
    <w:p>
      <w:pPr>
        <w:pStyle w:val="BodyText"/>
      </w:pPr>
      <w:r>
        <w:t xml:space="preserve">在这个战场上，两大阵营的起始条件高度不对称。A2阵营有基础设施援助作为叙事的物质锚点：一条修好的路、一座建成的电站、一栋落成的医院，比任何宣传内容都更具体地论证”我们是来帮你的”。A1阵营的优势在制度抽象层：法治、产权保护、独立司法——这些对生存压力仍然主导的全球南方受众，说服力远低于可以立即感知的物质改善。动荡期内A2的基础设施叙事因此在全球南方形成了结构性的早期优势，不是因为其制度更优越，而是因为它更早到达，以更具体的形式触达了普通人的日常经验。</w:t>
      </w:r>
    </w:p>
    <w:p>
      <w:pPr>
        <w:pStyle w:val="BodyText"/>
      </w:pPr>
      <w:r>
        <w:rPr>
          <w:bCs/>
          <w:b/>
        </w:rPr>
        <w:t xml:space="preserve">内部战场：A1体系内部的制度认同危机。</w:t>
      </w:r>
      <w:r>
        <w:t xml:space="preserve"> </w:t>
      </w:r>
      <w:r>
        <w:t xml:space="preserve">意识形态战争最危险的战场不在境外，而在民主体系内部。动荡期的经济冲击——AI替代就业、中产萎缩、配给经济的出现、意义危机的扩散——为”自由主义制度失败了”这个叙事提供了经验素材。外部叙事攻击的最优战法不是正面宣扬A2体系的优越性（这在A1受众中可信度很低），而是持续加深”A1体系也不能解决你的问题”的感知，让对制度的不满积累到使人无法动员、退出参与的临界点。</w:t>
      </w:r>
    </w:p>
    <w:p>
      <w:pPr>
        <w:pStyle w:val="BodyText"/>
      </w:pPr>
      <w:r>
        <w:t xml:space="preserve">这个战场的参与者是高度混合的：真实的内部批评者（对AI时代收入不平等的正当愤怒）、被外部影响渗透的信息渠道（协调虚假信息网络）、出于商业逻辑放大情绪内容的算法系统，三种力量在同一信息生态中相互叠加，难以区分。这种不可区分性本身就是攻击方的战略资产——当你无法确定某种不满是真实的还是被人工放大的，你就无法有针对性地回应它，而任何针对外部渗透的防御措施都会被批评为压制正当的内部异见。</w:t>
      </w:r>
    </w:p>
    <w:p>
      <w:pPr>
        <w:pStyle w:val="BodyText"/>
      </w:pPr>
      <w:r>
        <w:rPr>
          <w:bCs/>
          <w:b/>
        </w:rPr>
        <w:t xml:space="preserve">边界战场：摇摆体和被遗忘地带的叙事真空。</w:t>
      </w:r>
      <w:r>
        <w:t xml:space="preserve"> </w:t>
      </w:r>
      <w:r>
        <w:t xml:space="preserve">C类对冲自主体精英层面的制度叙事选择，直接影响数亿人口最终向哪个体系倾斜。被遗忘地带的大量人口——信息上通过卫星互联网与全球网络相连，物质上被两大体系忽视——构成一个特殊的叙事受众：他们足以接收叙事，但没有足够的参照系来系统性地评估叙事，也没有被任何体系的制度实践所校准。这使他们对情绪化、简化的叙事高度敏感，也使他们成为两大阵营叙事战争中最容易被单次有效事件所影响的受众群体。</w:t>
      </w:r>
    </w:p>
    <w:bookmarkEnd w:id="421"/>
    <w:bookmarkStart w:id="422" w:name="a2阵营的叙事体系"/>
    <w:p>
      <w:pPr>
        <w:pStyle w:val="Heading3"/>
      </w:pPr>
      <w:r>
        <w:t xml:space="preserve">7.4.2　A2阵营的叙事体系</w:t>
      </w:r>
    </w:p>
    <w:p>
      <w:pPr>
        <w:pStyle w:val="FirstParagraph"/>
      </w:pPr>
      <w:r>
        <w:t xml:space="preserve">A2阵营的叙事战略有一个核心逻辑：不直接论证威权体制的优越性，而是攻击自由主义叙事的可信度，并以发展主义叙事作为替代框架。</w:t>
      </w:r>
    </w:p>
    <w:p>
      <w:pPr>
        <w:pStyle w:val="BodyText"/>
      </w:pPr>
      <w:r>
        <w:rPr>
          <w:bCs/>
          <w:b/>
        </w:rPr>
        <w:t xml:space="preserve">发展主义叙事：效率优先的历史论证。</w:t>
      </w:r>
      <w:r>
        <w:t xml:space="preserve"> </w:t>
      </w:r>
      <w:r>
        <w:t xml:space="preserve">核心命题是：民主体制在生存问题尚未解决时是一种奢侈品，而非必需品。A2的叙事框架援引自身的减贫记录——数亿人口从极端贫困中脱离，在若干十年内完成了西方花费两百年的工业化——作为效率优于程序的经验证据。这个论证在全球南方受众中具有真实的说服力，因为它对应了这些受众的真实优先级：先能吃饱，再谈人权。动荡期AI时代的冲击使这个叙事获得了新的素材：当西方民主国家在再分配政策上陷入政治僵局、中产萎缩而制度反应迟缓，</w:t>
      </w:r>
      <w:r>
        <w:t xml:space="preserve">“</w:t>
      </w:r>
      <w:r>
        <w:t xml:space="preserve">民主体制无法有效应对AI时代的分配危机</w:t>
      </w:r>
      <w:r>
        <w:t xml:space="preserve">”</w:t>
      </w:r>
      <w:r>
        <w:t xml:space="preserve">成为可以用具体事件支撑的叙事命题。</w:t>
      </w:r>
    </w:p>
    <w:p>
      <w:pPr>
        <w:pStyle w:val="BodyText"/>
      </w:pPr>
      <w:r>
        <w:rPr>
          <w:bCs/>
          <w:b/>
        </w:rPr>
        <w:t xml:space="preserve">稳定叙事：混乱的民主 vs. 有序的治理。</w:t>
      </w:r>
      <w:r>
        <w:t xml:space="preserve"> </w:t>
      </w:r>
      <w:r>
        <w:t xml:space="preserve">在动荡期的政治极化背景下，</w:t>
      </w:r>
      <w:r>
        <w:t xml:space="preserve">“</w:t>
      </w:r>
      <w:r>
        <w:t xml:space="preserve">秩序</w:t>
      </w:r>
      <w:r>
        <w:t xml:space="preserve">”</w:t>
      </w:r>
      <w:r>
        <w:t xml:space="preserve">作为叙事价值的吸引力上升。台海冲突期间的核危机感、乌克兰战争的持续消耗、欧洲民粹政治的周期性爆发——这些事件都被A2叙事框架解读为”民主体制在压力下趋于失序”的证据。稳定叙事在动荡期特别有效，因为它对应了受众正在真实经历的不确定性：当生活已经够混乱了，</w:t>
      </w:r>
      <w:r>
        <w:t xml:space="preserve">“</w:t>
      </w:r>
      <w:r>
        <w:t xml:space="preserve">有人能把秩序维持住</w:t>
      </w:r>
      <w:r>
        <w:t xml:space="preserve">”</w:t>
      </w:r>
      <w:r>
        <w:t xml:space="preserve">的承诺具有情绪层面的吸引力，即使理性层面可能存疑。</w:t>
      </w:r>
    </w:p>
    <w:p>
      <w:pPr>
        <w:pStyle w:val="BodyText"/>
      </w:pPr>
      <w:r>
        <w:rPr>
          <w:bCs/>
          <w:b/>
        </w:rPr>
        <w:t xml:space="preserve">历史正义叙事：殖民主义债务与双重标准。</w:t>
      </w:r>
      <w:r>
        <w:t xml:space="preserve"> </w:t>
      </w:r>
      <w:r>
        <w:t xml:space="preserve">这是专门针对全球南方受众的叙事框架，核心论点是：西方鼓吹的自由主义价值观在殖民时代被完全抛弃，因此其对普世价值的宣称本身就是虚伪的。这个叙事在后殖民历史记忆深厚的受众中具有情绪共鸣，在理性层面也难以被简单驳倒——因为被指出的历史事实本身是真实的。</w:t>
      </w:r>
    </w:p>
    <w:p>
      <w:pPr>
        <w:pStyle w:val="BodyText"/>
      </w:pPr>
      <w:r>
        <w:rPr>
          <w:bCs/>
          <w:b/>
        </w:rPr>
        <w:t xml:space="preserve">叙事体系的内在弱点。</w:t>
      </w:r>
      <w:r>
        <w:t xml:space="preserve"> </w:t>
      </w:r>
      <w:r>
        <w:t xml:space="preserve">A2的叙事体系有一条深层裂缝：它的正当性最终依赖绩效。如果经济持续增长、物质生活持续改善，叙事就能自我维持；如果增长放缓、AI时代的意义危机在A2内部扩散，发展主义叙事的经验基础会松动。A2的叙事胜利空间集中在全球南方的生存阶段，而非之后。</w:t>
      </w:r>
    </w:p>
    <w:bookmarkEnd w:id="422"/>
    <w:bookmarkStart w:id="423" w:name="a1阵营的叙事体系"/>
    <w:p>
      <w:pPr>
        <w:pStyle w:val="Heading3"/>
      </w:pPr>
      <w:r>
        <w:t xml:space="preserve">7.4.3　A1阵营的叙事体系</w:t>
      </w:r>
    </w:p>
    <w:p>
      <w:pPr>
        <w:pStyle w:val="FirstParagraph"/>
      </w:pPr>
      <w:r>
        <w:t xml:space="preserve">A1阵营的叙事战略有一个核心优势和一个结构性困境。优势是内容的多元化：阵营内不只有国家叙事，还有独立媒体、学术机构、公民社会组织、自媒体创作者，各自基于不同逻辑生产相互补充（也相互矛盾）的内容。困境是这个多元性本身使叙事无法被统一协调：没有人可以代表”A1阵营”发言，也没有人能强制要求所有成员服从同一叙事框架。</w:t>
      </w:r>
    </w:p>
    <w:p>
      <w:pPr>
        <w:pStyle w:val="BodyText"/>
      </w:pPr>
      <w:r>
        <w:rPr>
          <w:bCs/>
          <w:b/>
        </w:rPr>
        <w:t xml:space="preserve">普世价值叙事：自由主义国际秩序的规范框架。</w:t>
      </w:r>
      <w:r>
        <w:t xml:space="preserve"> </w:t>
      </w:r>
      <w:r>
        <w:t xml:space="preserve">A1阵营的核心叙事仍然是基于1945年后建立的国际秩序框架：人权普世性、法治优先性、民主程序的规范正当性。这个框架的优势是有高度结构化的国际制度支撑，有跨越历史和文化的哲学传统，有在大量社会中的普通人那里已经形成的价值认同基础。其弱点也是这一套话语体系内在的：它与实践之间的落差是A2叙事攻击最稳定的弹药来源。</w:t>
      </w:r>
    </w:p>
    <w:p>
      <w:pPr>
        <w:pStyle w:val="BodyText"/>
      </w:pPr>
      <w:r>
        <w:rPr>
          <w:bCs/>
          <w:b/>
        </w:rPr>
        <w:t xml:space="preserve">民主韧性叙事：在混乱中自我修正的能力。</w:t>
      </w:r>
      <w:r>
        <w:t xml:space="preserve"> </w:t>
      </w:r>
      <w:r>
        <w:t xml:space="preserve">这是更防御性、也更诚实的叙事框架：不主张民主体制没有问题，而是主张民主体制有内在的自我修正能力——坏的领导人可以被选出，也可以被选走；政策失败会产生政治代价，迫使调整。这个叙事在动荡期特别真实：民主国家经历了大规模的政治震荡，但制度框架保留了下来，再分配政策最终在政治压力下得到调整。这个叙事的传播困难在于：它需要受众接受”过程的价值高于结果的速度”这一前提，而这个前提在物质危机的当下难以被感知为真实的好处。</w:t>
      </w:r>
    </w:p>
    <w:p>
      <w:pPr>
        <w:pStyle w:val="BodyText"/>
      </w:pPr>
      <w:r>
        <w:rPr>
          <w:bCs/>
          <w:b/>
        </w:rPr>
        <w:t xml:space="preserve">技术进步与个体自由的协同叙事。</w:t>
      </w:r>
      <w:r>
        <w:t xml:space="preserve"> </w:t>
      </w:r>
      <w:r>
        <w:t xml:space="preserve">这是专门针对全球年轻、受教育、城市化受众的叙事框架：AI时代最有价值的创新集中产生在开放的知识生态中，而不是在国家控制的技术路线中。这个叙事在技术社群和受教育精英中具有说服力，因为它与可观察的技术生产地理高度吻合。但它覆盖的受众范围有限：在生存问题仍然主导的全球南方，以及在A1体系内部已经被技术替代的劳动人口中，这个叙事的情绪吸引力很低。</w:t>
      </w:r>
    </w:p>
    <w:p>
      <w:pPr>
        <w:pStyle w:val="BodyText"/>
      </w:pPr>
      <w:r>
        <w:rPr>
          <w:bCs/>
          <w:b/>
        </w:rPr>
        <w:t xml:space="preserve">叙事体系的内在弱点。</w:t>
      </w:r>
      <w:r>
        <w:t xml:space="preserve"> </w:t>
      </w:r>
      <w:r>
        <w:t xml:space="preserve">A1叙事最大的弱点不是内容本身，而是传播结构：没有统一的指挥，没有强制执行的叙事纪律，A1阵营内部的真实批评声音会被A2叙事系统放大并反向投射，成为攻击自由主义可信度的素材。A1的叙事优势是深度和可信度，但在算法时代，深度内容的传播速度系统性低于情绪内容——一条关于民主失败的情绪化短视频，在全球范围内的传播速度，会超过任何一篇关于民主韧性的深度分析文章，不是因为前者更真实，而是因为情绪激活在算法分发中拥有天然优势。</w:t>
      </w:r>
    </w:p>
    <w:bookmarkEnd w:id="423"/>
    <w:bookmarkStart w:id="424" w:name="动荡期终结时的意识形态图景"/>
    <w:p>
      <w:pPr>
        <w:pStyle w:val="Heading3"/>
      </w:pPr>
      <w:r>
        <w:t xml:space="preserve">7.4.4　动荡期终结时的意识形态图景</w:t>
      </w:r>
    </w:p>
    <w:p>
      <w:pPr>
        <w:pStyle w:val="FirstParagraph"/>
      </w:pPr>
      <w:r>
        <w:t xml:space="preserve">动荡期结束时，意识形态战争没有产生一方彻底压倒另一方的结果。两套叙事体系都存活了下来，各自在不同受众群体和地理区域保有稳固的基本盘，但覆盖边界发生了显著的重新划定。</w:t>
      </w:r>
    </w:p>
    <w:p>
      <w:pPr>
        <w:pStyle w:val="BodyText"/>
      </w:pPr>
      <w:r>
        <w:t xml:space="preserve">全球南方的精英层在这段时期完成了路径选择，但选择是务实的而非意识形态化的：不是”哪套制度更正确”，而是”与哪套体系的利益连接更深、切换成本更高”。意识形态叙事在这个层面的影响力始终是次要的，基础设施锁定和贸易依附才是决定性的。这是两大阵营都不愿公开承认的现实：叙事战投入了大量资源，而决定路径的是更物质性的力量。</w:t>
      </w:r>
    </w:p>
    <w:p>
      <w:pPr>
        <w:pStyle w:val="BodyText"/>
      </w:pPr>
      <w:r>
        <w:t xml:space="preserve">A1体系内部的意识形态战争留下了持久的裂痕——大量人口不是被转化为A2叙事的支持者，而是从对自由主义制度的积极认同退向了被动接受或冷漠疏离。这个从”相信”到”将就”的转变，是意识形态战争在A1阵营内部最真实的战损——不是版图的丢失，而是动员能量的系统性消耗。</w:t>
      </w:r>
    </w:p>
    <w:p>
      <w:pPr>
        <w:pStyle w:val="BodyText"/>
      </w:pPr>
      <w:r>
        <w:t xml:space="preserve">最终，意识形态战争没有在动荡期内分出胜负，但它在全球范围内生产了一个持久的认知结果：对任何宏大叙事的不信任。经历了十五年以上相互矛盾的叙事轰炸，大量人口——无论在A1还是A2体系，无论在全球南方还是被遗忘地带——发展出了一种防御性的认知习惯：对所有宏大的制度承诺保持距离，把信任锚定在可以直接感知的本地现实，而非任何全球性叙事框架。</w:t>
      </w:r>
    </w:p>
    <w:p>
      <w:pPr>
        <w:pStyle w:val="BodyText"/>
      </w:pPr>
      <w:r>
        <w:t xml:space="preserve">这种对宏大叙事的普遍不信任，恰好是多态社会稳定所需要的认知条件之一。意识形态战争在生产了它最重要的输出之后，以一种没有人预先设计的方式，为它所争夺的那个世界提供了稳定的基础——不是因为某套叙事获胜，而是因为人们集体学会了不再完全相信任何叙事。</w:t>
      </w:r>
    </w:p>
    <w:p>
      <w:pPr>
        <w:pStyle w:val="BodyText"/>
      </w:pPr>
      <w:r>
        <w:rPr>
          <w:iCs/>
          <w:i/>
        </w:rPr>
        <w:t xml:space="preserve">意识形态战争是动荡期最弥漫也最持久的冲突形态——它没有停火协议，没有战场清点，没有和平条约。它只是在某一刻，逐渐被人们不再注意到。这个不再注意，就是它的终结，也是多态稳定的开始。</w:t>
      </w:r>
    </w:p>
    <w:bookmarkEnd w:id="424"/>
    <w:bookmarkEnd w:id="425"/>
    <w:bookmarkStart w:id="430" w:name="国际冲突"/>
    <w:p>
      <w:pPr>
        <w:pStyle w:val="Heading2"/>
      </w:pPr>
      <w:r>
        <w:t xml:space="preserve">7.5　国际冲突</w:t>
      </w:r>
    </w:p>
    <w:p>
      <w:pPr>
        <w:pStyle w:val="FirstParagraph"/>
      </w:pPr>
      <w:r>
        <w:t xml:space="preserve">大国孤立主义的上升并未使世界变得更和平。孤立主义转向的逻辑是：减少主动干预，降低海外承诺成本；但这同时削弱了对其他国家行为的约束能力。动荡期的国际冲突在形式上多样——局部战争、代理人冲突、灰色地带行动、经济胁迫——但在深层结构上共享一个特征：旧秩序的约束能力下降速度快于新秩序的建立速度，冲突在这个真空中寻找出口。</w:t>
      </w:r>
    </w:p>
    <w:bookmarkStart w:id="426" w:name="俄罗斯武力企图的终局"/>
    <w:p>
      <w:pPr>
        <w:pStyle w:val="Heading3"/>
      </w:pPr>
      <w:r>
        <w:t xml:space="preserve">7.5.1　俄罗斯：武力企图的终局</w:t>
      </w:r>
    </w:p>
    <w:p>
      <w:pPr>
        <w:pStyle w:val="FirstParagraph"/>
      </w:pPr>
      <w:r>
        <w:t xml:space="preserve">俄罗斯的乌克兰战争是21世纪大国以武力解决领土问题的第三次重大失败序列——继阿富汗泥潭（美国）、伊朗战争受挫（美国）之后，俄罗斯在欧洲大陆重演了同一个结构性逻辑：军事技术优势无法转化为政治胜利，战争的经济代价超出预期，本国人口的战争意愿在现代信息环境中比任何历史时期都更难维持。</w:t>
      </w:r>
    </w:p>
    <w:p>
      <w:pPr>
        <w:pStyle w:val="BodyText"/>
      </w:pPr>
      <w:r>
        <w:rPr>
          <w:bCs/>
          <w:b/>
        </w:rPr>
        <w:t xml:space="preserve">停战结构。</w:t>
      </w:r>
      <w:r>
        <w:t xml:space="preserve"> </w:t>
      </w:r>
      <w:r>
        <w:t xml:space="preserve">乌克兰战争以类朝鲜战争式停战收场——前线在某条线上冻结，无正式和平条约，长期军事对峙但不再有大规模战事。这不是俄罗斯的战略胜利，也不是完全的战略失败：领土冻结意味着局部的军事成果，但俄罗斯原定的政治目标（防止乌克兰西向整合、重建俄罗斯对苏联空间的影响力）全面落空。欧洲安全格局重组，北约在停战后进一步扩大和强化，停战前的前景恰好相反。</w:t>
      </w:r>
    </w:p>
    <w:p>
      <w:pPr>
        <w:pStyle w:val="BodyText"/>
      </w:pPr>
      <w:r>
        <w:rPr>
          <w:bCs/>
          <w:b/>
        </w:rPr>
        <w:t xml:space="preserve">俄罗斯的长期走向。</w:t>
      </w:r>
      <w:r>
        <w:t xml:space="preserve"> </w:t>
      </w:r>
      <w:r>
        <w:t xml:space="preserve">扩张野心被实质性遏制，但体制不崩溃。俄罗斯进入一种”衰退性威权稳定”——政治上依赖国家机器和资源收入维持，经济上加速向中国资本的资源依附。中国作为俄罗斯能源和资本的主要出口市场，获得了在俄罗斯的结构性经济存在，但并未提供政治意义上的平等盟友关系，而是形成一种高度不对称的依赖结构：俄罗斯需要中国市场，中国需要俄罗斯的资源和缓冲区战略价值，两者在不对等的基础上共存。</w:t>
      </w:r>
    </w:p>
    <w:p>
      <w:pPr>
        <w:pStyle w:val="BodyText"/>
      </w:pPr>
      <w:r>
        <w:rPr>
          <w:bCs/>
          <w:b/>
        </w:rPr>
        <w:t xml:space="preserve">序列意义。</w:t>
      </w:r>
      <w:r>
        <w:t xml:space="preserve"> </w:t>
      </w:r>
      <w:r>
        <w:t xml:space="preserve">这场战争与阿富汗、伊朗的共同意义在于：它们共同论证了在现代信息、经济和军事条件下，大国以武力强行改变另一个有国家认同的民族的政治归属，代价是任何胜利者都难以承受的。这个论证不依赖道德框架，而依赖成本收益的实践总结。台海冲突（7.5.4节）中北京的最终收手，部分根植于对这个序列的隐性理解——即使不公开承认。</w:t>
      </w:r>
    </w:p>
    <w:bookmarkEnd w:id="426"/>
    <w:bookmarkStart w:id="427" w:name="阿以冲突利益意识形态与暴力的长期共存"/>
    <w:p>
      <w:pPr>
        <w:pStyle w:val="Heading3"/>
      </w:pPr>
      <w:r>
        <w:t xml:space="preserve">7.5.2　阿以冲突：利益、意识形态与暴力的长期共存</w:t>
      </w:r>
    </w:p>
    <w:p>
      <w:pPr>
        <w:pStyle w:val="FirstParagraph"/>
      </w:pPr>
      <w:r>
        <w:t xml:space="preserve">阿以冲突是动荡期国际秩序最持久的例外。在大国直接冲突风险趋近于零的背景下，这一地区的暴力在未来二三十年内仍将持续——不是因为各方理性计算指向战争，而是因为三种不同逻辑的行为者同时活跃，各有其不可化约的动机。</w:t>
      </w:r>
    </w:p>
    <w:p>
      <w:pPr>
        <w:pStyle w:val="BodyText"/>
      </w:pPr>
      <w:r>
        <w:rPr>
          <w:bCs/>
          <w:b/>
        </w:rPr>
        <w:t xml:space="preserve">第一种逻辑：利益与安全驱动的和解倾向。</w:t>
      </w:r>
      <w:r>
        <w:t xml:space="preserve"> </w:t>
      </w:r>
      <w:r>
        <w:t xml:space="preserve">以色列与多数国家（包括海湾阿拉伯国家）在利益和安全的驱动下寻求和平共处。在AI时代，技术合作、能源交易、安全情报共享，提供了充分的合作激励。正式或非正式的关系正常化进程，是这一逻辑的自然输出，且有大国（尤其是以AI经济为依托的A1体系）的支持作为背景条件。</w:t>
      </w:r>
    </w:p>
    <w:p>
      <w:pPr>
        <w:pStyle w:val="BodyText"/>
      </w:pPr>
      <w:r>
        <w:rPr>
          <w:bCs/>
          <w:b/>
        </w:rPr>
        <w:t xml:space="preserve">第二种逻辑：贫困与意识形态的复合势力。</w:t>
      </w:r>
      <w:r>
        <w:t xml:space="preserve"> </w:t>
      </w:r>
      <w:r>
        <w:t xml:space="preserve">在缺乏经济出路、缺乏有效政治代表、缺乏意义框架的人口中，意识形态（宗教的、民族主义的，或两者的结合）提供了结构和归属感，也提供了愤怒的出口。这类人口在全球发展陷阱地区（见7.3节）的结构中大量存在，不是需要被”说服放弃”的意识形态持有者，而是在有限选项中做出可理解选择的具体人。他们寻求发泄愤怒，而愤怒有真实的物质来源。</w:t>
      </w:r>
    </w:p>
    <w:p>
      <w:pPr>
        <w:pStyle w:val="BodyText"/>
      </w:pPr>
      <w:r>
        <w:rPr>
          <w:bCs/>
          <w:b/>
        </w:rPr>
        <w:t xml:space="preserve">第三种逻辑：压力转移机制。</w:t>
      </w:r>
      <w:r>
        <w:t xml:space="preserve"> </w:t>
      </w:r>
      <w:r>
        <w:t xml:space="preserve">面临内部财政和就业压力的威权政府，有将外部冲突功能性地用于转移内部注意力、强化内部合法性的结构性激励。这一机制不依附于任何单一国家：凡是有内部合法性压力、有代理人网络或意识形态号召力的行为者，都可能从外部冲突的持续中获取政治收益——不是说冲突是被设计出来的，而是说某些行为者从冲突的继续中获益，这个获益结构使任何降温努力都面临系统性阻力。区域内若干行为者（包括非国家武装组织和部分国家政府）正是沿着这一逻辑活动的。</w:t>
      </w:r>
    </w:p>
    <w:p>
      <w:pPr>
        <w:pStyle w:val="BodyText"/>
      </w:pPr>
      <w:r>
        <w:rPr>
          <w:bCs/>
          <w:b/>
        </w:rPr>
        <w:t xml:space="preserve">长期图景。</w:t>
      </w:r>
      <w:r>
        <w:t xml:space="preserve"> </w:t>
      </w:r>
      <w:r>
        <w:t xml:space="preserve">这三种逻辑在二三十年内不会同时消失。和解进程真实推进，但无法覆盖全部行为者；暴力持续，但主要集中于特定地理和特定行为者，而非系统性扩大；大国的介入意愿因孤立主义转向而下降，使冲突管理能力弱化，但也使冲突的国际化风险相对降低。世界在这片地区的暴力阴影下持续运转，这个”持续”本身是一种残酷的均衡——不是和平，不是彻底的战争，是可以被全球体系继续运转的、有边界的持续暴力。</w:t>
      </w:r>
    </w:p>
    <w:bookmarkEnd w:id="427"/>
    <w:bookmarkStart w:id="428" w:name="核扩散朝鲜示范效应与ai使能的能力扩散"/>
    <w:p>
      <w:pPr>
        <w:pStyle w:val="Heading3"/>
      </w:pPr>
      <w:r>
        <w:t xml:space="preserve">7.5.3　核扩散：朝鲜示范效应与AI使能的能力扩散</w:t>
      </w:r>
    </w:p>
    <w:p>
      <w:pPr>
        <w:pStyle w:val="FirstParagraph"/>
      </w:pPr>
      <w:r>
        <w:t xml:space="preserve">动荡期最反直觉的国际安全发展，是核能力的进一步扩散——以及这种扩散并未使世界变得更不安全这一事实。</w:t>
      </w:r>
    </w:p>
    <w:p>
      <w:pPr>
        <w:pStyle w:val="BodyText"/>
      </w:pPr>
      <w:r>
        <w:rPr>
          <w:bCs/>
          <w:b/>
        </w:rPr>
        <w:t xml:space="preserve">朝鲜示范效应。</w:t>
      </w:r>
      <w:r>
        <w:t xml:space="preserve"> </w:t>
      </w:r>
      <w:r>
        <w:t xml:space="preserve">俄罗斯和美国漠视国际法的行为（分别在乌克兰的单方面武力行动和在国际法框架外的干预行动），以一种讽刺性的方式，凸显了朝鲜核能力的有效性。核威慑在朝鲜案例中被证明是有效的：任何军事解决朝鲜问题的计划，都因为核反击的不可承受代价而无法付诸实施。这个演示对其他处于安全威胁中的国家是清晰的学习信号：常规军事力量不能阻止大国压力，但核威慑可以。</w:t>
      </w:r>
    </w:p>
    <w:p>
      <w:pPr>
        <w:pStyle w:val="BodyText"/>
      </w:pPr>
      <w:r>
        <w:rPr>
          <w:bCs/>
          <w:b/>
        </w:rPr>
        <w:t xml:space="preserve">AI技术对核能力的下沉效应。</w:t>
      </w:r>
      <w:r>
        <w:t xml:space="preserve"> </w:t>
      </w:r>
      <w:r>
        <w:t xml:space="preserve">核武器的传统获取门槛在于材料（浓缩铀/钚的生产能力）和工程（精密机械加工和引爆系统）两个层面。AI在这两个层面都产生了不对称的下沉效应：材料生产所需的设备设计和运行优化可以借助AI实现，工程层面的精密度问题可以在更少的专家人力下得到解决。在AI技术加持下，事实上拥有核能力（即使尚未进行核试验）的国家数量在动荡期结束时已经超出国际社会公开承认的范围。</w:t>
      </w:r>
    </w:p>
    <w:p>
      <w:pPr>
        <w:pStyle w:val="BodyText"/>
      </w:pPr>
      <w:r>
        <w:rPr>
          <w:bCs/>
          <w:b/>
        </w:rPr>
        <w:t xml:space="preserve">扩散稳定性的悖论。</w:t>
      </w:r>
      <w:r>
        <w:t xml:space="preserve"> </w:t>
      </w:r>
      <w:r>
        <w:t xml:space="preserve">核扩散在直觉上应该使世界更不安全，但经验观察和理论分析都指向一个反直觉的结论：拥有核能力的行为者具有更强的维持现状动机，因为核冲突的代价是无差别的。印巴冲突的烈度在双方宣布拥核后显著降低，朝鲜半岛在韩战后能一直维持和平，而美俄则卷入了多起冲突——这不是拥核国家更有道德，而是核威慑结构下的理性选择。新的核国家同样面临这个结构：核能力提供了安全感，同时制造了使用它的极高门槛——使用核武器意味着遭受核反击，而这是任何核国家都无法承受的后果。</w:t>
      </w:r>
    </w:p>
    <w:p>
      <w:pPr>
        <w:pStyle w:val="BodyText"/>
      </w:pPr>
      <w:r>
        <w:rPr>
          <w:bCs/>
          <w:b/>
        </w:rPr>
        <w:t xml:space="preserve">讽刺性的稳定结果。</w:t>
      </w:r>
      <w:r>
        <w:t xml:space="preserve"> </w:t>
      </w:r>
      <w:r>
        <w:t xml:space="preserve">这个扩散的结果，与核不扩散条约（核不扩散条约（NPT））的设计逻辑相悖，却与核威慑稳定论的预测大体一致。世界在动荡期结束时，核国家数量增加，但大国核冲突风险并未相应上升，局部核冲突的实际发生也低于线性外推的悲观预测。这不是令人放心的图景——它依赖于所有行为者的理性计算持续成立，而这个前提是可以被极端意识形态或内部政治危机破坏的——但在观察到的动荡期时间范围内，核扩散的实际效果比其道义问题更接近维持了一种粗糙的稳定，而非引发了更多战争。</w:t>
      </w:r>
    </w:p>
    <w:bookmarkEnd w:id="428"/>
    <w:bookmarkStart w:id="429" w:name="台海冲突20282029武力路径的终结与经济融合的起点"/>
    <w:p>
      <w:pPr>
        <w:pStyle w:val="Heading3"/>
      </w:pPr>
      <w:r>
        <w:t xml:space="preserve">7.5.4　台海冲突（2028—2029）：武力路径的终结与经济融合的起点</w:t>
      </w:r>
    </w:p>
    <w:p>
      <w:pPr>
        <w:pStyle w:val="FirstParagraph"/>
      </w:pPr>
      <w:r>
        <w:t xml:space="preserve">台海冲突是动荡期唯一具体叙述的主线事件，在世界观中有特定的结构功能：武力路径被证伪后，经济文化渗透成为此后唯一可行的路径，这是2040年代台湾经济融合越过不可逆门槛的前提。</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背景：三重压力的汇聚</w:t>
            </w:r>
          </w:p>
        </w:tc>
        <w:tc>
          <w:tcPr/>
          <w:p>
            <w:pPr>
              <w:pStyle w:val="Compact"/>
            </w:pPr>
          </w:p>
        </w:tc>
      </w:tr>
      <w:tr>
        <w:tc>
          <w:tcPr/>
          <w:p>
            <w:pPr>
              <w:pStyle w:val="Compact"/>
              <w:jc w:val="left"/>
            </w:pPr>
            <w:r>
              <w:rPr>
                <w:bCs/>
                <w:b/>
              </w:rPr>
              <w:t xml:space="preserve">2026</w:t>
            </w:r>
          </w:p>
        </w:tc>
        <w:tc>
          <w:tcPr/>
          <w:p>
            <w:pPr>
              <w:pStyle w:val="Compact"/>
              <w:jc w:val="left"/>
            </w:pPr>
            <w:r>
              <w:rPr>
                <w:bCs/>
                <w:b/>
              </w:rPr>
              <w:t xml:space="preserve">美国中期选举：共和党失去国会多数</w:t>
            </w:r>
            <w:r>
              <w:t xml:space="preserve"> </w:t>
            </w:r>
            <w:r>
              <w:t xml:space="preserve">川普伊朗战争实质挫败，政治资本大量消耗。中期选举共和党失去国会控制权。川普第二任期进入跛脚阶段，对外行动的政治意愿和执行能力系统性下降。</w:t>
            </w:r>
          </w:p>
        </w:tc>
      </w:tr>
      <w:tr>
        <w:tc>
          <w:tcPr/>
          <w:p>
            <w:pPr>
              <w:pStyle w:val="Compact"/>
              <w:jc w:val="left"/>
            </w:pPr>
            <w:r>
              <w:rPr>
                <w:bCs/>
                <w:b/>
              </w:rPr>
              <w:t xml:space="preserve">2028年1月13日</w:t>
            </w:r>
          </w:p>
        </w:tc>
        <w:tc>
          <w:tcPr/>
          <w:p>
            <w:pPr>
              <w:pStyle w:val="Compact"/>
              <w:jc w:val="left"/>
            </w:pPr>
            <w:r>
              <w:rPr>
                <w:bCs/>
                <w:b/>
              </w:rPr>
              <w:t xml:space="preserve">台湾总统选举：民进党防御性连任</w:t>
            </w:r>
            <w:r>
              <w:t xml:space="preserve"> </w:t>
            </w:r>
            <w:r>
              <w:t xml:space="preserve">2027—2028年两岸紧张局势持续升温，台湾选民产生防御性投票心理，倾向选择防卫姿态坚决的民进党候选人。民进党获得第四次连续执政。注：此时冲突尚未发生，民进党的获胜是紧张局势的结果而非原因。</w:t>
            </w:r>
          </w:p>
        </w:tc>
      </w:tr>
      <w:tr>
        <w:tc>
          <w:tcPr/>
          <w:p>
            <w:pPr>
              <w:pStyle w:val="Compact"/>
              <w:jc w:val="left"/>
            </w:pPr>
            <w:r>
              <w:rPr>
                <w:bCs/>
                <w:b/>
              </w:rPr>
              <w:t xml:space="preserve">2028年11月5日</w:t>
            </w:r>
          </w:p>
        </w:tc>
        <w:tc>
          <w:tcPr/>
          <w:p>
            <w:pPr>
              <w:pStyle w:val="Compact"/>
              <w:jc w:val="left"/>
            </w:pPr>
            <w:r>
              <w:rPr>
                <w:bCs/>
                <w:b/>
              </w:rPr>
              <w:t xml:space="preserve">美国总统选举：民主党获胜</w:t>
            </w:r>
            <w:r>
              <w:t xml:space="preserve"> </w:t>
            </w:r>
            <w:r>
              <w:t xml:space="preserve">民主党候选人当选。北京预判：新政府上台后将重拾团结盟友围堵中共的策略，届时行动窗口将系统性收窄。川普跛脚加民主党即将重建围堵联盟=窗口正在关闭。</w:t>
            </w:r>
            <w:r>
              <w:rPr>
                <w:iCs/>
                <w:i/>
              </w:rPr>
              <w:t xml:space="preserve">北京的核心误判：将川普整体跛脚状态错误地推及到台海问题——实际上，「在任期最后阶段制止中国军事行动」正是川普在伊朗挫败后最需要的政治遗产时刻，他在台海的响应动机反而更强。</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冲突过程：主线（2028年12月—2029年1月）</w:t>
            </w:r>
          </w:p>
        </w:tc>
        <w:tc>
          <w:tcPr/>
          <w:p>
            <w:pPr>
              <w:pStyle w:val="Compact"/>
            </w:pPr>
          </w:p>
        </w:tc>
      </w:tr>
      <w:tr>
        <w:tc>
          <w:tcPr/>
          <w:p>
            <w:pPr>
              <w:pStyle w:val="Compact"/>
              <w:jc w:val="left"/>
            </w:pPr>
            <w:r>
              <w:rPr>
                <w:bCs/>
                <w:b/>
              </w:rPr>
              <w:t xml:space="preserve">2028年12月</w:t>
            </w:r>
          </w:p>
        </w:tc>
        <w:tc>
          <w:tcPr/>
          <w:p>
            <w:pPr>
              <w:pStyle w:val="Compact"/>
              <w:jc w:val="left"/>
            </w:pPr>
            <w:r>
              <w:rPr>
                <w:bCs/>
                <w:b/>
              </w:rPr>
              <w:t xml:space="preserve">军事行动启动</w:t>
            </w:r>
            <w:r>
              <w:t xml:space="preserve"> </w:t>
            </w:r>
            <w:r>
              <w:t xml:space="preserve">中共以演习为名发动大规模军事行动。全球股市出现第一波震动，经济后果议论开始占据媒体空间。</w:t>
            </w:r>
          </w:p>
        </w:tc>
      </w:tr>
      <w:tr>
        <w:tc>
          <w:tcPr/>
          <w:p>
            <w:pPr>
              <w:pStyle w:val="Compact"/>
              <w:jc w:val="left"/>
            </w:pPr>
            <w:r>
              <w:rPr>
                <w:bCs/>
                <w:b/>
              </w:rPr>
              <w:t xml:space="preserve">2029年1月</w:t>
            </w:r>
          </w:p>
        </w:tc>
        <w:tc>
          <w:tcPr/>
          <w:p>
            <w:pPr>
              <w:pStyle w:val="Compact"/>
              <w:jc w:val="left"/>
            </w:pPr>
            <w:r>
              <w:rPr>
                <w:bCs/>
                <w:b/>
              </w:rPr>
              <w:t xml:space="preserve">对峙升级与降温</w:t>
            </w:r>
            <w:r>
              <w:t xml:space="preserve"> </w:t>
            </w:r>
            <w:r>
              <w:t xml:space="preserve">美国研判演习可能发展为真正入侵，发出警告。川普以政治遗产为动机展现坚决姿态，联合盟国在台海附近展示武力。候任民主党总统同步公开表态——两届政府同时发声实际上强化了美国整体信号，是北京未预料到的变量。台湾公开议论攻击大陆本土目标。全球股市剧烈震动，核阴影短暂浮现于公众讨论。</w:t>
            </w:r>
          </w:p>
        </w:tc>
      </w:tr>
      <w:tr>
        <w:tc>
          <w:tcPr/>
          <w:p>
            <w:pPr>
              <w:pStyle w:val="Compact"/>
              <w:jc w:val="left"/>
            </w:pPr>
            <w:r>
              <w:rPr>
                <w:bCs/>
                <w:b/>
              </w:rPr>
              <w:t xml:space="preserve">2029年1月中旬</w:t>
            </w:r>
          </w:p>
        </w:tc>
        <w:tc>
          <w:tcPr/>
          <w:p>
            <w:pPr>
              <w:pStyle w:val="Compact"/>
              <w:jc w:val="left"/>
            </w:pPr>
            <w:r>
              <w:rPr>
                <w:bCs/>
                <w:b/>
              </w:rPr>
              <w:t xml:space="preserve">习近平停止进一步行动</w:t>
            </w:r>
            <w:r>
              <w:t xml:space="preserve"> </w:t>
            </w:r>
            <w:r>
              <w:t xml:space="preserve">在真正开战与收手之间，收手的代价远低于失败。演习被解释为「成功的军事威慑演示」，不需要承认失败。中国内部政治格局基本不受影响。</w:t>
            </w:r>
          </w:p>
        </w:tc>
      </w:tr>
      <w:tr>
        <w:tc>
          <w:tcPr/>
          <w:p>
            <w:pPr>
              <w:pStyle w:val="Compact"/>
              <w:jc w:val="left"/>
            </w:pPr>
            <w:r>
              <w:rPr>
                <w:bCs/>
                <w:b/>
              </w:rPr>
              <w:t xml:space="preserve">2029年1月20日</w:t>
            </w:r>
          </w:p>
        </w:tc>
        <w:tc>
          <w:tcPr/>
          <w:p>
            <w:pPr>
              <w:pStyle w:val="Compact"/>
              <w:jc w:val="left"/>
            </w:pPr>
            <w:r>
              <w:rPr>
                <w:bCs/>
                <w:b/>
              </w:rPr>
              <w:t xml:space="preserve">美国政权交接</w:t>
            </w:r>
            <w:r>
              <w:t xml:space="preserve"> </w:t>
            </w:r>
            <w:r>
              <w:t xml:space="preserve">川普卸任，民主党新政府接手。冲突在此前已降温。新政府随即启动盟友体系重建，围堵中共的联盟战略重新激活。</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收场与长期后果</w:t>
            </w:r>
          </w:p>
        </w:tc>
        <w:tc>
          <w:tcPr/>
          <w:p>
            <w:pPr>
              <w:pStyle w:val="Compact"/>
            </w:pPr>
          </w:p>
        </w:tc>
      </w:tr>
      <w:tr>
        <w:tc>
          <w:tcPr/>
          <w:p>
            <w:pPr>
              <w:pStyle w:val="Compact"/>
              <w:jc w:val="left"/>
            </w:pPr>
            <w:r>
              <w:rPr>
                <w:bCs/>
                <w:b/>
              </w:rPr>
              <w:t xml:space="preserve">2029年10月</w:t>
            </w:r>
          </w:p>
        </w:tc>
        <w:tc>
          <w:tcPr/>
          <w:p>
            <w:pPr>
              <w:pStyle w:val="Compact"/>
              <w:jc w:val="left"/>
            </w:pPr>
            <w:r>
              <w:rPr>
                <w:bCs/>
                <w:b/>
              </w:rPr>
              <w:t xml:space="preserve">诺贝尔和平奖：川普与习近平共同获奖</w:t>
            </w:r>
            <w:r>
              <w:t xml:space="preserve"> </w:t>
            </w:r>
            <w:r>
              <w:t xml:space="preserve">冲突内幕在全球注视下相对快速进入公众视野。全球庆幸避免了一次毁灭性战争。川普和习近平因「停止战争」共同获得诺贝尔和平奖。两个对峙者共同获奖的荒诞感是这个时代现实逻辑最具体的呈现：「防止战争」与「发动战争然后停止」在结果上没有区别，奖项认可的是结果。</w:t>
            </w:r>
          </w:p>
        </w:tc>
      </w:tr>
      <w:tr>
        <w:tc>
          <w:tcPr/>
          <w:p>
            <w:pPr>
              <w:pStyle w:val="Compact"/>
              <w:jc w:val="left"/>
            </w:pPr>
            <w:r>
              <w:rPr>
                <w:bCs/>
                <w:b/>
              </w:rPr>
              <w:t xml:space="preserve">2030年代</w:t>
            </w:r>
          </w:p>
        </w:tc>
        <w:tc>
          <w:tcPr/>
          <w:p>
            <w:pPr>
              <w:pStyle w:val="Compact"/>
              <w:jc w:val="left"/>
            </w:pPr>
            <w:r>
              <w:rPr>
                <w:bCs/>
                <w:b/>
              </w:rPr>
              <w:t xml:space="preserve">台湾问题的路径转变</w:t>
            </w:r>
            <w:r>
              <w:t xml:space="preserve"> </w:t>
            </w:r>
            <w:r>
              <w:t xml:space="preserve">中国降低武力威胁强度，台湾人的恐惧随之降低，民进党失去最大票源。国民党在随后的选举中赢得执政，两岸关系进入经济文化靠拢的长期轨道。但美国成功阻止了战争，却无法阻止和平条件下利益主导的台湾与中国关系发展——经济依存的深化是市场逻辑的自然结果，不需要任何政治授权。这次冲突是武力统一最后也是最接近实施的一次企图，此后台湾问题走向经济融合（对应2040—2044年越过不可逆门槛的设定）。</w:t>
            </w:r>
          </w:p>
        </w:tc>
      </w:tr>
    </w:tbl>
    <w:p>
      <w:pPr>
        <w:pStyle w:val="BodyText"/>
      </w:pPr>
      <w:r>
        <w:rPr>
          <w:bCs/>
          <w:b/>
        </w:rPr>
        <w:t xml:space="preserve">台海冲突的结构性遗产。</w:t>
      </w:r>
      <w:r>
        <w:t xml:space="preserve"> </w:t>
      </w:r>
      <w:r>
        <w:t xml:space="preserve">台海事件之后，主要国家直接军事冲突风险基本为零。地缘竞争以经济、技术、信息、代理人等非直接军事方式进行。大国之间不再以战争作为政策工具，不是道德进步，是经济现实——代价没有任何一方能够支付。全球股市崩盘、核阴影浮现、然后停止——「差点发生」的体验比真正发生战争更有震慑效果，实时的全球媒体和社交网络将危机的每一个小时传播到所有人手机上，情绪冲击强，集体记忆深，产生了一个全球共同的恐惧基准线，构成此后相互忽视均衡得以稳定的地缘政治前提之一。</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开放支线说明</w:t>
            </w:r>
            <w:r>
              <w:t xml:space="preserve"> </w:t>
            </w:r>
            <w:r>
              <w:t xml:space="preserve">以下内容主线未定，向所有创作者开放：冲突期间台湾岛内的社会状态；解放军内部的决策过程与个人处境；美军舰队在台海的实时状态；全球股市崩盘中的普通人遭遇；北京、台北、华盛顿街头的平民视角；内幕曝光的具体方式和第一批知情者；诺贝尔和平奖颁奖典礼的现场细节。支线不得改变主线结果，但可以在任何角度探索这段历史的质地。</w:t>
            </w:r>
          </w:p>
        </w:tc>
        <w:tc>
          <w:tcPr/>
          <w:p>
            <w:pPr>
              <w:pStyle w:val="Compact"/>
            </w:pPr>
          </w:p>
        </w:tc>
      </w:tr>
    </w:tbl>
    <w:bookmarkEnd w:id="429"/>
    <w:bookmarkEnd w:id="430"/>
    <w:bookmarkStart w:id="433" w:name="动荡期终结的结构条件"/>
    <w:p>
      <w:pPr>
        <w:pStyle w:val="Heading2"/>
      </w:pPr>
      <w:r>
        <w:t xml:space="preserve">7.6　动荡期终结的结构条件</w:t>
      </w:r>
    </w:p>
    <w:bookmarkStart w:id="431" w:name="为何大国都不希望对方陷入混乱"/>
    <w:p>
      <w:pPr>
        <w:pStyle w:val="Heading3"/>
      </w:pPr>
      <w:r>
        <w:t xml:space="preserve">7.6.1　为何大国都不希望对方陷入混乱</w:t>
      </w:r>
    </w:p>
    <w:p>
      <w:pPr>
        <w:pStyle w:val="FirstParagraph"/>
      </w:pPr>
      <w:r>
        <w:t xml:space="preserve">动荡期的深层结构制造了一个反直觉的稳定机制：A1与A2两大体系在激烈竞争的同时，对彼此维持基本秩序有共同的利益。这不是意识形态的趋同，而是利益结构的客观约束。</w:t>
      </w:r>
    </w:p>
    <w:p>
      <w:pPr>
        <w:pStyle w:val="BodyText"/>
      </w:pPr>
      <w:r>
        <w:t xml:space="preserve">大规模战争在动荡期的代价超出任何一方的承受能力。AI与聚变红利的实现依赖于全球供应链、技术扩散和金融稳定的持续运转——这些条件在大国热战中会全面崩溃。对A1而言，战争中断了聚变技术商业化所需的国际资本流动和工程协作；对A2而言，战争切断了技术升级所依赖的进口渠道和出口市场。双方都无法在战争条件下完成本国的动荡期过渡。</w:t>
      </w:r>
    </w:p>
    <w:p>
      <w:pPr>
        <w:pStyle w:val="BodyText"/>
      </w:pPr>
      <w:r>
        <w:t xml:space="preserve">对方陷入混乱同样不符合己方利益。A2的大规模政治崩溃会产生数亿难民、核武器管控失效、全球供应链断裂——这些后果对A1体系的冲击不低于一场战争。A1的制度性崩溃会使A2失去最重要的技术来源和出口市场，同时使全球金融体系陷入A2无力独立支撑的混乱。这是一种相互依赖的脆弱性：两个体系都足够强大，不能被对方彻底压倒；也足够相互嵌入，不能在对方崩溃中独善其身。</w:t>
      </w:r>
    </w:p>
    <w:p>
      <w:pPr>
        <w:pStyle w:val="BodyText"/>
      </w:pPr>
      <w:r>
        <w:t xml:space="preserve">这个结构使动荡期的大国竞争维持在一条隐性的边界之内：激烈但不越过引发对方系统性崩溃的门槛。台海冲突（见7.5.4节）是这条边界被试探并最终被确认的具体历史时刻。</w:t>
      </w:r>
    </w:p>
    <w:bookmarkEnd w:id="431"/>
    <w:bookmarkStart w:id="432" w:name="动荡期终结的核心指标bsc的成熟"/>
    <w:p>
      <w:pPr>
        <w:pStyle w:val="Heading3"/>
      </w:pPr>
      <w:r>
        <w:t xml:space="preserve">7.6.2　动荡期终结的核心指标：BSC的成熟</w:t>
      </w:r>
    </w:p>
    <w:p>
      <w:pPr>
        <w:pStyle w:val="FirstParagraph"/>
      </w:pPr>
      <w:r>
        <w:t xml:space="preserve">动荡期的核心张力是AI驱动的就业替代速度，超出了既有制度提供替代性生存保障的速度。这个张力不会因时间流逝而自行消解，只有当新的保障机制在覆盖范围和财政可持续性上都达到成熟时，动荡期的核心驱动力才真正消失。</w:t>
      </w:r>
    </w:p>
    <w:p>
      <w:pPr>
        <w:pStyle w:val="BodyText"/>
      </w:pPr>
      <w:r>
        <w:t xml:space="preserve">基本支持积分（BSC）的成熟是动荡期终结最核心的单一指标。BSC的成熟包含三个层次：</w:t>
      </w:r>
      <w:r>
        <w:rPr>
          <w:bCs/>
          <w:b/>
        </w:rPr>
        <w:t xml:space="preserve">覆盖完整</w:t>
      </w:r>
      <w:r>
        <w:t xml:space="preserve">（绝大多数受就业替代冲击的人口都在保障范围内）；</w:t>
      </w:r>
      <w:r>
        <w:rPr>
          <w:bCs/>
          <w:b/>
        </w:rPr>
        <w:t xml:space="preserve">财政可持续</w:t>
      </w:r>
      <w:r>
        <w:t xml:space="preserve">（保障体系的资金来源不依赖债务扩张，而依赖AI生产率红利的稳定税收）；</w:t>
      </w:r>
      <w:r>
        <w:rPr>
          <w:bCs/>
          <w:b/>
        </w:rPr>
        <w:t xml:space="preserve">政治稳定</w:t>
      </w:r>
      <w:r>
        <w:t xml:space="preserve">（保障机制经历了至少一个完整政治周期的检验，不再是随时可能被推翻的政策，而是被社会广泛接受的制度事实）。</w:t>
      </w:r>
    </w:p>
    <w:p>
      <w:pPr>
        <w:pStyle w:val="BodyText"/>
      </w:pPr>
      <w:r>
        <w:t xml:space="preserve">BSC的财政基础依赖一个前置条件：聚变商业化（约2044年）之后，廉价能源驱动的生产率跃升，使AI红利的税收基础足够支撑大规模再分配。这意味着BSC的成熟在时序上必然晚于聚变的商业化——聚变提供物质条件，BSC完成制度转化。完整的因果链是：</w:t>
      </w:r>
      <w:r>
        <w:rPr>
          <w:bCs/>
          <w:b/>
        </w:rPr>
        <w:t xml:space="preserve">聚变商业化→能源成本系统性下降→AI加廉价能源驱动生产率跃升→税基扩大→BSC财政可行→就业不再是生存保障的唯一来源→动荡期核心张力消解</w:t>
      </w:r>
      <w:r>
        <w:t xml:space="preserve">。</w:t>
      </w:r>
    </w:p>
    <w:p>
      <w:pPr>
        <w:pStyle w:val="BodyText"/>
      </w:pPr>
      <w:r>
        <w:t xml:space="preserve">A1体系内BSC成熟的时间窗口约为2052—2058年，各国因路径差异有所不同（北欧最早，东亚民主体最晚）。A2体系没有名义上的BSC，但其国家配给经济在功能上完成了类似的覆盖，时序大体相近。</w:t>
      </w:r>
    </w:p>
    <w:p>
      <w:pPr>
        <w:pStyle w:val="BodyText"/>
      </w:pPr>
      <w:r>
        <w:t xml:space="preserve">动荡期终结不意味着问题解决，而是意味着问题性质的转变：从「这个系统可能崩溃」变成「这个系统在运行，但它的代价是什么」。后者是可以在稳态中长期携带的问题，不是逼迫系统崩溃的问题。</w:t>
      </w:r>
    </w:p>
    <w:bookmarkEnd w:id="432"/>
    <w:bookmarkEnd w:id="433"/>
    <w:bookmarkEnd w:id="434"/>
    <w:bookmarkStart w:id="438" w:name="附录a-完整时间线对照表"/>
    <w:p>
      <w:pPr>
        <w:pStyle w:val="Heading1"/>
      </w:pPr>
      <w:r>
        <w:t xml:space="preserve">附录A　完整时间线对照表</w:t>
      </w:r>
    </w:p>
    <w:p>
      <w:pPr>
        <w:pStyle w:val="FirstParagraph"/>
      </w:pPr>
      <w:r>
        <w:rPr>
          <w:iCs/>
          <w:i/>
        </w:rPr>
        <w:t xml:space="preserve">依据第二、三、四、五部分综合整理。括号内注明主要来源节号。</w:t>
      </w:r>
    </w:p>
    <w:bookmarkStart w:id="435" w:name="a.1-完整六轴时间线对照表"/>
    <w:p>
      <w:pPr>
        <w:pStyle w:val="Heading2"/>
      </w:pPr>
      <w:r>
        <w:t xml:space="preserve">A.1　完整六轴时间线对照表</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年份</w:t>
            </w:r>
          </w:p>
        </w:tc>
        <w:tc>
          <w:tcPr/>
          <w:p>
            <w:pPr>
              <w:pStyle w:val="Compact"/>
              <w:jc w:val="left"/>
            </w:pPr>
            <w:r>
              <w:rPr>
                <w:bCs/>
                <w:b/>
              </w:rPr>
              <w:t xml:space="preserve">AI技术线</w:t>
            </w:r>
          </w:p>
        </w:tc>
        <w:tc>
          <w:tcPr/>
          <w:p>
            <w:pPr>
              <w:pStyle w:val="Compact"/>
              <w:jc w:val="left"/>
            </w:pPr>
            <w:r>
              <w:rPr>
                <w:bCs/>
                <w:b/>
              </w:rPr>
              <w:t xml:space="preserve">聚变技术线</w:t>
            </w:r>
          </w:p>
        </w:tc>
        <w:tc>
          <w:tcPr/>
          <w:p>
            <w:pPr>
              <w:pStyle w:val="Compact"/>
              <w:jc w:val="left"/>
            </w:pPr>
            <w:r>
              <w:rPr>
                <w:bCs/>
                <w:b/>
              </w:rPr>
              <w:t xml:space="preserve">经济线</w:t>
            </w:r>
          </w:p>
        </w:tc>
        <w:tc>
          <w:tcPr/>
          <w:p>
            <w:pPr>
              <w:pStyle w:val="Compact"/>
              <w:jc w:val="left"/>
            </w:pPr>
            <w:r>
              <w:rPr>
                <w:bCs/>
                <w:b/>
              </w:rPr>
              <w:t xml:space="preserve">社会/制度线</w:t>
            </w:r>
          </w:p>
        </w:tc>
        <w:tc>
          <w:tcPr/>
          <w:p>
            <w:pPr>
              <w:pStyle w:val="Compact"/>
              <w:jc w:val="left"/>
            </w:pPr>
            <w:r>
              <w:rPr>
                <w:bCs/>
                <w:b/>
              </w:rPr>
              <w:t xml:space="preserve">地缘/安全线</w:t>
            </w:r>
          </w:p>
        </w:tc>
        <w:tc>
          <w:tcPr/>
          <w:p>
            <w:pPr>
              <w:pStyle w:val="Compact"/>
              <w:jc w:val="left"/>
            </w:pPr>
            <w:r>
              <w:rPr>
                <w:bCs/>
                <w:b/>
              </w:rPr>
              <w:t xml:space="preserve">货币/财政线</w:t>
            </w:r>
          </w:p>
        </w:tc>
      </w:tr>
      <w:tr>
        <w:tc>
          <w:tcPr/>
          <w:p>
            <w:pPr>
              <w:pStyle w:val="Compact"/>
              <w:jc w:val="left"/>
            </w:pPr>
            <w:r>
              <w:rPr>
                <w:bCs/>
                <w:b/>
              </w:rPr>
              <w:t xml:space="preserve">2024—2027</w:t>
            </w:r>
          </w:p>
        </w:tc>
        <w:tc>
          <w:tcPr/>
          <w:p>
            <w:pPr>
              <w:pStyle w:val="Compact"/>
              <w:jc w:val="left"/>
            </w:pPr>
            <w:r>
              <w:t xml:space="preserve">工具性AI普及，生产率提升30—60%，就业尚未大规模崩塌（3.1.2, 4.1.1）</w:t>
            </w:r>
          </w:p>
        </w:tc>
        <w:tc>
          <w:tcPr/>
          <w:p>
            <w:pPr>
              <w:pStyle w:val="Compact"/>
              <w:jc w:val="left"/>
            </w:pPr>
            <w:r>
              <w:t xml:space="preserve">聚变研发加速，私营资本融资闭环形成（3.2.1）</w:t>
            </w:r>
          </w:p>
        </w:tc>
        <w:tc>
          <w:tcPr/>
          <w:p>
            <w:pPr>
              <w:pStyle w:val="Compact"/>
              <w:jc w:val="left"/>
            </w:pPr>
            <w:r>
              <w:t xml:space="preserve">知识密集型服务业效率提升；制造业冲击有限（4.1.1）</w:t>
            </w:r>
          </w:p>
        </w:tc>
        <w:tc>
          <w:tcPr/>
          <w:p>
            <w:pPr>
              <w:pStyle w:val="Compact"/>
              <w:jc w:val="left"/>
            </w:pPr>
            <w:r>
              <w:t xml:space="preserve">AI焦虑弥散但无系统性失业；工业时代劳动逻辑的最后平静期（2.2）</w:t>
            </w:r>
          </w:p>
        </w:tc>
        <w:tc>
          <w:tcPr/>
          <w:p>
            <w:pPr>
              <w:pStyle w:val="Compact"/>
              <w:jc w:val="left"/>
            </w:pPr>
            <w:r>
              <w:t xml:space="preserve">中美科技脱钩初步形成；台海战略紧张背景化</w:t>
            </w:r>
          </w:p>
        </w:tc>
        <w:tc>
          <w:tcPr/>
          <w:p>
            <w:pPr>
              <w:pStyle w:val="Compact"/>
              <w:jc w:val="left"/>
            </w:pPr>
            <w:r>
              <w:t xml:space="preserve">工资税税基完整，财政压力尚未显现；资本税结构改革议题开始进入政治议程</w:t>
            </w:r>
          </w:p>
        </w:tc>
      </w:tr>
      <w:tr>
        <w:tc>
          <w:tcPr/>
          <w:p>
            <w:pPr>
              <w:pStyle w:val="Compact"/>
              <w:jc w:val="left"/>
            </w:pPr>
            <w:r>
              <w:rPr>
                <w:bCs/>
                <w:b/>
              </w:rPr>
              <w:t xml:space="preserve">2027（±2年）</w:t>
            </w:r>
          </w:p>
        </w:tc>
        <w:tc>
          <w:tcPr/>
          <w:p>
            <w:pPr>
              <w:pStyle w:val="Compact"/>
              <w:jc w:val="left"/>
            </w:pPr>
            <w:r>
              <w:rPr>
                <w:bCs/>
                <w:b/>
              </w:rPr>
              <w:t xml:space="preserve">AGI临界</w:t>
            </w:r>
            <w:r>
              <w:t xml:space="preserve">：标准化认知劳动系统性替代开始（3.1.2）</w:t>
            </w:r>
          </w:p>
        </w:tc>
        <w:tc>
          <w:tcPr/>
          <w:p>
            <w:pPr>
              <w:pStyle w:val="Compact"/>
              <w:jc w:val="left"/>
            </w:pPr>
            <w:r>
              <w:t xml:space="preserve">研发加速期；</w:t>
            </w:r>
            <w:r>
              <w:t xml:space="preserve">“</w:t>
            </w:r>
            <w:r>
              <w:t xml:space="preserve">等待聚变电价</w:t>
            </w:r>
            <w:r>
              <w:t xml:space="preserve">”</w:t>
            </w:r>
            <w:r>
              <w:t xml:space="preserve">改变能源密集型产业投资决策（4.1.1）</w:t>
            </w:r>
          </w:p>
        </w:tc>
        <w:tc>
          <w:tcPr/>
          <w:p>
            <w:pPr>
              <w:pStyle w:val="Compact"/>
              <w:jc w:val="left"/>
            </w:pPr>
            <w:r>
              <w:t xml:space="preserve">能源密集型产业新增产能投资放缓（4.1.1）</w:t>
            </w:r>
          </w:p>
        </w:tc>
        <w:tc>
          <w:tcPr/>
          <w:p>
            <w:pPr>
              <w:pStyle w:val="Compact"/>
              <w:jc w:val="left"/>
            </w:pPr>
            <w:r>
              <w:t xml:space="preserve">L2-L3裸露期开始形成；就业替代从担忧变为现实（2.1）</w:t>
            </w:r>
          </w:p>
        </w:tc>
        <w:tc>
          <w:tcPr/>
          <w:p>
            <w:pPr>
              <w:pStyle w:val="Compact"/>
              <w:jc w:val="left"/>
            </w:pPr>
            <w:r>
              <w:t xml:space="preserve">—</w:t>
            </w:r>
          </w:p>
        </w:tc>
        <w:tc>
          <w:tcPr/>
          <w:p>
            <w:pPr>
              <w:pStyle w:val="Compact"/>
              <w:jc w:val="left"/>
            </w:pPr>
            <w:r>
              <w:t xml:space="preserve">工资税税基开始萎缩；财政压力第一条曲线启动（4.9）</w:t>
            </w:r>
          </w:p>
        </w:tc>
      </w:tr>
      <w:tr>
        <w:tc>
          <w:tcPr/>
          <w:p>
            <w:pPr>
              <w:pStyle w:val="Compact"/>
              <w:jc w:val="left"/>
            </w:pPr>
            <w:r>
              <w:rPr>
                <w:bCs/>
                <w:b/>
              </w:rPr>
              <w:t xml:space="preserve">2029</w:t>
            </w:r>
          </w:p>
        </w:tc>
        <w:tc>
          <w:tcPr/>
          <w:p>
            <w:pPr>
              <w:pStyle w:val="Compact"/>
              <w:jc w:val="left"/>
            </w:pPr>
            <w:r>
              <w:t xml:space="preserve">美国半导体管制再升级；中国5nm制程功能性突破（3.1.2）</w:t>
            </w:r>
          </w:p>
        </w:tc>
        <w:tc>
          <w:tcPr/>
          <w:p>
            <w:pPr>
              <w:pStyle w:val="Compact"/>
              <w:jc w:val="left"/>
            </w:pPr>
            <w:r>
              <w:t xml:space="preserve">—</w:t>
            </w:r>
          </w:p>
        </w:tc>
        <w:tc>
          <w:tcPr/>
          <w:p>
            <w:pPr>
              <w:pStyle w:val="Compact"/>
              <w:jc w:val="left"/>
            </w:pPr>
            <w:r>
              <w:t xml:space="preserve">中美供应链重组加速（4.3.3）</w:t>
            </w:r>
          </w:p>
        </w:tc>
        <w:tc>
          <w:tcPr/>
          <w:p>
            <w:pPr>
              <w:pStyle w:val="Compact"/>
              <w:jc w:val="left"/>
            </w:pPr>
            <w:r>
              <w:t xml:space="preserve">—</w:t>
            </w:r>
          </w:p>
        </w:tc>
        <w:tc>
          <w:tcPr/>
          <w:p>
            <w:pPr>
              <w:pStyle w:val="Compact"/>
              <w:jc w:val="left"/>
            </w:pPr>
            <w:r>
              <w:rPr>
                <w:bCs/>
                <w:b/>
              </w:rPr>
              <w:t xml:space="preserve">台海对峙升级与降温</w:t>
            </w:r>
            <w:r>
              <w:t xml:space="preserve">；美国两届政府联合表态强化信号</w:t>
            </w:r>
          </w:p>
        </w:tc>
        <w:tc>
          <w:tcPr/>
          <w:p>
            <w:pPr>
              <w:pStyle w:val="Compact"/>
              <w:jc w:val="left"/>
            </w:pPr>
            <w:r>
              <w:t xml:space="preserve">—</w:t>
            </w:r>
          </w:p>
        </w:tc>
      </w:tr>
      <w:tr>
        <w:tc>
          <w:tcPr/>
          <w:p>
            <w:pPr>
              <w:pStyle w:val="Compact"/>
              <w:jc w:val="left"/>
            </w:pPr>
            <w:r>
              <w:rPr>
                <w:bCs/>
                <w:b/>
              </w:rPr>
              <w:t xml:space="preserve">2030—2035</w:t>
            </w:r>
          </w:p>
        </w:tc>
        <w:tc>
          <w:tcPr/>
          <w:p>
            <w:pPr>
              <w:pStyle w:val="Compact"/>
              <w:jc w:val="left"/>
            </w:pPr>
            <w:r>
              <w:rPr>
                <w:bCs/>
                <w:b/>
              </w:rPr>
              <w:t xml:space="preserve">中国L2</w:t>
            </w:r>
            <w:r>
              <w:t xml:space="preserve">：形式就业大规模出现（2.2, 4.2.2）</w:t>
            </w:r>
          </w:p>
        </w:tc>
        <w:tc>
          <w:tcPr/>
          <w:p>
            <w:pPr>
              <w:pStyle w:val="Compact"/>
              <w:jc w:val="left"/>
            </w:pPr>
            <w:r>
              <w:t xml:space="preserve">—</w:t>
            </w:r>
          </w:p>
        </w:tc>
        <w:tc>
          <w:tcPr/>
          <w:p>
            <w:pPr>
              <w:pStyle w:val="Compact"/>
              <w:jc w:val="left"/>
            </w:pPr>
            <w:r>
              <w:t xml:space="preserve">国企编制吸收第一波替代压力（5.1）</w:t>
            </w:r>
          </w:p>
        </w:tc>
        <w:tc>
          <w:tcPr/>
          <w:p>
            <w:pPr>
              <w:pStyle w:val="Compact"/>
              <w:jc w:val="left"/>
            </w:pPr>
            <w:r>
              <w:rPr>
                <w:bCs/>
                <w:b/>
              </w:rPr>
              <w:t xml:space="preserve">中国裸露期约3—5年（最短）</w:t>
            </w:r>
            <w:r>
              <w:t xml:space="preserve">；国家调配介入（2.2）</w:t>
            </w:r>
          </w:p>
        </w:tc>
        <w:tc>
          <w:tcPr/>
          <w:p>
            <w:pPr>
              <w:pStyle w:val="Compact"/>
              <w:jc w:val="left"/>
            </w:pPr>
            <w:r>
              <w:t xml:space="preserve">深海采矿法律真空期；中国通过伙伴国注册企业开始试采（3.4.1）</w:t>
            </w:r>
          </w:p>
        </w:tc>
        <w:tc>
          <w:tcPr/>
          <w:p>
            <w:pPr>
              <w:pStyle w:val="Compact"/>
              <w:jc w:val="left"/>
            </w:pPr>
            <w:r>
              <w:t xml:space="preserve">工资税税基持续萎缩；AI产业处于预期资本化阶段，应税利润有限（4.2.1）</w:t>
            </w:r>
          </w:p>
        </w:tc>
      </w:tr>
      <w:tr>
        <w:tc>
          <w:tcPr/>
          <w:p>
            <w:pPr>
              <w:pStyle w:val="Compact"/>
              <w:jc w:val="left"/>
            </w:pPr>
            <w:r>
              <w:rPr>
                <w:bCs/>
                <w:b/>
              </w:rPr>
              <w:t xml:space="preserve">2031—2040</w:t>
            </w:r>
          </w:p>
        </w:tc>
        <w:tc>
          <w:tcPr/>
          <w:p>
            <w:pPr>
              <w:pStyle w:val="Compact"/>
              <w:jc w:val="left"/>
            </w:pPr>
            <w:r>
              <w:rPr>
                <w:bCs/>
                <w:b/>
              </w:rPr>
              <w:t xml:space="preserve">美欧L2裸露期</w:t>
            </w:r>
            <w:r>
              <w:t xml:space="preserve">：白领中层替代加速（2.2）</w:t>
            </w:r>
          </w:p>
        </w:tc>
        <w:tc>
          <w:tcPr/>
          <w:p>
            <w:pPr>
              <w:pStyle w:val="Compact"/>
              <w:jc w:val="left"/>
            </w:pPr>
            <w:r>
              <w:t xml:space="preserve">—</w:t>
            </w:r>
          </w:p>
        </w:tc>
        <w:tc>
          <w:tcPr/>
          <w:p>
            <w:pPr>
              <w:pStyle w:val="Compact"/>
              <w:jc w:val="left"/>
            </w:pPr>
            <w:r>
              <w:t xml:space="preserve">工资税税基系统性萎缩；失业救济申请突破边界（4.9）</w:t>
            </w:r>
          </w:p>
        </w:tc>
        <w:tc>
          <w:tcPr/>
          <w:p>
            <w:pPr>
              <w:pStyle w:val="Compact"/>
              <w:jc w:val="left"/>
            </w:pPr>
            <w:r>
              <w:rPr>
                <w:bCs/>
                <w:b/>
              </w:rPr>
              <w:t xml:space="preserve">最脆弱窗口</w:t>
            </w:r>
            <w:r>
              <w:t xml:space="preserve">；民粹政治获最强动员燃料（5.1）</w:t>
            </w:r>
          </w:p>
        </w:tc>
        <w:tc>
          <w:tcPr/>
          <w:p>
            <w:pPr>
              <w:pStyle w:val="Compact"/>
              <w:jc w:val="left"/>
            </w:pPr>
            <w:r>
              <w:t xml:space="preserve">反移民政策收紧；民粹联盟扩大（4.6）</w:t>
            </w:r>
          </w:p>
        </w:tc>
        <w:tc>
          <w:tcPr/>
          <w:p>
            <w:pPr>
              <w:pStyle w:val="Compact"/>
              <w:jc w:val="left"/>
            </w:pPr>
            <w:r>
              <w:t xml:space="preserve">失业救济应急扩大（持续期26→52周）；财政依赖赤字扩张（5.1.1）</w:t>
            </w:r>
          </w:p>
        </w:tc>
      </w:tr>
      <w:tr>
        <w:tc>
          <w:tcPr/>
          <w:p>
            <w:pPr>
              <w:pStyle w:val="Compact"/>
              <w:jc w:val="left"/>
            </w:pPr>
            <w:r>
              <w:rPr>
                <w:bCs/>
                <w:b/>
              </w:rPr>
              <w:t xml:space="preserve">2032</w:t>
            </w:r>
          </w:p>
        </w:tc>
        <w:tc>
          <w:tcPr/>
          <w:p>
            <w:pPr>
              <w:pStyle w:val="Compact"/>
              <w:jc w:val="left"/>
            </w:pPr>
            <w:r>
              <w:t xml:space="preserve">中国功能性技术独立；美国/西方具身机器人商业化完成（3.1.2）</w:t>
            </w:r>
          </w:p>
        </w:tc>
        <w:tc>
          <w:tcPr/>
          <w:p>
            <w:pPr>
              <w:pStyle w:val="Compact"/>
              <w:jc w:val="left"/>
            </w:pPr>
            <w:r>
              <w:t xml:space="preserve">—</w:t>
            </w:r>
          </w:p>
        </w:tc>
        <w:tc>
          <w:tcPr/>
          <w:p>
            <w:pPr>
              <w:pStyle w:val="Compact"/>
              <w:jc w:val="left"/>
            </w:pPr>
            <w:r>
              <w:t xml:space="preserve">制造业自动化越过临界点（4.1.1）</w:t>
            </w:r>
          </w:p>
        </w:tc>
        <w:tc>
          <w:tcPr/>
          <w:p>
            <w:pPr>
              <w:pStyle w:val="Compact"/>
              <w:jc w:val="left"/>
            </w:pPr>
            <w:r>
              <w:t xml:space="preserve">—</w:t>
            </w:r>
          </w:p>
        </w:tc>
        <w:tc>
          <w:tcPr/>
          <w:p>
            <w:pPr>
              <w:pStyle w:val="Compact"/>
              <w:jc w:val="left"/>
            </w:pPr>
            <w:r>
              <w:t xml:space="preserve">—</w:t>
            </w:r>
          </w:p>
        </w:tc>
        <w:tc>
          <w:tcPr/>
          <w:p>
            <w:pPr>
              <w:pStyle w:val="Compact"/>
              <w:jc w:val="left"/>
            </w:pPr>
            <w:r>
              <w:t xml:space="preserve">AI企业陆续越过盈亏平衡点；应税利润开始形成（4.2.1）</w:t>
            </w:r>
          </w:p>
        </w:tc>
      </w:tr>
      <w:tr>
        <w:tc>
          <w:tcPr/>
          <w:p>
            <w:pPr>
              <w:pStyle w:val="Compact"/>
              <w:jc w:val="left"/>
            </w:pPr>
            <w:r>
              <w:rPr>
                <w:bCs/>
                <w:b/>
              </w:rPr>
              <w:t xml:space="preserve">中国L3（2033—2052）</w:t>
            </w:r>
            <w:r>
              <w:t xml:space="preserve">：过程约2033—2052年；完成节点约2049—2052年</w:t>
            </w:r>
          </w:p>
        </w:tc>
        <w:tc>
          <w:tcPr/>
          <w:p>
            <w:pPr>
              <w:pStyle w:val="Compact"/>
              <w:jc w:val="left"/>
            </w:pPr>
            <w:r>
              <w:t xml:space="preserve">—</w:t>
            </w:r>
          </w:p>
        </w:tc>
        <w:tc>
          <w:tcPr/>
          <w:p>
            <w:pPr>
              <w:pStyle w:val="Compact"/>
              <w:jc w:val="left"/>
            </w:pPr>
            <w:r>
              <w:t xml:space="preserve">—</w:t>
            </w:r>
          </w:p>
        </w:tc>
        <w:tc>
          <w:tcPr/>
          <w:p>
            <w:pPr>
              <w:pStyle w:val="Compact"/>
              <w:jc w:val="left"/>
            </w:pPr>
            <w:r>
              <w:t xml:space="preserve">国有AI资本利润配给化机制建立（2.2）</w:t>
            </w:r>
          </w:p>
        </w:tc>
        <w:tc>
          <w:tcPr/>
          <w:p>
            <w:pPr>
              <w:pStyle w:val="Compact"/>
              <w:jc w:val="left"/>
            </w:pPr>
            <w:r>
              <w:rPr>
                <w:bCs/>
                <w:b/>
              </w:rPr>
              <w:t xml:space="preserve">中国L3</w:t>
            </w:r>
            <w:r>
              <w:t xml:space="preserve">：供应票据覆盖全国；配给双轨成形（5.1.3）</w:t>
            </w:r>
          </w:p>
        </w:tc>
        <w:tc>
          <w:tcPr/>
          <w:p>
            <w:pPr>
              <w:pStyle w:val="Compact"/>
              <w:jc w:val="left"/>
            </w:pPr>
            <w:r>
              <w:t xml:space="preserve">—</w:t>
            </w:r>
          </w:p>
        </w:tc>
        <w:tc>
          <w:tcPr/>
          <w:p>
            <w:pPr>
              <w:pStyle w:val="Compact"/>
              <w:jc w:val="left"/>
            </w:pPr>
            <w:r>
              <w:t xml:space="preserve">A2财政路径：国有AI资本利润直接转化配给，绕过立法协商（4.9）</w:t>
            </w:r>
          </w:p>
        </w:tc>
      </w:tr>
      <w:tr>
        <w:tc>
          <w:tcPr/>
          <w:p>
            <w:pPr>
              <w:pStyle w:val="Compact"/>
              <w:jc w:val="left"/>
            </w:pPr>
            <w:r>
              <w:rPr>
                <w:bCs/>
                <w:b/>
              </w:rPr>
              <w:t xml:space="preserve">2036—2040</w:t>
            </w:r>
          </w:p>
        </w:tc>
        <w:tc>
          <w:tcPr/>
          <w:p>
            <w:pPr>
              <w:pStyle w:val="Compact"/>
              <w:jc w:val="left"/>
            </w:pPr>
            <w:r>
              <w:t xml:space="preserve">—</w:t>
            </w:r>
          </w:p>
        </w:tc>
        <w:tc>
          <w:tcPr/>
          <w:p>
            <w:pPr>
              <w:pStyle w:val="Compact"/>
              <w:jc w:val="left"/>
            </w:pPr>
            <w:r>
              <w:t xml:space="preserve">—</w:t>
            </w:r>
          </w:p>
        </w:tc>
        <w:tc>
          <w:tcPr/>
          <w:p>
            <w:pPr>
              <w:pStyle w:val="Compact"/>
              <w:jc w:val="left"/>
            </w:pPr>
            <w:r>
              <w:t xml:space="preserve">资本收入税扩基立法推进（5.1.1）</w:t>
            </w:r>
          </w:p>
        </w:tc>
        <w:tc>
          <w:tcPr/>
          <w:p>
            <w:pPr>
              <w:pStyle w:val="Compact"/>
              <w:jc w:val="left"/>
            </w:pPr>
            <w:r>
              <w:rPr>
                <w:bCs/>
                <w:b/>
              </w:rPr>
              <w:t xml:space="preserve">美国L3第二阶段</w:t>
            </w:r>
            <w:r>
              <w:t xml:space="preserve">：工时压缩立法开始（40→32小时）（5.1.1）</w:t>
            </w:r>
          </w:p>
        </w:tc>
        <w:tc>
          <w:tcPr/>
          <w:p>
            <w:pPr>
              <w:pStyle w:val="Compact"/>
              <w:jc w:val="left"/>
            </w:pPr>
            <w:r>
              <w:t xml:space="preserve">—</w:t>
            </w:r>
          </w:p>
        </w:tc>
        <w:tc>
          <w:tcPr/>
          <w:p>
            <w:pPr>
              <w:pStyle w:val="Compact"/>
              <w:jc w:val="left"/>
            </w:pPr>
            <w:r>
              <w:rPr>
                <w:bCs/>
                <w:b/>
              </w:rPr>
              <w:t xml:space="preserve">资本税体系建立第二条曲线启动</w:t>
            </w:r>
            <w:r>
              <w:t xml:space="preserve">；资本利得税+企业所得税开始替代工资税（4.9）</w:t>
            </w:r>
          </w:p>
        </w:tc>
      </w:tr>
      <w:tr>
        <w:tc>
          <w:tcPr/>
          <w:p>
            <w:pPr>
              <w:pStyle w:val="Compact"/>
              <w:jc w:val="left"/>
            </w:pPr>
            <w:r>
              <w:rPr>
                <w:bCs/>
                <w:b/>
              </w:rPr>
              <w:t xml:space="preserve">2037（±2年）</w:t>
            </w:r>
          </w:p>
        </w:tc>
        <w:tc>
          <w:tcPr/>
          <w:p>
            <w:pPr>
              <w:pStyle w:val="Compact"/>
              <w:jc w:val="left"/>
            </w:pPr>
            <w:r>
              <w:t xml:space="preserve">—</w:t>
            </w:r>
          </w:p>
        </w:tc>
        <w:tc>
          <w:tcPr/>
          <w:p>
            <w:pPr>
              <w:pStyle w:val="Compact"/>
              <w:jc w:val="left"/>
            </w:pPr>
            <w:r>
              <w:rPr>
                <w:bCs/>
                <w:b/>
              </w:rPr>
              <w:t xml:space="preserve">聚变净能量稳定输出</w:t>
            </w:r>
            <w:r>
              <w:t xml:space="preserve">：美中先后实现Q&gt;1（3.2.1）</w:t>
            </w:r>
          </w:p>
        </w:tc>
        <w:tc>
          <w:tcPr/>
          <w:p>
            <w:pPr>
              <w:pStyle w:val="Compact"/>
              <w:jc w:val="left"/>
            </w:pPr>
            <w:r>
              <w:t xml:space="preserve">产业投资预期重组加强（4.1.1）</w:t>
            </w:r>
          </w:p>
        </w:tc>
        <w:tc>
          <w:tcPr/>
          <w:p>
            <w:pPr>
              <w:pStyle w:val="Compact"/>
              <w:jc w:val="left"/>
            </w:pPr>
            <w:r>
              <w:t xml:space="preserve">物质兜底的技术前提建立（2.5）</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2038—2041</w:t>
            </w:r>
          </w:p>
        </w:tc>
        <w:tc>
          <w:tcPr/>
          <w:p>
            <w:pPr>
              <w:pStyle w:val="Compact"/>
              <w:jc w:val="left"/>
            </w:pPr>
            <w:r>
              <w:t xml:space="preserve">—</w:t>
            </w:r>
          </w:p>
        </w:tc>
        <w:tc>
          <w:tcPr/>
          <w:p>
            <w:pPr>
              <w:pStyle w:val="Compact"/>
              <w:jc w:val="left"/>
            </w:pPr>
            <w:r>
              <w:t xml:space="preserve">工程化攻关期：第一壁材料、超导磁体、氚增殖包层（3.2.1）</w:t>
            </w:r>
          </w:p>
        </w:tc>
        <w:tc>
          <w:tcPr/>
          <w:p>
            <w:pPr>
              <w:pStyle w:val="Compact"/>
              <w:jc w:val="left"/>
            </w:pPr>
            <w:r>
              <w:t xml:space="preserve">—</w:t>
            </w:r>
          </w:p>
        </w:tc>
        <w:tc>
          <w:tcPr/>
          <w:p>
            <w:pPr>
              <w:pStyle w:val="Compact"/>
              <w:jc w:val="left"/>
            </w:pPr>
            <w:r>
              <w:t xml:space="preserve">欧洲L3启动，多国协商延迟（5.1）</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2040—2053</w:t>
            </w:r>
          </w:p>
        </w:tc>
        <w:tc>
          <w:tcPr/>
          <w:p>
            <w:pPr>
              <w:pStyle w:val="Compact"/>
              <w:jc w:val="left"/>
            </w:pPr>
            <w:r>
              <w:rPr>
                <w:bCs/>
                <w:b/>
              </w:rPr>
              <w:t xml:space="preserve">AI第三波</w:t>
            </w:r>
            <w:r>
              <w:t xml:space="preserve">：具身机器人大规模部署；可替代岗位替代率加速（4.1.2）</w:t>
            </w:r>
          </w:p>
        </w:tc>
        <w:tc>
          <w:tcPr/>
          <w:p>
            <w:pPr>
              <w:pStyle w:val="Compact"/>
              <w:jc w:val="left"/>
            </w:pPr>
            <w:r>
              <w:t xml:space="preserve">—</w:t>
            </w:r>
          </w:p>
        </w:tc>
        <w:tc>
          <w:tcPr/>
          <w:p>
            <w:pPr>
              <w:pStyle w:val="Compact"/>
              <w:jc w:val="left"/>
            </w:pPr>
            <w:r>
              <w:t xml:space="preserve">物流仓储→离散制造→流程制造→非标准化服务依次越过临界（4.1.2）</w:t>
            </w:r>
          </w:p>
        </w:tc>
        <w:tc>
          <w:tcPr/>
          <w:p>
            <w:pPr>
              <w:pStyle w:val="Compact"/>
              <w:jc w:val="left"/>
            </w:pPr>
            <w:r>
              <w:t xml:space="preserve">专业服务业AI替代从辅助转为主体（4.1.2）</w:t>
            </w:r>
          </w:p>
        </w:tc>
        <w:tc>
          <w:tcPr/>
          <w:p>
            <w:pPr>
              <w:pStyle w:val="Compact"/>
              <w:jc w:val="left"/>
            </w:pPr>
            <w:r>
              <w:rPr>
                <w:bCs/>
                <w:b/>
              </w:rPr>
              <w:t xml:space="preserve">北极资源博弈白热化</w:t>
            </w:r>
            <w:r>
              <w:t xml:space="preserve">；UNCLOS大陆架申请成主要法律工具（3.4.1）</w:t>
            </w:r>
          </w:p>
        </w:tc>
        <w:tc>
          <w:tcPr/>
          <w:p>
            <w:pPr>
              <w:pStyle w:val="Compact"/>
              <w:jc w:val="left"/>
            </w:pPr>
            <w:r>
              <w:t xml:space="preserve">—</w:t>
            </w:r>
          </w:p>
        </w:tc>
      </w:tr>
      <w:tr>
        <w:tc>
          <w:tcPr/>
          <w:p>
            <w:pPr>
              <w:pStyle w:val="Compact"/>
              <w:jc w:val="left"/>
            </w:pPr>
            <w:r>
              <w:rPr>
                <w:bCs/>
                <w:b/>
              </w:rPr>
              <w:t xml:space="preserve">2041</w:t>
            </w:r>
          </w:p>
        </w:tc>
        <w:tc>
          <w:tcPr/>
          <w:p>
            <w:pPr>
              <w:pStyle w:val="Compact"/>
              <w:jc w:val="left"/>
            </w:pPr>
            <w:r>
              <w:t xml:space="preserve">—</w:t>
            </w:r>
          </w:p>
        </w:tc>
        <w:tc>
          <w:tcPr/>
          <w:p>
            <w:pPr>
              <w:pStyle w:val="Compact"/>
              <w:jc w:val="left"/>
            </w:pPr>
            <w:r>
              <w:t xml:space="preserve">聚变电网协议体系中美分化：IEEE框架 vs 中国国标（3.3.4）</w:t>
            </w:r>
          </w:p>
        </w:tc>
        <w:tc>
          <w:tcPr/>
          <w:p>
            <w:pPr>
              <w:pStyle w:val="Compact"/>
              <w:jc w:val="left"/>
            </w:pPr>
            <w:r>
              <w:t xml:space="preserve">设备供应链、认证体系绑定开始（4.3.2）</w:t>
            </w:r>
          </w:p>
        </w:tc>
        <w:tc>
          <w:tcPr/>
          <w:p>
            <w:pPr>
              <w:pStyle w:val="Compact"/>
              <w:jc w:val="left"/>
            </w:pPr>
            <w:r>
              <w:t xml:space="preserve">阵营依附在基础设施层面技术固化（2.3.2）</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2044—2046</w:t>
            </w:r>
          </w:p>
        </w:tc>
        <w:tc>
          <w:tcPr/>
          <w:p>
            <w:pPr>
              <w:pStyle w:val="Compact"/>
              <w:jc w:val="left"/>
            </w:pPr>
            <w:r>
              <w:t xml:space="preserve">—</w:t>
            </w:r>
          </w:p>
        </w:tc>
        <w:tc>
          <w:tcPr/>
          <w:p>
            <w:pPr>
              <w:pStyle w:val="Compact"/>
              <w:jc w:val="left"/>
            </w:pPr>
            <w:r>
              <w:rPr>
                <w:bCs/>
                <w:b/>
              </w:rPr>
              <w:t xml:space="preserve">聚变L1</w:t>
            </w:r>
            <w:r>
              <w:t xml:space="preserve">：首座商业原型堆并网；LCOE约60—100美元/MWh（3.2.1）</w:t>
            </w:r>
          </w:p>
        </w:tc>
        <w:tc>
          <w:tcPr/>
          <w:p>
            <w:pPr>
              <w:pStyle w:val="Compact"/>
              <w:jc w:val="left"/>
            </w:pPr>
            <w:r>
              <w:t xml:space="preserve">LCOE仍高于成熟风光电，工业侧感受有限（3.2.1）</w:t>
            </w:r>
          </w:p>
        </w:tc>
        <w:tc>
          <w:tcPr/>
          <w:p>
            <w:pPr>
              <w:pStyle w:val="Compact"/>
              <w:jc w:val="left"/>
            </w:pPr>
            <w:r>
              <w:t xml:space="preserve">路径选择窗口正式开启；州级BSC积分体系试验启动（5.1.1）</w:t>
            </w:r>
          </w:p>
        </w:tc>
        <w:tc>
          <w:tcPr/>
          <w:p>
            <w:pPr>
              <w:pStyle w:val="Compact"/>
              <w:jc w:val="left"/>
            </w:pPr>
            <w:r>
              <w:t xml:space="preserve">路径选择窗口：聚变融资方向决定阵营倾向（2.3.2）</w:t>
            </w:r>
          </w:p>
        </w:tc>
        <w:tc>
          <w:tcPr/>
          <w:p>
            <w:pPr>
              <w:pStyle w:val="Compact"/>
              <w:jc w:val="left"/>
            </w:pPr>
            <w:r>
              <w:t xml:space="preserve">—</w:t>
            </w:r>
          </w:p>
        </w:tc>
      </w:tr>
      <w:tr>
        <w:tc>
          <w:tcPr/>
          <w:p>
            <w:pPr>
              <w:pStyle w:val="Compact"/>
              <w:jc w:val="left"/>
            </w:pPr>
            <w:r>
              <w:rPr>
                <w:bCs/>
                <w:b/>
              </w:rPr>
              <w:t xml:space="preserve">2047—2052</w:t>
            </w:r>
          </w:p>
        </w:tc>
        <w:tc>
          <w:tcPr/>
          <w:p>
            <w:pPr>
              <w:pStyle w:val="Compact"/>
              <w:jc w:val="left"/>
            </w:pPr>
            <w:r>
              <w:t xml:space="preserve">—</w:t>
            </w:r>
          </w:p>
        </w:tc>
        <w:tc>
          <w:tcPr/>
          <w:p>
            <w:pPr>
              <w:pStyle w:val="Compact"/>
              <w:jc w:val="left"/>
            </w:pPr>
            <w:r>
              <w:rPr>
                <w:bCs/>
                <w:b/>
              </w:rPr>
              <w:t xml:space="preserve">聚变第一波规模化</w:t>
            </w:r>
            <w:r>
              <w:t xml:space="preserve">；LCOE向40—70美元/MWh下降（3.2.2）</w:t>
            </w:r>
          </w:p>
        </w:tc>
        <w:tc>
          <w:tcPr/>
          <w:p>
            <w:pPr>
              <w:pStyle w:val="Compact"/>
              <w:jc w:val="left"/>
            </w:pPr>
            <w:r>
              <w:t xml:space="preserve">铝冶炼、氯碱化工、合成氨、数据中心成本结构重写（3.2.2）</w:t>
            </w:r>
          </w:p>
        </w:tc>
        <w:tc>
          <w:tcPr/>
          <w:p>
            <w:pPr>
              <w:pStyle w:val="Compact"/>
              <w:jc w:val="left"/>
            </w:pPr>
            <w:r>
              <w:t xml:space="preserve">工业端感受变化，居民端感受有限（3.2.2）</w:t>
            </w:r>
          </w:p>
        </w:tc>
        <w:tc>
          <w:tcPr/>
          <w:p>
            <w:pPr>
              <w:pStyle w:val="Compact"/>
              <w:jc w:val="left"/>
            </w:pPr>
            <w:r>
              <w:t xml:space="preserve">深海采矿进入商业可持续阶段；城镇形态从临时营地向永久社区演化（3.4.1）</w:t>
            </w:r>
          </w:p>
        </w:tc>
        <w:tc>
          <w:tcPr/>
          <w:p>
            <w:pPr>
              <w:pStyle w:val="Compact"/>
              <w:jc w:val="left"/>
            </w:pPr>
            <w:r>
              <w:t xml:space="preserve">聚变财政红利第三条曲线启动；工业利润率开始上升，税基扩大（4.9）</w:t>
            </w:r>
          </w:p>
        </w:tc>
      </w:tr>
      <w:tr>
        <w:tc>
          <w:tcPr/>
          <w:p>
            <w:pPr>
              <w:pStyle w:val="Compact"/>
              <w:jc w:val="left"/>
            </w:pPr>
            <w:r>
              <w:rPr>
                <w:bCs/>
                <w:b/>
              </w:rPr>
              <w:t xml:space="preserve">2048</w:t>
            </w:r>
          </w:p>
        </w:tc>
        <w:tc>
          <w:tcPr/>
          <w:p>
            <w:pPr>
              <w:pStyle w:val="Compact"/>
              <w:jc w:val="left"/>
            </w:pPr>
            <w:r>
              <w:t xml:space="preserve">美国超级AI系统部署；中国国家AI调度层完成（3.1.2）</w:t>
            </w:r>
          </w:p>
        </w:tc>
        <w:tc>
          <w:tcPr/>
          <w:p>
            <w:pPr>
              <w:pStyle w:val="Compact"/>
              <w:jc w:val="left"/>
            </w:pPr>
            <w:r>
              <w:t xml:space="preserve">—</w:t>
            </w:r>
          </w:p>
        </w:tc>
        <w:tc>
          <w:tcPr/>
          <w:p>
            <w:pPr>
              <w:pStyle w:val="Compact"/>
              <w:jc w:val="left"/>
            </w:pPr>
            <w:r>
              <w:t xml:space="preserve">全社会资源分配经由AI系统优化（3.1.2）</w:t>
            </w:r>
          </w:p>
        </w:tc>
        <w:tc>
          <w:tcPr/>
          <w:p>
            <w:pPr>
              <w:pStyle w:val="Compact"/>
              <w:jc w:val="left"/>
            </w:pPr>
            <w:r>
              <w:t xml:space="preserve">—</w:t>
            </w:r>
          </w:p>
        </w:tc>
        <w:tc>
          <w:tcPr/>
          <w:p>
            <w:pPr>
              <w:pStyle w:val="Compact"/>
              <w:jc w:val="left"/>
            </w:pPr>
            <w:r>
              <w:rPr>
                <w:bCs/>
                <w:b/>
              </w:rPr>
              <w:t xml:space="preserve">南极条约到期谈判</w:t>
            </w:r>
            <w:r>
              <w:t xml:space="preserve">：</w:t>
            </w:r>
            <w:r>
              <w:t xml:space="preserve">“</w:t>
            </w:r>
            <w:r>
              <w:t xml:space="preserve">冻结的冻结</w:t>
            </w:r>
            <w:r>
              <w:t xml:space="preserve">”</w:t>
            </w:r>
            <w:r>
              <w:t xml:space="preserve">状态维持（3.4.1）</w:t>
            </w:r>
          </w:p>
        </w:tc>
        <w:tc>
          <w:tcPr/>
          <w:p>
            <w:pPr>
              <w:pStyle w:val="Compact"/>
              <w:jc w:val="left"/>
            </w:pPr>
            <w:r>
              <w:t xml:space="preserve">—</w:t>
            </w:r>
          </w:p>
        </w:tc>
      </w:tr>
      <w:tr>
        <w:tc>
          <w:tcPr/>
          <w:p>
            <w:pPr>
              <w:pStyle w:val="Compact"/>
              <w:jc w:val="left"/>
            </w:pPr>
            <w:r>
              <w:rPr>
                <w:bCs/>
                <w:b/>
              </w:rPr>
              <w:t xml:space="preserve">2048—2055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中美主导资源规则框架形成</w:t>
            </w:r>
            <w:r>
              <w:t xml:space="preserve">：深海采矿、月球安全区、南极勘探的双边框架（3.4.1）</w:t>
            </w:r>
          </w:p>
        </w:tc>
        <w:tc>
          <w:tcPr/>
          <w:p>
            <w:pPr>
              <w:pStyle w:val="Compact"/>
              <w:jc w:val="left"/>
            </w:pPr>
            <w:r>
              <w:t xml:space="preserve">—</w:t>
            </w:r>
          </w:p>
        </w:tc>
      </w:tr>
      <w:tr>
        <w:tc>
          <w:tcPr/>
          <w:p>
            <w:pPr>
              <w:pStyle w:val="Compact"/>
              <w:jc w:val="left"/>
            </w:pPr>
            <w:r>
              <w:rPr>
                <w:bCs/>
                <w:b/>
              </w:rPr>
              <w:t xml:space="preserve">2049—2059</w:t>
            </w:r>
          </w:p>
        </w:tc>
        <w:tc>
          <w:tcPr/>
          <w:p>
            <w:pPr>
              <w:pStyle w:val="Compact"/>
              <w:jc w:val="left"/>
            </w:pPr>
            <w:r>
              <w:rPr>
                <w:bCs/>
                <w:b/>
              </w:rPr>
              <w:t xml:space="preserve">AI L3完成（各路径）</w:t>
            </w:r>
            <w:r>
              <w:t xml:space="preserve">：BSC/配给体系到位（2.5）</w:t>
            </w:r>
          </w:p>
        </w:tc>
        <w:tc>
          <w:tcPr/>
          <w:p>
            <w:pPr>
              <w:pStyle w:val="Compact"/>
              <w:jc w:val="left"/>
            </w:pPr>
            <w:r>
              <w:rPr>
                <w:bCs/>
                <w:b/>
              </w:rPr>
              <w:t xml:space="preserve">聚变L2完成（各路径）</w:t>
            </w:r>
            <w:r>
              <w:t xml:space="preserve">：中国2049，美国2051—52，欧洲2052—53（2.3.1）</w:t>
            </w:r>
          </w:p>
        </w:tc>
        <w:tc>
          <w:tcPr/>
          <w:p>
            <w:pPr>
              <w:pStyle w:val="Compact"/>
              <w:jc w:val="left"/>
            </w:pPr>
            <w:r>
              <w:t xml:space="preserve">工业电价较2026年下降40—55%（A1/A2核心区）（3.2.2）</w:t>
            </w:r>
          </w:p>
        </w:tc>
        <w:tc>
          <w:tcPr/>
          <w:p>
            <w:pPr>
              <w:pStyle w:val="Compact"/>
              <w:jc w:val="left"/>
            </w:pPr>
            <w:r>
              <w:rPr>
                <w:bCs/>
                <w:b/>
              </w:rPr>
              <w:t xml:space="preserve">关键交汇窗口</w:t>
            </w:r>
            <w:r>
              <w:t xml:space="preserve">：多态社会物质条件成立；劳动力参与率稳定至40—50%（2.5）</w:t>
            </w:r>
          </w:p>
        </w:tc>
        <w:tc>
          <w:tcPr/>
          <w:p>
            <w:pPr>
              <w:pStyle w:val="Compact"/>
              <w:jc w:val="left"/>
            </w:pPr>
            <w:r>
              <w:t xml:space="preserve">聚变接入格局渐进形成；A/B/C类路径倾向基本确定（2.3.2）</w:t>
            </w:r>
          </w:p>
        </w:tc>
        <w:tc>
          <w:tcPr/>
          <w:p>
            <w:pPr>
              <w:pStyle w:val="Compact"/>
              <w:jc w:val="left"/>
            </w:pPr>
            <w:r>
              <w:rPr>
                <w:bCs/>
                <w:b/>
              </w:rPr>
              <w:t xml:space="preserve">财政三条曲线在2055—2060年前后达到可持续交叉点</w:t>
            </w:r>
            <w:r>
              <w:t xml:space="preserve">（4.9）</w:t>
            </w:r>
          </w:p>
        </w:tc>
      </w:tr>
      <w:tr>
        <w:tc>
          <w:tcPr/>
          <w:p>
            <w:pPr>
              <w:pStyle w:val="Compact"/>
              <w:jc w:val="left"/>
            </w:pPr>
            <w:r>
              <w:rPr>
                <w:bCs/>
                <w:b/>
              </w:rPr>
              <w:t xml:space="preserve">2050—2055</w:t>
            </w:r>
          </w:p>
        </w:tc>
        <w:tc>
          <w:tcPr/>
          <w:p>
            <w:pPr>
              <w:pStyle w:val="Compact"/>
              <w:jc w:val="left"/>
            </w:pPr>
            <w:r>
              <w:t xml:space="preserve">—</w:t>
            </w:r>
          </w:p>
        </w:tc>
        <w:tc>
          <w:tcPr/>
          <w:p>
            <w:pPr>
              <w:pStyle w:val="Compact"/>
              <w:jc w:val="left"/>
            </w:pPr>
            <w:r>
              <w:t xml:space="preserve">石油需求系统性下滑；化石燃料”量价齐跌”（3.2.2）</w:t>
            </w:r>
          </w:p>
        </w:tc>
        <w:tc>
          <w:tcPr/>
          <w:p>
            <w:pPr>
              <w:pStyle w:val="Compact"/>
              <w:jc w:val="left"/>
            </w:pPr>
            <w:r>
              <w:t xml:space="preserve">D类化石能源出口国收入下行，主权财富基金缓冲（3.2.2）</w:t>
            </w:r>
          </w:p>
        </w:tc>
        <w:tc>
          <w:tcPr/>
          <w:p>
            <w:pPr>
              <w:pStyle w:val="Compact"/>
              <w:jc w:val="left"/>
            </w:pPr>
            <w:r>
              <w:t xml:space="preserve">D类国家进入财政压力期（4.1.2）</w:t>
            </w:r>
          </w:p>
        </w:tc>
        <w:tc>
          <w:tcPr/>
          <w:p>
            <w:pPr>
              <w:pStyle w:val="Compact"/>
              <w:jc w:val="left"/>
            </w:pPr>
            <w:r>
              <w:t xml:space="preserve">俄罗斯能源武器实质性失效；北极矿产成为其最后战略筹码（3.4.1）</w:t>
            </w:r>
          </w:p>
        </w:tc>
        <w:tc>
          <w:tcPr/>
          <w:p>
            <w:pPr>
              <w:pStyle w:val="Compact"/>
              <w:jc w:val="left"/>
            </w:pPr>
            <w:r>
              <w:rPr>
                <w:bCs/>
                <w:b/>
              </w:rPr>
              <w:t xml:space="preserve">石油美元侵蚀开始</w:t>
            </w:r>
            <w:r>
              <w:t xml:space="preserve">：化石能源需求萎缩，美元大宗结算硬性需求下降（4.12.2）</w:t>
            </w:r>
          </w:p>
        </w:tc>
      </w:tr>
      <w:tr>
        <w:tc>
          <w:tcPr/>
          <w:p>
            <w:pPr>
              <w:pStyle w:val="Compact"/>
              <w:jc w:val="left"/>
            </w:pPr>
            <w:r>
              <w:rPr>
                <w:bCs/>
                <w:b/>
              </w:rPr>
              <w:t xml:space="preserve">2052—2058</w:t>
            </w:r>
          </w:p>
        </w:tc>
        <w:tc>
          <w:tcPr/>
          <w:p>
            <w:pPr>
              <w:pStyle w:val="Compact"/>
              <w:jc w:val="left"/>
            </w:pPr>
            <w:r>
              <w:t xml:space="preserve">—</w:t>
            </w:r>
          </w:p>
        </w:tc>
        <w:tc>
          <w:tcPr/>
          <w:p>
            <w:pPr>
              <w:pStyle w:val="Compact"/>
              <w:jc w:val="left"/>
            </w:pPr>
            <w:r>
              <w:rPr>
                <w:bCs/>
                <w:b/>
              </w:rPr>
              <w:t xml:space="preserve">聚变L2第二波</w:t>
            </w:r>
            <w:r>
              <w:t xml:space="preserve">；LCOE降至20—35美元/MWh（3.2.2）</w:t>
            </w:r>
          </w:p>
        </w:tc>
        <w:tc>
          <w:tcPr/>
          <w:p>
            <w:pPr>
              <w:pStyle w:val="Compact"/>
              <w:jc w:val="left"/>
            </w:pPr>
            <w:r>
              <w:t xml:space="preserve">绿氢生产首次真正经济可行；SAF规模化（3.2.2）</w:t>
            </w:r>
          </w:p>
        </w:tc>
        <w:tc>
          <w:tcPr/>
          <w:p>
            <w:pPr>
              <w:pStyle w:val="Compact"/>
              <w:jc w:val="left"/>
            </w:pPr>
            <w:r>
              <w:t xml:space="preserve">—</w:t>
            </w:r>
          </w:p>
        </w:tc>
        <w:tc>
          <w:tcPr/>
          <w:p>
            <w:pPr>
              <w:pStyle w:val="Compact"/>
              <w:jc w:val="left"/>
            </w:pPr>
            <w:r>
              <w:t xml:space="preserve">—</w:t>
            </w:r>
          </w:p>
        </w:tc>
        <w:tc>
          <w:tcPr/>
          <w:p>
            <w:pPr>
              <w:pStyle w:val="Compact"/>
              <w:jc w:val="left"/>
            </w:pPr>
            <w:r>
              <w:t xml:space="preserve">A1体系资本税框架成熟，成为主要财政支柱；企业所得税占比升至22%（4.9.1）</w:t>
            </w:r>
          </w:p>
        </w:tc>
      </w:tr>
      <w:tr>
        <w:tc>
          <w:tcPr/>
          <w:p>
            <w:pPr>
              <w:pStyle w:val="Compact"/>
              <w:jc w:val="left"/>
            </w:pPr>
            <w:r>
              <w:rPr>
                <w:bCs/>
                <w:b/>
              </w:rPr>
              <w:t xml:space="preserve">配给体系财政可行性成立（各路径分批）</w:t>
            </w:r>
            <w:r>
              <w:t xml:space="preserve">：A2约2052年，A1约2054—2055年，欧洲约2056—2058年</w:t>
            </w:r>
          </w:p>
        </w:tc>
        <w:tc>
          <w:tcPr/>
          <w:p>
            <w:pPr>
              <w:pStyle w:val="Compact"/>
              <w:jc w:val="left"/>
            </w:pPr>
            <w:r>
              <w:t xml:space="preserve">—</w:t>
            </w:r>
          </w:p>
        </w:tc>
        <w:tc>
          <w:tcPr/>
          <w:p>
            <w:pPr>
              <w:pStyle w:val="Compact"/>
              <w:jc w:val="left"/>
            </w:pPr>
            <w:r>
              <w:t xml:space="preserve">—</w:t>
            </w:r>
          </w:p>
        </w:tc>
        <w:tc>
          <w:tcPr/>
          <w:p>
            <w:pPr>
              <w:pStyle w:val="Compact"/>
              <w:jc w:val="left"/>
            </w:pPr>
            <w:r>
              <w:t xml:space="preserve">合成食品与传统蛋白质价格差距收窄（4.1.2）</w:t>
            </w:r>
          </w:p>
        </w:tc>
        <w:tc>
          <w:tcPr/>
          <w:p>
            <w:pPr>
              <w:pStyle w:val="Compact"/>
              <w:jc w:val="left"/>
            </w:pPr>
            <w:r>
              <w:rPr>
                <w:bCs/>
                <w:b/>
              </w:rPr>
              <w:t xml:space="preserve">配给体系财政可行性成立</w:t>
            </w:r>
            <w:r>
              <w:t xml:space="preserve">；联邦BSC框架成型（A1）；配给双轨完成（A2）（5.1.1, 2.3.1）</w:t>
            </w:r>
          </w:p>
        </w:tc>
        <w:tc>
          <w:tcPr/>
          <w:p>
            <w:pPr>
              <w:pStyle w:val="Compact"/>
              <w:jc w:val="left"/>
            </w:pPr>
            <w:r>
              <w:t xml:space="preserve">—</w:t>
            </w:r>
          </w:p>
        </w:tc>
        <w:tc>
          <w:tcPr/>
          <w:p>
            <w:pPr>
              <w:pStyle w:val="Compact"/>
              <w:jc w:val="left"/>
            </w:pPr>
            <w:r>
              <w:t xml:space="preserve">BSC净财政成本趋于可承受；聚变通过相对价格机制使社保篮子实际购买力上升、名义财政成本相对稳定（4.8.6, 4.9.2）</w:t>
            </w:r>
          </w:p>
        </w:tc>
      </w:tr>
      <w:tr>
        <w:tc>
          <w:tcPr/>
          <w:p>
            <w:pPr>
              <w:pStyle w:val="Compact"/>
              <w:jc w:val="left"/>
            </w:pPr>
            <w:r>
              <w:rPr>
                <w:bCs/>
                <w:b/>
              </w:rPr>
              <w:t xml:space="preserve">2053（±2年）</w:t>
            </w:r>
          </w:p>
        </w:tc>
        <w:tc>
          <w:tcPr/>
          <w:p>
            <w:pPr>
              <w:pStyle w:val="Compact"/>
              <w:jc w:val="left"/>
            </w:pPr>
            <w:r>
              <w:rPr>
                <w:bCs/>
                <w:b/>
              </w:rPr>
              <w:t xml:space="preserve">可替代岗位替代率越过80%</w:t>
            </w:r>
            <w:r>
              <w:t xml:space="preserve">（3.1.2）</w:t>
            </w:r>
          </w:p>
        </w:tc>
        <w:tc>
          <w:tcPr/>
          <w:p>
            <w:pPr>
              <w:pStyle w:val="Compact"/>
              <w:jc w:val="left"/>
            </w:pPr>
            <w:r>
              <w:t xml:space="preserve">—</w:t>
            </w:r>
          </w:p>
        </w:tc>
        <w:tc>
          <w:tcPr/>
          <w:p>
            <w:pPr>
              <w:pStyle w:val="Compact"/>
              <w:jc w:val="left"/>
            </w:pPr>
            <w:r>
              <w:t xml:space="preserve">就业替代基本完成；</w:t>
            </w:r>
            <w:r>
              <w:t xml:space="preserve">“</w:t>
            </w:r>
            <w:r>
              <w:t xml:space="preserve">退出就业</w:t>
            </w:r>
            <w:r>
              <w:t xml:space="preserve">”</w:t>
            </w:r>
            <w:r>
              <w:t xml:space="preserve">人口显著上升（4.2.3）</w:t>
            </w:r>
          </w:p>
        </w:tc>
        <w:tc>
          <w:tcPr/>
          <w:p>
            <w:pPr>
              <w:pStyle w:val="Compact"/>
              <w:jc w:val="left"/>
            </w:pPr>
            <w:r>
              <w:rPr>
                <w:bCs/>
                <w:b/>
              </w:rPr>
              <w:t xml:space="preserve">意义危机首次被命名</w:t>
            </w:r>
            <w:r>
              <w:t xml:space="preserve">（A1约2059—62；A2约2053隐性出现）（2.2）</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2054—2064</w:t>
            </w:r>
          </w:p>
        </w:tc>
        <w:tc>
          <w:tcPr/>
          <w:p>
            <w:pPr>
              <w:pStyle w:val="Compact"/>
              <w:jc w:val="left"/>
            </w:pPr>
            <w:r>
              <w:t xml:space="preserve">—</w:t>
            </w:r>
          </w:p>
        </w:tc>
        <w:tc>
          <w:tcPr/>
          <w:p>
            <w:pPr>
              <w:pStyle w:val="Compact"/>
              <w:jc w:val="left"/>
            </w:pPr>
            <w:r>
              <w:rPr>
                <w:bCs/>
                <w:b/>
              </w:rPr>
              <w:t xml:space="preserve">聚变L4</w:t>
            </w:r>
            <w:r>
              <w:t xml:space="preserve">：能源充裕成为生活背景（A2 2054，A1 2059—62，欧洲2062—64）（2.3.1）</w:t>
            </w:r>
          </w:p>
        </w:tc>
        <w:tc>
          <w:tcPr/>
          <w:p>
            <w:pPr>
              <w:pStyle w:val="Compact"/>
              <w:jc w:val="left"/>
            </w:pPr>
            <w:r>
              <w:t xml:space="preserve">能源从”竞争优势”变为”背景性基础设施成本”（4.1.3）</w:t>
            </w:r>
          </w:p>
        </w:tc>
        <w:tc>
          <w:tcPr/>
          <w:p>
            <w:pPr>
              <w:pStyle w:val="Compact"/>
              <w:jc w:val="left"/>
            </w:pPr>
            <w:r>
              <w:t xml:space="preserve">AI意义危机L4与聚变文化吸收L4同期启动（2.5）</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2055—2060</w:t>
            </w:r>
          </w:p>
        </w:tc>
        <w:tc>
          <w:tcPr/>
          <w:p>
            <w:pPr>
              <w:pStyle w:val="Compact"/>
              <w:jc w:val="left"/>
            </w:pPr>
            <w:r>
              <w:t xml:space="preserve">—</w:t>
            </w:r>
          </w:p>
        </w:tc>
        <w:tc>
          <w:tcPr/>
          <w:p>
            <w:pPr>
              <w:pStyle w:val="Compact"/>
              <w:jc w:val="left"/>
            </w:pPr>
            <w:r>
              <w:t xml:space="preserve">合成食品生产成本降至传统农业同等水平；聚变财政基础全面成熟（3.2.2）</w:t>
            </w:r>
          </w:p>
        </w:tc>
        <w:tc>
          <w:tcPr/>
          <w:p>
            <w:pPr>
              <w:pStyle w:val="Compact"/>
              <w:jc w:val="left"/>
            </w:pPr>
            <w:r>
              <w:t xml:space="preserve">化石能源资源国普遍越过财政可持续临界点（3.2.2）</w:t>
            </w:r>
          </w:p>
        </w:tc>
        <w:tc>
          <w:tcPr/>
          <w:p>
            <w:pPr>
              <w:pStyle w:val="Compact"/>
              <w:jc w:val="left"/>
            </w:pPr>
            <w:r>
              <w:t xml:space="preserve">—</w:t>
            </w:r>
          </w:p>
        </w:tc>
        <w:tc>
          <w:tcPr/>
          <w:p>
            <w:pPr>
              <w:pStyle w:val="Compact"/>
              <w:jc w:val="left"/>
            </w:pPr>
            <w:r>
              <w:t xml:space="preserve">—</w:t>
            </w:r>
          </w:p>
        </w:tc>
        <w:tc>
          <w:tcPr/>
          <w:p>
            <w:pPr>
              <w:pStyle w:val="Compact"/>
              <w:jc w:val="left"/>
            </w:pPr>
            <w:r>
              <w:t xml:space="preserve">联邦结构性赤字从”失控螺旋”转向”可管理的持续赤字”（4.9.2）</w:t>
            </w:r>
          </w:p>
        </w:tc>
      </w:tr>
      <w:tr>
        <w:tc>
          <w:tcPr/>
          <w:p>
            <w:pPr>
              <w:pStyle w:val="Compact"/>
              <w:jc w:val="left"/>
            </w:pPr>
            <w:r>
              <w:rPr>
                <w:bCs/>
                <w:b/>
              </w:rPr>
              <w:t xml:space="preserve">2058—2065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A1标准工时最终确立为24小时/周</w:t>
            </w:r>
            <w:r>
              <w:t xml:space="preserve">（4.7, 5.1）</w:t>
            </w:r>
          </w:p>
        </w:tc>
        <w:tc>
          <w:tcPr/>
          <w:p>
            <w:pPr>
              <w:pStyle w:val="Compact"/>
              <w:jc w:val="left"/>
            </w:pPr>
            <w:r>
              <w:t xml:space="preserve">化石能源出口国货币崩溃集中期；本币失效后转向美元化或数字人民币化（4.12.3）</w:t>
            </w:r>
          </w:p>
        </w:tc>
        <w:tc>
          <w:tcPr/>
          <w:p>
            <w:pPr>
              <w:pStyle w:val="Compact"/>
              <w:jc w:val="left"/>
            </w:pPr>
            <w:r>
              <w:rPr>
                <w:bCs/>
                <w:b/>
              </w:rPr>
              <w:t xml:space="preserve">石油美元体系加速瓦解</w:t>
            </w:r>
            <w:r>
              <w:t xml:space="preserve">；美元从”贸易必需”退化为”战略工具选择”（4.12.2）</w:t>
            </w:r>
          </w:p>
        </w:tc>
      </w:tr>
      <w:tr>
        <w:tc>
          <w:tcPr/>
          <w:p>
            <w:pPr>
              <w:pStyle w:val="Compact"/>
              <w:jc w:val="left"/>
            </w:pPr>
            <w:r>
              <w:rPr>
                <w:bCs/>
                <w:b/>
              </w:rPr>
              <w:t xml:space="preserve">2059—2062</w:t>
            </w:r>
          </w:p>
        </w:tc>
        <w:tc>
          <w:tcPr/>
          <w:p>
            <w:pPr>
              <w:pStyle w:val="Compact"/>
              <w:jc w:val="left"/>
            </w:pPr>
            <w:r>
              <w:rPr>
                <w:bCs/>
                <w:b/>
              </w:rPr>
              <w:t xml:space="preserve">A1/B1类AI L4启动</w:t>
            </w:r>
            <w:r>
              <w:t xml:space="preserve">：意义危机被公开命名（2.2）</w:t>
            </w:r>
          </w:p>
        </w:tc>
        <w:tc>
          <w:tcPr/>
          <w:p>
            <w:pPr>
              <w:pStyle w:val="Compact"/>
              <w:jc w:val="left"/>
            </w:pPr>
            <w:r>
              <w:t xml:space="preserve">—</w:t>
            </w:r>
          </w:p>
        </w:tc>
        <w:tc>
          <w:tcPr/>
          <w:p>
            <w:pPr>
              <w:pStyle w:val="Compact"/>
              <w:jc w:val="left"/>
            </w:pPr>
            <w:r>
              <w:t xml:space="preserve">—</w:t>
            </w:r>
          </w:p>
        </w:tc>
        <w:tc>
          <w:tcPr/>
          <w:p>
            <w:pPr>
              <w:pStyle w:val="Compact"/>
              <w:jc w:val="left"/>
            </w:pPr>
            <w:r>
              <w:t xml:space="preserve">文化产业、宗教复兴、社区运动参与重建（2.2）</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2060—2072</w:t>
            </w:r>
          </w:p>
        </w:tc>
        <w:tc>
          <w:tcPr/>
          <w:p>
            <w:pPr>
              <w:pStyle w:val="Compact"/>
              <w:jc w:val="left"/>
            </w:pPr>
            <w:r>
              <w:t xml:space="preserve">—</w:t>
            </w:r>
          </w:p>
        </w:tc>
        <w:tc>
          <w:tcPr/>
          <w:p>
            <w:pPr>
              <w:pStyle w:val="Compact"/>
              <w:jc w:val="left"/>
            </w:pPr>
            <w:r>
              <w:rPr>
                <w:bCs/>
                <w:b/>
              </w:rPr>
              <w:t xml:space="preserve">聚变成熟阶段</w:t>
            </w:r>
            <w:r>
              <w:t xml:space="preserve">：第三代商业堆LCOE约8—15美元/MWh（3.2.2）</w:t>
            </w:r>
          </w:p>
        </w:tc>
        <w:tc>
          <w:tcPr/>
          <w:p>
            <w:pPr>
              <w:pStyle w:val="Compact"/>
              <w:jc w:val="left"/>
            </w:pPr>
            <w:r>
              <w:t xml:space="preserve">工业电价较2026年下降70—80%；就业与经济增长完全解耦（4.1.3）</w:t>
            </w:r>
          </w:p>
        </w:tc>
        <w:tc>
          <w:tcPr/>
          <w:p>
            <w:pPr>
              <w:pStyle w:val="Compact"/>
              <w:jc w:val="left"/>
            </w:pPr>
            <w:r>
              <w:t xml:space="preserve">就业不再是分配财富的充分依据（4.2.3）</w:t>
            </w:r>
          </w:p>
        </w:tc>
        <w:tc>
          <w:tcPr/>
          <w:p>
            <w:pPr>
              <w:pStyle w:val="Compact"/>
              <w:jc w:val="left"/>
            </w:pPr>
            <w:r>
              <w:t xml:space="preserve">稀土战略价值下降；深海采矿实质冲击中国陆地垄断（3.4.1）</w:t>
            </w:r>
          </w:p>
        </w:tc>
        <w:tc>
          <w:tcPr/>
          <w:p>
            <w:pPr>
              <w:pStyle w:val="Compact"/>
              <w:jc w:val="left"/>
            </w:pPr>
            <w:r>
              <w:t xml:space="preserve">资本利得税占联邦税收约三成；财政弹性与资产价格高度相关（4.9, 4.12.3）</w:t>
            </w:r>
          </w:p>
        </w:tc>
      </w:tr>
      <w:tr>
        <w:tc>
          <w:tcPr/>
          <w:p>
            <w:pPr>
              <w:pStyle w:val="Compact"/>
              <w:jc w:val="left"/>
            </w:pPr>
            <w:r>
              <w:rPr>
                <w:bCs/>
                <w:b/>
              </w:rPr>
              <w:t xml:space="preserve">2061</w:t>
            </w:r>
          </w:p>
        </w:tc>
        <w:tc>
          <w:tcPr/>
          <w:p>
            <w:pPr>
              <w:pStyle w:val="Compact"/>
              <w:jc w:val="left"/>
            </w:pPr>
            <w:r>
              <w:t xml:space="preserve">—</w:t>
            </w:r>
          </w:p>
        </w:tc>
        <w:tc>
          <w:tcPr/>
          <w:p>
            <w:pPr>
              <w:pStyle w:val="Compact"/>
              <w:jc w:val="left"/>
            </w:pPr>
            <w:r>
              <w:t xml:space="preserve">聚变接入格局基本成形（A/B/C类相对稳定；D/E类大多路径待定）（3.1.2）</w:t>
            </w:r>
          </w:p>
        </w:tc>
        <w:tc>
          <w:tcPr/>
          <w:p>
            <w:pPr>
              <w:pStyle w:val="Compact"/>
              <w:jc w:val="left"/>
            </w:pPr>
            <w:r>
              <w:t xml:space="preserve">两套体系商业互依维持（4.17.2）</w:t>
            </w:r>
          </w:p>
        </w:tc>
        <w:tc>
          <w:tcPr/>
          <w:p>
            <w:pPr>
              <w:pStyle w:val="Compact"/>
              <w:jc w:val="left"/>
            </w:pPr>
            <w:r>
              <w:t xml:space="preserve">—</w:t>
            </w:r>
          </w:p>
        </w:tc>
        <w:tc>
          <w:tcPr/>
          <w:p>
            <w:pPr>
              <w:pStyle w:val="Compact"/>
              <w:jc w:val="left"/>
            </w:pPr>
            <w:r>
              <w:t xml:space="preserve">—</w:t>
            </w:r>
          </w:p>
        </w:tc>
        <w:tc>
          <w:tcPr/>
          <w:p>
            <w:pPr>
              <w:pStyle w:val="Compact"/>
              <w:jc w:val="left"/>
            </w:pPr>
            <w:r>
              <w:t xml:space="preserve">人民币在A2体系内结算主导地位稳定，但资本管制使其无法国际化（4.12.1）</w:t>
            </w:r>
          </w:p>
        </w:tc>
      </w:tr>
      <w:tr>
        <w:tc>
          <w:tcPr/>
          <w:p>
            <w:pPr>
              <w:pStyle w:val="Compact"/>
              <w:jc w:val="left"/>
            </w:pPr>
            <w:r>
              <w:rPr>
                <w:bCs/>
                <w:b/>
              </w:rPr>
              <w:t xml:space="preserve">2068</w:t>
            </w:r>
          </w:p>
        </w:tc>
        <w:tc>
          <w:tcPr/>
          <w:p>
            <w:pPr>
              <w:pStyle w:val="Compact"/>
              <w:jc w:val="left"/>
            </w:pPr>
            <w:r>
              <w:t xml:space="preserve">情感计算与虚拟在场成熟（A1）；AI关系系统与社会治理融合（A2）（3.1.2）</w:t>
            </w:r>
          </w:p>
        </w:tc>
        <w:tc>
          <w:tcPr/>
          <w:p>
            <w:pPr>
              <w:pStyle w:val="Compact"/>
              <w:jc w:val="left"/>
            </w:pPr>
            <w:r>
              <w:t xml:space="preserve">—</w:t>
            </w:r>
          </w:p>
        </w:tc>
        <w:tc>
          <w:tcPr/>
          <w:p>
            <w:pPr>
              <w:pStyle w:val="Compact"/>
              <w:jc w:val="left"/>
            </w:pPr>
            <w:r>
              <w:t xml:space="preserve">—</w:t>
            </w:r>
          </w:p>
        </w:tc>
        <w:tc>
          <w:tcPr/>
          <w:p>
            <w:pPr>
              <w:pStyle w:val="Compact"/>
              <w:jc w:val="left"/>
            </w:pPr>
            <w:r>
              <w:t xml:space="preserve">线下社交密度在城市核心区持续降低（A1）；</w:t>
            </w:r>
            <w:r>
              <w:t xml:space="preserve">“</w:t>
            </w:r>
            <w:r>
              <w:t xml:space="preserve">自愿孤立</w:t>
            </w:r>
            <w:r>
              <w:t xml:space="preserve">”</w:t>
            </w:r>
            <w:r>
              <w:t xml:space="preserve">被系统性监测（A2）（3.1.2）</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2072</w:t>
            </w:r>
          </w:p>
        </w:tc>
        <w:tc>
          <w:tcPr/>
          <w:p>
            <w:pPr>
              <w:pStyle w:val="Compact"/>
              <w:jc w:val="left"/>
            </w:pPr>
            <w:r>
              <w:t xml:space="preserve">AI L4进行中，无路径完成（2.5）</w:t>
            </w:r>
          </w:p>
        </w:tc>
        <w:tc>
          <w:tcPr/>
          <w:p>
            <w:pPr>
              <w:pStyle w:val="Compact"/>
              <w:jc w:val="left"/>
            </w:pPr>
            <w:r>
              <w:t xml:space="preserve">聚变L4：A1/A2接近完成；全球南方进行中（2.5）</w:t>
            </w:r>
          </w:p>
        </w:tc>
        <w:tc>
          <w:tcPr/>
          <w:p>
            <w:pPr>
              <w:pStyle w:val="Compact"/>
              <w:jc w:val="left"/>
            </w:pPr>
            <w:r>
              <w:t xml:space="preserve">多态稳态：配给/BSC覆盖基本生存；财富差距转为”品类差距”（4.8.6, 4.17）</w:t>
            </w:r>
          </w:p>
        </w:tc>
        <w:tc>
          <w:tcPr/>
          <w:p>
            <w:pPr>
              <w:pStyle w:val="Compact"/>
              <w:jc w:val="left"/>
            </w:pPr>
            <w:r>
              <w:t xml:space="preserve">各路径处于不同L1—L4消化阶段；意义重构持续（2.6）</w:t>
            </w:r>
          </w:p>
        </w:tc>
        <w:tc>
          <w:tcPr/>
          <w:p>
            <w:pPr>
              <w:pStyle w:val="Compact"/>
              <w:jc w:val="left"/>
            </w:pPr>
            <w:r>
              <w:t xml:space="preserve">资源体系：内陆大宗+极地稀有+深海稀土+城市回收分工成熟（3.4.2, 3.4.3）</w:t>
            </w:r>
          </w:p>
        </w:tc>
        <w:tc>
          <w:tcPr/>
          <w:p>
            <w:pPr>
              <w:pStyle w:val="Compact"/>
              <w:jc w:val="left"/>
            </w:pPr>
            <w:r>
              <w:t xml:space="preserve">美元地位收缩但不崩溃；货币格局整体性降级但分化性稳定（4.12.1, 4.12.2）</w:t>
            </w:r>
          </w:p>
        </w:tc>
      </w:tr>
    </w:tbl>
    <w:bookmarkEnd w:id="435"/>
    <w:bookmarkStart w:id="436" w:name="a.2-各路径l1l4进度对照2072年截面"/>
    <w:p>
      <w:pPr>
        <w:pStyle w:val="Heading2"/>
      </w:pPr>
      <w:r>
        <w:t xml:space="preserve">A.2　各路径L1—L4进度对照（2072年截面）</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路径</w:t>
            </w:r>
          </w:p>
        </w:tc>
        <w:tc>
          <w:tcPr/>
          <w:p>
            <w:pPr>
              <w:pStyle w:val="Compact"/>
              <w:jc w:val="left"/>
            </w:pPr>
            <w:r>
              <w:rPr>
                <w:bCs/>
                <w:b/>
              </w:rPr>
              <w:t xml:space="preserve">AI L1—L4</w:t>
            </w:r>
          </w:p>
        </w:tc>
        <w:tc>
          <w:tcPr/>
          <w:p>
            <w:pPr>
              <w:pStyle w:val="Compact"/>
              <w:jc w:val="left"/>
            </w:pPr>
            <w:r>
              <w:rPr>
                <w:bCs/>
                <w:b/>
              </w:rPr>
              <w:t xml:space="preserve">聚变L1—L4</w:t>
            </w:r>
          </w:p>
        </w:tc>
        <w:tc>
          <w:tcPr/>
          <w:p>
            <w:pPr>
              <w:pStyle w:val="Compact"/>
              <w:jc w:val="left"/>
            </w:pPr>
            <w:r>
              <w:rPr>
                <w:bCs/>
                <w:b/>
              </w:rPr>
              <w:t xml:space="preserve">2072年状态</w:t>
            </w:r>
          </w:p>
        </w:tc>
      </w:tr>
      <w:tr>
        <w:tc>
          <w:tcPr/>
          <w:p>
            <w:pPr>
              <w:pStyle w:val="Compact"/>
              <w:jc w:val="left"/>
            </w:pPr>
            <w:r>
              <w:t xml:space="preserve">A1（美国）</w:t>
            </w:r>
          </w:p>
        </w:tc>
        <w:tc>
          <w:tcPr/>
          <w:p>
            <w:pPr>
              <w:pStyle w:val="Compact"/>
              <w:jc w:val="left"/>
            </w:pPr>
            <w:r>
              <w:t xml:space="preserve">L1—L3完成；L4深度进行中</w:t>
            </w:r>
          </w:p>
        </w:tc>
        <w:tc>
          <w:tcPr/>
          <w:p>
            <w:pPr>
              <w:pStyle w:val="Compact"/>
              <w:jc w:val="left"/>
            </w:pPr>
            <w:r>
              <w:t xml:space="preserve">L1—L4接近完成</w:t>
            </w:r>
          </w:p>
        </w:tc>
        <w:tc>
          <w:tcPr/>
          <w:p>
            <w:pPr>
              <w:pStyle w:val="Compact"/>
              <w:jc w:val="left"/>
            </w:pPr>
            <w:r>
              <w:t xml:space="preserve">意义危机可见可命名；BSC覆盖基本生存；多态生活方式格局已定</w:t>
            </w:r>
          </w:p>
        </w:tc>
      </w:tr>
      <w:tr>
        <w:tc>
          <w:tcPr/>
          <w:p>
            <w:pPr>
              <w:pStyle w:val="Compact"/>
              <w:jc w:val="left"/>
            </w:pPr>
            <w:r>
              <w:t xml:space="preserve">A2（中国）</w:t>
            </w:r>
          </w:p>
        </w:tc>
        <w:tc>
          <w:tcPr/>
          <w:p>
            <w:pPr>
              <w:pStyle w:val="Compact"/>
              <w:jc w:val="left"/>
            </w:pPr>
            <w:r>
              <w:t xml:space="preserve">L1—L3完成；L4进行中（私人退缩为主）</w:t>
            </w:r>
          </w:p>
        </w:tc>
        <w:tc>
          <w:tcPr/>
          <w:p>
            <w:pPr>
              <w:pStyle w:val="Compact"/>
              <w:jc w:val="left"/>
            </w:pPr>
            <w:r>
              <w:t xml:space="preserve">L1—L4完成</w:t>
            </w:r>
          </w:p>
        </w:tc>
        <w:tc>
          <w:tcPr/>
          <w:p>
            <w:pPr>
              <w:pStyle w:val="Compact"/>
              <w:jc w:val="left"/>
            </w:pPr>
            <w:r>
              <w:t xml:space="preserve">意义危机约2053年起沉淀，不被命名；配给双轨成熟</w:t>
            </w:r>
          </w:p>
        </w:tc>
      </w:tr>
      <w:tr>
        <w:tc>
          <w:tcPr/>
          <w:p>
            <w:pPr>
              <w:pStyle w:val="Compact"/>
              <w:jc w:val="left"/>
            </w:pPr>
            <w:r>
              <w:t xml:space="preserve">B（欧洲）</w:t>
            </w:r>
          </w:p>
        </w:tc>
        <w:tc>
          <w:tcPr/>
          <w:p>
            <w:pPr>
              <w:pStyle w:val="Compact"/>
              <w:jc w:val="left"/>
            </w:pPr>
            <w:r>
              <w:t xml:space="preserve">L1—L3完成（L3约2056—59）；L4刚启动</w:t>
            </w:r>
          </w:p>
        </w:tc>
        <w:tc>
          <w:tcPr/>
          <w:p>
            <w:pPr>
              <w:pStyle w:val="Compact"/>
              <w:jc w:val="left"/>
            </w:pPr>
            <w:r>
              <w:t xml:space="preserve">L1—L3完成；L4进行中（约2062—64启动）</w:t>
            </w:r>
          </w:p>
        </w:tc>
        <w:tc>
          <w:tcPr/>
          <w:p>
            <w:pPr>
              <w:pStyle w:val="Compact"/>
              <w:jc w:val="left"/>
            </w:pPr>
            <w:r>
              <w:t xml:space="preserve">意义危机开始浮出水面；福利缓冲使裸露期痛苦低于A1</w:t>
            </w:r>
          </w:p>
        </w:tc>
      </w:tr>
      <w:tr>
        <w:tc>
          <w:tcPr/>
          <w:p>
            <w:pPr>
              <w:pStyle w:val="Compact"/>
              <w:jc w:val="left"/>
            </w:pPr>
            <w:r>
              <w:t xml:space="preserve">C（对冲自主体）</w:t>
            </w:r>
          </w:p>
        </w:tc>
        <w:tc>
          <w:tcPr/>
          <w:p>
            <w:pPr>
              <w:pStyle w:val="Compact"/>
              <w:jc w:val="left"/>
            </w:pPr>
            <w:r>
              <w:t xml:space="preserve">L1—L2完成；L3启动（碎片化执行）</w:t>
            </w:r>
          </w:p>
        </w:tc>
        <w:tc>
          <w:tcPr/>
          <w:p>
            <w:pPr>
              <w:pStyle w:val="Compact"/>
              <w:jc w:val="left"/>
            </w:pPr>
            <w:r>
              <w:t xml:space="preserve">精英层L1—L2；农村基本未覆盖（A2伙伴）或接近B1类</w:t>
            </w:r>
          </w:p>
        </w:tc>
        <w:tc>
          <w:tcPr/>
          <w:p>
            <w:pPr>
              <w:pStyle w:val="Compact"/>
              <w:jc w:val="left"/>
            </w:pPr>
            <w:r>
              <w:t xml:space="preserve">双轨战略代价：制度碎片化，政策执行不一</w:t>
            </w:r>
          </w:p>
        </w:tc>
      </w:tr>
      <w:tr>
        <w:tc>
          <w:tcPr/>
          <w:p>
            <w:pPr>
              <w:pStyle w:val="Compact"/>
              <w:jc w:val="left"/>
            </w:pPr>
            <w:r>
              <w:t xml:space="preserve">B2（威权体系整合者）</w:t>
            </w:r>
          </w:p>
        </w:tc>
        <w:tc>
          <w:tcPr/>
          <w:p>
            <w:pPr>
              <w:pStyle w:val="Compact"/>
              <w:jc w:val="left"/>
            </w:pPr>
            <w:r>
              <w:t xml:space="preserve">城市L1—L2；农村基本未覆盖</w:t>
            </w:r>
          </w:p>
        </w:tc>
        <w:tc>
          <w:tcPr/>
          <w:p>
            <w:pPr>
              <w:pStyle w:val="Compact"/>
              <w:jc w:val="left"/>
            </w:pPr>
            <w:r>
              <w:t xml:space="preserve">主要城市L1—L2（通过A2融资渠道）；农村2070+</w:t>
            </w:r>
          </w:p>
        </w:tc>
        <w:tc>
          <w:tcPr/>
          <w:p>
            <w:pPr>
              <w:pStyle w:val="Compact"/>
              <w:jc w:val="left"/>
            </w:pPr>
            <w:r>
              <w:t xml:space="preserve">主权代价真实；本地制度响应空心化</w:t>
            </w:r>
          </w:p>
        </w:tc>
      </w:tr>
      <w:tr>
        <w:tc>
          <w:tcPr/>
          <w:p>
            <w:pPr>
              <w:pStyle w:val="Compact"/>
              <w:jc w:val="left"/>
            </w:pPr>
            <w:r>
              <w:t xml:space="preserve">D/E/F（资源/农业/制造业大国）</w:t>
            </w:r>
          </w:p>
        </w:tc>
        <w:tc>
          <w:tcPr/>
          <w:p>
            <w:pPr>
              <w:pStyle w:val="Compact"/>
              <w:jc w:val="left"/>
            </w:pPr>
            <w:r>
              <w:t xml:space="preserve">L1—L2进行中；L3结构性缺席</w:t>
            </w:r>
          </w:p>
        </w:tc>
        <w:tc>
          <w:tcPr/>
          <w:p>
            <w:pPr>
              <w:pStyle w:val="Compact"/>
              <w:jc w:val="left"/>
            </w:pPr>
            <w:r>
              <w:t xml:space="preserve">通过全球能源价格传导获基础红利；直接接入极少</w:t>
            </w:r>
          </w:p>
        </w:tc>
        <w:tc>
          <w:tcPr/>
          <w:p>
            <w:pPr>
              <w:pStyle w:val="Compact"/>
              <w:jc w:val="left"/>
            </w:pPr>
            <w:r>
              <w:t xml:space="preserve">传统发展路径被切断；裸露期结构性，不随时间自动结束</w:t>
            </w:r>
          </w:p>
        </w:tc>
      </w:tr>
      <w:tr>
        <w:tc>
          <w:tcPr/>
          <w:p>
            <w:pPr>
              <w:pStyle w:val="Compact"/>
              <w:jc w:val="left"/>
            </w:pPr>
            <w:r>
              <w:t xml:space="preserve">I（边缘脱嵌）</w:t>
            </w:r>
          </w:p>
        </w:tc>
        <w:tc>
          <w:tcPr/>
          <w:p>
            <w:pPr>
              <w:pStyle w:val="Compact"/>
              <w:jc w:val="left"/>
            </w:pPr>
            <w:r>
              <w:t xml:space="preserve">L1之前或L1阶段</w:t>
            </w:r>
          </w:p>
        </w:tc>
        <w:tc>
          <w:tcPr/>
          <w:p>
            <w:pPr>
              <w:pStyle w:val="Compact"/>
              <w:jc w:val="left"/>
            </w:pPr>
            <w:r>
              <w:t xml:space="preserve">通过化石能源价格下行获间接红利；无直接接入</w:t>
            </w:r>
          </w:p>
        </w:tc>
        <w:tc>
          <w:tcPr/>
          <w:p>
            <w:pPr>
              <w:pStyle w:val="Compact"/>
              <w:jc w:val="left"/>
            </w:pPr>
            <w:r>
              <w:t xml:space="preserve">与聚变世界差距演变为文明级别的鸿沟</w:t>
            </w:r>
          </w:p>
        </w:tc>
      </w:tr>
    </w:tbl>
    <w:bookmarkEnd w:id="436"/>
    <w:bookmarkStart w:id="437" w:name="a.3-聚变红利传导机制说明"/>
    <w:p>
      <w:pPr>
        <w:pStyle w:val="Heading2"/>
      </w:pPr>
      <w:r>
        <w:t xml:space="preserve">A.3　聚变红利传导机制说明</w:t>
      </w:r>
    </w:p>
    <w:p>
      <w:pPr>
        <w:pStyle w:val="FirstParagraph"/>
      </w:pPr>
      <w:r>
        <w:t xml:space="preserve">聚变红利通过两种机制进入各类经济体，性质不同，需要区分：</w:t>
      </w:r>
    </w:p>
    <w:p>
      <w:pPr>
        <w:pStyle w:val="BodyText"/>
      </w:pPr>
      <w:r>
        <w:rPr>
          <w:bCs/>
          <w:b/>
        </w:rPr>
        <w:t xml:space="preserve">机制一：直接接入（第一、二梯队）</w:t>
      </w:r>
      <w:r>
        <w:t xml:space="preserve"> </w:t>
      </w:r>
      <w:r>
        <w:t xml:space="preserve">聚变电网直接连接，获得最低边际生产成本的电力。接入时序决定受益程度：A1/A2核心区2044—2052年，B1类/C类精英层2050—2065年，C类主要城市2055—2065年。</w:t>
      </w:r>
    </w:p>
    <w:p>
      <w:pPr>
        <w:pStyle w:val="BodyText"/>
      </w:pPr>
      <w:r>
        <w:rPr>
          <w:bCs/>
          <w:b/>
        </w:rPr>
        <w:t xml:space="preserve">机制二：市场价格传导（所有梯队）</w:t>
      </w:r>
      <w:r>
        <w:t xml:space="preserve"> </w:t>
      </w:r>
      <w:r>
        <w:t xml:space="preserve">聚变压低化石能源的竞争地位，全球化石能源价格系统性下行，未直接接入聚变电网的地区通过这一传导机制获得程度不等的红利。传导幅度受当地能源结构和市场开放程度制约。第三、四梯队和E类地区主要依赖此机制。</w:t>
      </w:r>
    </w:p>
    <w:p>
      <w:pPr>
        <w:pStyle w:val="BodyText"/>
      </w:pPr>
      <w:r>
        <w:rPr>
          <w:bCs/>
          <w:b/>
        </w:rPr>
        <w:t xml:space="preserve">与社保的关系</w:t>
      </w:r>
      <w:r>
        <w:t xml:space="preserve">：聚变通过上述两种机制降低社保篮子主要品类（合成食品、基础物资）的生产成本，使社保制度定价与实际成本之间产生持续时差，这是BSC/配给体系财政可行性改善的核心机制（详见4.9.6节）。</w:t>
      </w:r>
    </w:p>
    <w:bookmarkEnd w:id="437"/>
    <w:bookmarkEnd w:id="438"/>
    <w:bookmarkStart w:id="439" w:name="结语"/>
    <w:p>
      <w:pPr>
        <w:pStyle w:val="Heading1"/>
      </w:pPr>
      <w:r>
        <w:t xml:space="preserve">结语</w:t>
      </w:r>
    </w:p>
    <w:p>
      <w:pPr>
        <w:pStyle w:val="FirstParagraph"/>
      </w:pPr>
      <w:r>
        <w:t xml:space="preserve">这份文件描述的不是一个未来，而是一个正在到来的现在。它的时间坐标是2072年，但它的逻辑起点是今天已经在运行的力量：AI替代劳动的速度、聚变技术的成熟曲线、人口结构的不可逆转、地缘竞争的路径依赖。这些力量没有等待任何人的许可，也不按任何人的期望运行。</w:t>
      </w:r>
    </w:p>
    <w:p>
      <w:pPr>
        <w:pStyle w:val="BodyText"/>
      </w:pPr>
      <w:r>
        <w:t xml:space="preserve">多态社会不是一个设计方案，而是一个描述框架——描述当技术能力以超过制度适应速度的节奏演进时，世界不会等待一个统一的答案，而是在不同地方、不同体制、不同历史存量的基础上，演化出多种并行的运行方式。A1和A2不是竞争中必然有一个胜出的选项，它们是同一个技术现实在不同制度土壤里生长出来的不同形态，各自有真实的优势、真实的代价、真实的脆弱性。</w:t>
      </w:r>
    </w:p>
    <w:p>
      <w:pPr>
        <w:pStyle w:val="BodyText"/>
      </w:pPr>
      <w:r>
        <w:t xml:space="preserve">贯穿七个部分的核心问题始终是同一个：当劳动不再是人与社会之间的主要交换媒介，人以什么换取存在的位置？BSC是一个制度性回答，配给是另一个。旅游城市的旧时代博物馆是一个文化性回答，深海采矿城镇的直接民主是一个社区性回答。被遗忘地带的日升日落是一个前提性回答——当问题还没有到达，答案也还不需要存在。</w:t>
      </w:r>
    </w:p>
    <w:p>
      <w:pPr>
        <w:pStyle w:val="BodyText"/>
      </w:pPr>
      <w:r>
        <w:t xml:space="preserve">这个问题没有终点。动荡期终结后，它以更平静、更耐久的形式继续存在于每一个BSC账户的余额里、每一个配给票据的品类限制里、每一个在慢速城市主动选择留下的人的日常里。2072年不是答案，是这个问题在半个世纪运行之后呈现出来的中间状态。</w:t>
      </w:r>
    </w:p>
    <w:p>
      <w:pPr>
        <w:pStyle w:val="BodyText"/>
      </w:pPr>
      <w:r>
        <w:t xml:space="preserve">世界仍在进行中。</w:t>
      </w:r>
    </w:p>
    <w:bookmarkEnd w:id="439"/>
    <w:bookmarkStart w:id="440" w:name="关键字词典"/>
    <w:p>
      <w:pPr>
        <w:pStyle w:val="Heading1"/>
      </w:pPr>
      <w:r>
        <w:t xml:space="preserve">关键字词典</w:t>
      </w:r>
    </w:p>
    <w:p>
      <w:pPr>
        <w:pStyle w:val="FirstParagraph"/>
      </w:pPr>
      <w:r>
        <w:rPr>
          <w:iCs/>
          <w:i/>
        </w:rPr>
        <w:t xml:space="preserve">随主文件更新维护。定义以文件内部含义为准，不追求现实学术定义的完整覆盖。文中每个概念第一次出现时已标注中文全称。BSC积分是A1社会保障的一种具体实现形式，跨社区比较时应使用”社会保障覆盖生活成本比例”这一通用框架而非单一积分覆盖率指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术语</w:t>
            </w:r>
          </w:p>
        </w:tc>
        <w:tc>
          <w:tcPr/>
          <w:p>
            <w:pPr>
              <w:pStyle w:val="Compact"/>
              <w:jc w:val="left"/>
            </w:pPr>
            <w:r>
              <w:rPr>
                <w:bCs/>
                <w:b/>
              </w:rPr>
              <w:t xml:space="preserve">类别</w:t>
            </w:r>
          </w:p>
        </w:tc>
        <w:tc>
          <w:tcPr/>
          <w:p>
            <w:pPr>
              <w:pStyle w:val="Compact"/>
              <w:jc w:val="left"/>
            </w:pPr>
            <w:r>
              <w:rPr>
                <w:bCs/>
                <w:b/>
              </w:rPr>
              <w:t xml:space="preserve">定义与作用</w:t>
            </w:r>
          </w:p>
        </w:tc>
        <w:tc>
          <w:tcPr/>
          <w:p>
            <w:pPr>
              <w:pStyle w:val="Compact"/>
              <w:jc w:val="left"/>
            </w:pPr>
            <w:r>
              <w:rPr>
                <w:bCs/>
                <w:b/>
              </w:rPr>
              <w:t xml:space="preserve">出现章节</w:t>
            </w:r>
          </w:p>
        </w:tc>
      </w:tr>
      <w:tr>
        <w:tc>
          <w:tcPr/>
          <w:p>
            <w:pPr>
              <w:pStyle w:val="Compact"/>
              <w:jc w:val="left"/>
            </w:pPr>
            <w:r>
              <w:rPr>
                <w:bCs/>
                <w:b/>
              </w:rPr>
              <w:t xml:space="preserve">一、方法论与总框架</w:t>
            </w:r>
          </w:p>
        </w:tc>
        <w:tc>
          <w:tcPr/>
          <w:p>
            <w:pPr>
              <w:pStyle w:val="Compact"/>
            </w:pPr>
          </w:p>
        </w:tc>
        <w:tc>
          <w:tcPr/>
          <w:p>
            <w:pPr>
              <w:pStyle w:val="Compact"/>
            </w:pPr>
          </w:p>
        </w:tc>
        <w:tc>
          <w:tcPr/>
          <w:p>
            <w:pPr>
              <w:pStyle w:val="Compact"/>
            </w:pPr>
          </w:p>
        </w:tc>
      </w:tr>
      <w:tr>
        <w:tc>
          <w:tcPr/>
          <w:p>
            <w:pPr>
              <w:pStyle w:val="Compact"/>
              <w:jc w:val="left"/>
            </w:pPr>
            <w:r>
              <w:rPr>
                <w:bCs/>
                <w:b/>
              </w:rPr>
              <w:t xml:space="preserve">条件推演</w:t>
            </w:r>
          </w:p>
        </w:tc>
        <w:tc>
          <w:tcPr/>
          <w:p>
            <w:pPr>
              <w:pStyle w:val="Compact"/>
              <w:jc w:val="left"/>
            </w:pPr>
            <w:r>
              <w:t xml:space="preserve">方法论</w:t>
            </w:r>
          </w:p>
        </w:tc>
        <w:tc>
          <w:tcPr/>
          <w:p>
            <w:pPr>
              <w:pStyle w:val="Compact"/>
              <w:jc w:val="left"/>
            </w:pPr>
            <w:r>
              <w:t xml:space="preserve">指在给定初始条件与因果逻辑下，推演最可能的演化路径。不是预言，也不是政策报告，而是一种受约束的情景构造方法。</w:t>
            </w:r>
          </w:p>
        </w:tc>
        <w:tc>
          <w:tcPr/>
          <w:p>
            <w:pPr>
              <w:pStyle w:val="Compact"/>
              <w:jc w:val="left"/>
            </w:pPr>
            <w:r>
              <w:t xml:space="preserve">—</w:t>
            </w:r>
          </w:p>
        </w:tc>
      </w:tr>
      <w:tr>
        <w:tc>
          <w:tcPr/>
          <w:p>
            <w:pPr>
              <w:pStyle w:val="Compact"/>
              <w:jc w:val="left"/>
            </w:pPr>
            <w:r>
              <w:rPr>
                <w:bCs/>
                <w:b/>
              </w:rPr>
              <w:t xml:space="preserve">统计理性</w:t>
            </w:r>
          </w:p>
        </w:tc>
        <w:tc>
          <w:tcPr/>
          <w:p>
            <w:pPr>
              <w:pStyle w:val="Compact"/>
              <w:jc w:val="left"/>
            </w:pPr>
            <w:r>
              <w:t xml:space="preserve">方法论</w:t>
            </w:r>
          </w:p>
        </w:tc>
        <w:tc>
          <w:tcPr/>
          <w:p>
            <w:pPr>
              <w:pStyle w:val="Compact"/>
              <w:jc w:val="left"/>
            </w:pPr>
            <w:r>
              <w:t xml:space="preserve">用于描述群体层面的统计规律与结构趋势。解释“力量场”，不直接规定单个角色的命运。</w:t>
            </w:r>
          </w:p>
        </w:tc>
        <w:tc>
          <w:tcPr/>
          <w:p>
            <w:pPr>
              <w:pStyle w:val="Compact"/>
              <w:jc w:val="left"/>
            </w:pPr>
            <w:r>
              <w:t xml:space="preserve">1.1.1</w:t>
            </w:r>
          </w:p>
        </w:tc>
      </w:tr>
      <w:tr>
        <w:tc>
          <w:tcPr/>
          <w:p>
            <w:pPr>
              <w:pStyle w:val="Compact"/>
              <w:jc w:val="left"/>
            </w:pPr>
            <w:r>
              <w:rPr>
                <w:bCs/>
                <w:b/>
              </w:rPr>
              <w:t xml:space="preserve">个体不确定性</w:t>
            </w:r>
          </w:p>
        </w:tc>
        <w:tc>
          <w:tcPr/>
          <w:p>
            <w:pPr>
              <w:pStyle w:val="Compact"/>
              <w:jc w:val="left"/>
            </w:pPr>
            <w:r>
              <w:t xml:space="preserve">方法论</w:t>
            </w:r>
          </w:p>
        </w:tc>
        <w:tc>
          <w:tcPr/>
          <w:p>
            <w:pPr>
              <w:pStyle w:val="Compact"/>
              <w:jc w:val="left"/>
            </w:pPr>
            <w:r>
              <w:t xml:space="preserve">具体人物仍可在结构约束下做出统计无法预测的选择。保证叙事人物不是世界观的附属物，而是能在框架内生成真实行动。</w:t>
            </w:r>
          </w:p>
        </w:tc>
        <w:tc>
          <w:tcPr/>
          <w:p>
            <w:pPr>
              <w:pStyle w:val="Compact"/>
              <w:jc w:val="left"/>
            </w:pPr>
            <w:r>
              <w:t xml:space="preserve">1.1.1</w:t>
            </w:r>
          </w:p>
        </w:tc>
      </w:tr>
      <w:tr>
        <w:tc>
          <w:tcPr/>
          <w:p>
            <w:pPr>
              <w:pStyle w:val="Compact"/>
              <w:jc w:val="left"/>
            </w:pPr>
            <w:r>
              <w:rPr>
                <w:bCs/>
                <w:b/>
              </w:rPr>
              <w:t xml:space="preserve">结构决定可能性空间</w:t>
            </w:r>
          </w:p>
        </w:tc>
        <w:tc>
          <w:tcPr/>
          <w:p>
            <w:pPr>
              <w:pStyle w:val="Compact"/>
              <w:jc w:val="left"/>
            </w:pPr>
            <w:r>
              <w:t xml:space="preserve">核心命题</w:t>
            </w:r>
          </w:p>
        </w:tc>
        <w:tc>
          <w:tcPr/>
          <w:p>
            <w:pPr>
              <w:pStyle w:val="Compact"/>
              <w:jc w:val="left"/>
            </w:pPr>
            <w:r>
              <w:t xml:space="preserve">世界观负责定义结构性边界与成本结构，故事负责展示人物如何在这些边界内选择。</w:t>
            </w:r>
          </w:p>
        </w:tc>
        <w:tc>
          <w:tcPr/>
          <w:p>
            <w:pPr>
              <w:pStyle w:val="Compact"/>
              <w:jc w:val="left"/>
            </w:pPr>
            <w:r>
              <w:t xml:space="preserve">5.8.2</w:t>
            </w:r>
          </w:p>
        </w:tc>
      </w:tr>
      <w:tr>
        <w:tc>
          <w:tcPr/>
          <w:p>
            <w:pPr>
              <w:pStyle w:val="Compact"/>
              <w:jc w:val="left"/>
            </w:pPr>
            <w:r>
              <w:rPr>
                <w:bCs/>
                <w:b/>
              </w:rPr>
              <w:t xml:space="preserve">多态社会</w:t>
            </w:r>
          </w:p>
        </w:tc>
        <w:tc>
          <w:tcPr/>
          <w:p>
            <w:pPr>
              <w:pStyle w:val="Compact"/>
              <w:jc w:val="left"/>
            </w:pPr>
            <w:r>
              <w:t xml:space="preserve">总框架</w:t>
            </w:r>
          </w:p>
        </w:tc>
        <w:tc>
          <w:tcPr/>
          <w:p>
            <w:pPr>
              <w:pStyle w:val="Compact"/>
              <w:jc w:val="left"/>
            </w:pPr>
            <w:r>
              <w:t xml:space="preserve">AI深化、自动化饱和与能源约束缓解后形成的社会形态：未来不再收敛为单一现代性，而是进入多条路径并存、系统可稳定但个体高痛苦的状态。</w:t>
            </w:r>
          </w:p>
        </w:tc>
        <w:tc>
          <w:tcPr/>
          <w:p>
            <w:pPr>
              <w:pStyle w:val="Compact"/>
              <w:jc w:val="left"/>
            </w:pPr>
            <w:r>
              <w:t xml:space="preserve">1.4.2, 1.4.3, 1.4.5, 1.5.2, 1.5.3, 1.7.1</w:t>
            </w:r>
          </w:p>
        </w:tc>
      </w:tr>
      <w:tr>
        <w:tc>
          <w:tcPr/>
          <w:p>
            <w:pPr>
              <w:pStyle w:val="Compact"/>
              <w:jc w:val="left"/>
            </w:pPr>
            <w:r>
              <w:rPr>
                <w:bCs/>
                <w:b/>
              </w:rPr>
              <w:t xml:space="preserve">后劳动社会</w:t>
            </w:r>
          </w:p>
        </w:tc>
        <w:tc>
          <w:tcPr/>
          <w:p>
            <w:pPr>
              <w:pStyle w:val="Compact"/>
              <w:jc w:val="left"/>
            </w:pPr>
            <w:r>
              <w:t xml:space="preserve">社会形态</w:t>
            </w:r>
          </w:p>
        </w:tc>
        <w:tc>
          <w:tcPr/>
          <w:p>
            <w:pPr>
              <w:pStyle w:val="Compact"/>
              <w:jc w:val="left"/>
            </w:pPr>
            <w:r>
              <w:t xml:space="preserve">劳动不再稳定承担分配、身份与“被需要感”的核心功能。不是完全无工作，而是劳动不再是大多数人生活结构的总轴心。</w:t>
            </w:r>
          </w:p>
        </w:tc>
        <w:tc>
          <w:tcPr/>
          <w:p>
            <w:pPr>
              <w:pStyle w:val="Compact"/>
              <w:jc w:val="left"/>
            </w:pPr>
            <w:r>
              <w:t xml:space="preserve">1.2.3</w:t>
            </w:r>
          </w:p>
        </w:tc>
      </w:tr>
      <w:tr>
        <w:tc>
          <w:tcPr/>
          <w:p>
            <w:pPr>
              <w:pStyle w:val="Compact"/>
              <w:jc w:val="left"/>
            </w:pPr>
            <w:r>
              <w:rPr>
                <w:bCs/>
                <w:b/>
              </w:rPr>
              <w:t xml:space="preserve">多态稳定</w:t>
            </w:r>
          </w:p>
        </w:tc>
        <w:tc>
          <w:tcPr/>
          <w:p>
            <w:pPr>
              <w:pStyle w:val="Compact"/>
              <w:jc w:val="left"/>
            </w:pPr>
            <w:r>
              <w:t xml:space="preserve">结果状态</w:t>
            </w:r>
          </w:p>
        </w:tc>
        <w:tc>
          <w:tcPr/>
          <w:p>
            <w:pPr>
              <w:pStyle w:val="Compact"/>
              <w:jc w:val="left"/>
            </w:pPr>
            <w:r>
              <w:t xml:space="preserve">不同制度、社区与地区在同一技术冲击下进入不同稳态。强调“并存的稳定”，而不是单一制度的最终胜利。</w:t>
            </w:r>
          </w:p>
        </w:tc>
        <w:tc>
          <w:tcPr/>
          <w:p>
            <w:pPr>
              <w:pStyle w:val="Compact"/>
              <w:jc w:val="left"/>
            </w:pPr>
            <w:r>
              <w:t xml:space="preserve">1.1.2, 1.4.4, 1.5.3, 1.7.3</w:t>
            </w:r>
          </w:p>
        </w:tc>
      </w:tr>
      <w:tr>
        <w:tc>
          <w:tcPr/>
          <w:p>
            <w:pPr>
              <w:pStyle w:val="Compact"/>
              <w:jc w:val="left"/>
            </w:pPr>
            <w:r>
              <w:rPr>
                <w:bCs/>
                <w:b/>
              </w:rPr>
              <w:t xml:space="preserve">模型失效条件</w:t>
            </w:r>
          </w:p>
        </w:tc>
        <w:tc>
          <w:tcPr/>
          <w:p>
            <w:pPr>
              <w:pStyle w:val="Compact"/>
              <w:jc w:val="left"/>
            </w:pPr>
            <w:r>
              <w:t xml:space="preserve">校验框架</w:t>
            </w:r>
          </w:p>
        </w:tc>
        <w:tc>
          <w:tcPr/>
          <w:p>
            <w:pPr>
              <w:pStyle w:val="Compact"/>
              <w:jc w:val="left"/>
            </w:pPr>
            <w:r>
              <w:t xml:space="preserve">当关键前提不成立时，整套推演需要被重估：V1长期低于阙値、V2失败、强共同叙事重新政治化痛苦，或战争灰难迫使国家重建强整合。</w:t>
            </w:r>
          </w:p>
        </w:tc>
        <w:tc>
          <w:tcPr/>
          <w:p>
            <w:pPr>
              <w:pStyle w:val="Compact"/>
              <w:jc w:val="left"/>
            </w:pPr>
            <w:r>
              <w:t xml:space="preserve">1.1.2, 1.2.3</w:t>
            </w:r>
          </w:p>
        </w:tc>
      </w:tr>
      <w:tr>
        <w:tc>
          <w:tcPr/>
          <w:p>
            <w:pPr>
              <w:pStyle w:val="Compact"/>
              <w:jc w:val="left"/>
            </w:pPr>
            <w:r>
              <w:rPr>
                <w:bCs/>
                <w:b/>
              </w:rPr>
              <w:t xml:space="preserve">二、核心变量（V1–V8）</w:t>
            </w:r>
          </w:p>
        </w:tc>
        <w:tc>
          <w:tcPr/>
          <w:p>
            <w:pPr>
              <w:pStyle w:val="Compact"/>
            </w:pPr>
          </w:p>
        </w:tc>
        <w:tc>
          <w:tcPr/>
          <w:p>
            <w:pPr>
              <w:pStyle w:val="Compact"/>
            </w:pPr>
          </w:p>
        </w:tc>
        <w:tc>
          <w:tcPr/>
          <w:p>
            <w:pPr>
              <w:pStyle w:val="Compact"/>
            </w:pPr>
          </w:p>
        </w:tc>
      </w:tr>
      <w:tr>
        <w:tc>
          <w:tcPr/>
          <w:p>
            <w:pPr>
              <w:pStyle w:val="Compact"/>
              <w:jc w:val="left"/>
            </w:pPr>
            <w:r>
              <w:rPr>
                <w:bCs/>
                <w:b/>
              </w:rPr>
              <w:t xml:space="preserve">V1 自动化替代率</w:t>
            </w:r>
          </w:p>
        </w:tc>
        <w:tc>
          <w:tcPr/>
          <w:p>
            <w:pPr>
              <w:pStyle w:val="Compact"/>
              <w:jc w:val="left"/>
            </w:pPr>
            <w:r>
              <w:t xml:space="preserve">变量</w:t>
            </w:r>
          </w:p>
        </w:tc>
        <w:tc>
          <w:tcPr/>
          <w:p>
            <w:pPr>
              <w:pStyle w:val="Compact"/>
              <w:jc w:val="left"/>
            </w:pPr>
            <w:r>
              <w:t xml:space="preserve">AI与机器人对人类劳动的替代程度。第一驱动变量，决定劳动是否还能承担分配、身份与被需要感的中心功能。</w:t>
            </w:r>
          </w:p>
        </w:tc>
        <w:tc>
          <w:tcPr/>
          <w:p>
            <w:pPr>
              <w:pStyle w:val="Compact"/>
              <w:jc w:val="left"/>
            </w:pPr>
            <w:r>
              <w:t xml:space="preserve">1.1.2, 1.2.1, 1.2.2, 1.2.3, 7.1.1</w:t>
            </w:r>
          </w:p>
        </w:tc>
      </w:tr>
      <w:tr>
        <w:tc>
          <w:tcPr/>
          <w:p>
            <w:pPr>
              <w:pStyle w:val="Compact"/>
              <w:jc w:val="left"/>
            </w:pPr>
            <w:r>
              <w:rPr>
                <w:bCs/>
                <w:b/>
              </w:rPr>
              <w:t xml:space="preserve">V2 能源丰裕度</w:t>
            </w:r>
          </w:p>
        </w:tc>
        <w:tc>
          <w:tcPr/>
          <w:p>
            <w:pPr>
              <w:pStyle w:val="Compact"/>
              <w:jc w:val="left"/>
            </w:pPr>
            <w:r>
              <w:t xml:space="preserve">变量</w:t>
            </w:r>
          </w:p>
        </w:tc>
        <w:tc>
          <w:tcPr/>
          <w:p>
            <w:pPr>
              <w:pStyle w:val="Compact"/>
              <w:jc w:val="left"/>
            </w:pPr>
            <w:r>
              <w:t xml:space="preserve">社会以低成本维持生产、通信与基础福利的能力。决定社会的主要矛盾更接近生存危机，还是意义危机。</w:t>
            </w:r>
          </w:p>
        </w:tc>
        <w:tc>
          <w:tcPr/>
          <w:p>
            <w:pPr>
              <w:pStyle w:val="Compact"/>
              <w:jc w:val="left"/>
            </w:pPr>
            <w:r>
              <w:t xml:space="preserve">1.2.1, 1.2.2, 1.2.3, 3.3.2, 3.3.3, 3.17.1</w:t>
            </w:r>
          </w:p>
        </w:tc>
      </w:tr>
      <w:tr>
        <w:tc>
          <w:tcPr/>
          <w:p>
            <w:pPr>
              <w:pStyle w:val="Compact"/>
              <w:jc w:val="left"/>
            </w:pPr>
            <w:r>
              <w:rPr>
                <w:bCs/>
                <w:b/>
              </w:rPr>
              <w:t xml:space="preserve">V3 流动回报率</w:t>
            </w:r>
          </w:p>
        </w:tc>
        <w:tc>
          <w:tcPr/>
          <w:p>
            <w:pPr>
              <w:pStyle w:val="Compact"/>
              <w:jc w:val="left"/>
            </w:pPr>
            <w:r>
              <w:t xml:space="preserve">变量</w:t>
            </w:r>
          </w:p>
        </w:tc>
        <w:tc>
          <w:tcPr/>
          <w:p>
            <w:pPr>
              <w:pStyle w:val="Compact"/>
              <w:jc w:val="left"/>
            </w:pPr>
            <w:r>
              <w:t xml:space="preserve">个体离开本地网络后能否明显改善处境。决定人口继续向中心集中，还是回流地方与社区。</w:t>
            </w:r>
          </w:p>
        </w:tc>
        <w:tc>
          <w:tcPr/>
          <w:p>
            <w:pPr>
              <w:pStyle w:val="Compact"/>
              <w:jc w:val="left"/>
            </w:pPr>
            <w:r>
              <w:t xml:space="preserve">1.2.1</w:t>
            </w:r>
          </w:p>
        </w:tc>
      </w:tr>
      <w:tr>
        <w:tc>
          <w:tcPr/>
          <w:p>
            <w:pPr>
              <w:pStyle w:val="Compact"/>
              <w:jc w:val="left"/>
            </w:pPr>
            <w:r>
              <w:rPr>
                <w:bCs/>
                <w:b/>
              </w:rPr>
              <w:t xml:space="preserve">V4 国家整合能力</w:t>
            </w:r>
          </w:p>
        </w:tc>
        <w:tc>
          <w:tcPr/>
          <w:p>
            <w:pPr>
              <w:pStyle w:val="Compact"/>
              <w:jc w:val="left"/>
            </w:pPr>
            <w:r>
              <w:t xml:space="preserve">变量</w:t>
            </w:r>
          </w:p>
        </w:tc>
        <w:tc>
          <w:tcPr/>
          <w:p>
            <w:pPr>
              <w:pStyle w:val="Compact"/>
              <w:jc w:val="left"/>
            </w:pPr>
            <w:r>
              <w:t xml:space="preserve">国家持续塑造秩序、吸收冲击与维持高密度治理的能力。相同技术冲击在不同路径中的吸收方式，主要受此变量影响。</w:t>
            </w:r>
          </w:p>
        </w:tc>
        <w:tc>
          <w:tcPr/>
          <w:p>
            <w:pPr>
              <w:pStyle w:val="Compact"/>
              <w:jc w:val="left"/>
            </w:pPr>
            <w:r>
              <w:t xml:space="preserve">1.2.1, 1.2.2</w:t>
            </w:r>
          </w:p>
        </w:tc>
      </w:tr>
      <w:tr>
        <w:tc>
          <w:tcPr/>
          <w:p>
            <w:pPr>
              <w:pStyle w:val="Compact"/>
              <w:jc w:val="left"/>
            </w:pPr>
            <w:r>
              <w:rPr>
                <w:bCs/>
                <w:b/>
              </w:rPr>
              <w:t xml:space="preserve">V5 社区吸附力</w:t>
            </w:r>
          </w:p>
        </w:tc>
        <w:tc>
          <w:tcPr/>
          <w:p>
            <w:pPr>
              <w:pStyle w:val="Compact"/>
              <w:jc w:val="left"/>
            </w:pPr>
            <w:r>
              <w:t xml:space="preserve">变量</w:t>
            </w:r>
          </w:p>
        </w:tc>
        <w:tc>
          <w:tcPr/>
          <w:p>
            <w:pPr>
              <w:pStyle w:val="Compact"/>
              <w:jc w:val="left"/>
            </w:pPr>
            <w:r>
              <w:t xml:space="preserve">社区提供归属、互助、身份与低成本生活结构的能力。决定劳动失位后，个体能否被非市场关系网络承接。</w:t>
            </w:r>
          </w:p>
        </w:tc>
        <w:tc>
          <w:tcPr/>
          <w:p>
            <w:pPr>
              <w:pStyle w:val="Compact"/>
              <w:jc w:val="left"/>
            </w:pPr>
            <w:r>
              <w:t xml:space="preserve">1.2.1</w:t>
            </w:r>
          </w:p>
        </w:tc>
      </w:tr>
      <w:tr>
        <w:tc>
          <w:tcPr/>
          <w:p>
            <w:pPr>
              <w:pStyle w:val="Compact"/>
              <w:jc w:val="left"/>
            </w:pPr>
            <w:r>
              <w:rPr>
                <w:bCs/>
                <w:b/>
              </w:rPr>
              <w:t xml:space="preserve">V6 意义供给能力</w:t>
            </w:r>
          </w:p>
        </w:tc>
        <w:tc>
          <w:tcPr/>
          <w:p>
            <w:pPr>
              <w:pStyle w:val="Compact"/>
              <w:jc w:val="left"/>
            </w:pPr>
            <w:r>
              <w:t xml:space="preserve">变量</w:t>
            </w:r>
          </w:p>
        </w:tc>
        <w:tc>
          <w:tcPr/>
          <w:p>
            <w:pPr>
              <w:pStyle w:val="Compact"/>
              <w:jc w:val="left"/>
            </w:pPr>
            <w:r>
              <w:t xml:space="preserve">社会为个体提供稳定价値感与生活目的的能力。解释闲暇会转化为创造与参与，还是转化为空虚与失重。</w:t>
            </w:r>
          </w:p>
        </w:tc>
        <w:tc>
          <w:tcPr/>
          <w:p>
            <w:pPr>
              <w:pStyle w:val="Compact"/>
              <w:jc w:val="left"/>
            </w:pPr>
            <w:r>
              <w:t xml:space="preserve">1.2.1, 1.2.2</w:t>
            </w:r>
          </w:p>
        </w:tc>
      </w:tr>
      <w:tr>
        <w:tc>
          <w:tcPr/>
          <w:p>
            <w:pPr>
              <w:pStyle w:val="Compact"/>
              <w:jc w:val="left"/>
            </w:pPr>
            <w:r>
              <w:rPr>
                <w:bCs/>
                <w:b/>
              </w:rPr>
              <w:t xml:space="preserve">V7 痛苦政治化程度</w:t>
            </w:r>
          </w:p>
        </w:tc>
        <w:tc>
          <w:tcPr/>
          <w:p>
            <w:pPr>
              <w:pStyle w:val="Compact"/>
              <w:jc w:val="left"/>
            </w:pPr>
            <w:r>
              <w:t xml:space="preserve">变量</w:t>
            </w:r>
          </w:p>
        </w:tc>
        <w:tc>
          <w:tcPr/>
          <w:p>
            <w:pPr>
              <w:pStyle w:val="Compact"/>
              <w:jc w:val="left"/>
            </w:pPr>
            <w:r>
              <w:t xml:space="preserve">个体痛苦被组织、叙述并转化为集体行动的能力。决定“高痛苦”是否会进一步变成“高动荡”；触发机制与阙値差异分析见第1.2.1节。</w:t>
            </w:r>
          </w:p>
        </w:tc>
        <w:tc>
          <w:tcPr/>
          <w:p>
            <w:pPr>
              <w:pStyle w:val="Compact"/>
              <w:jc w:val="left"/>
            </w:pPr>
            <w:r>
              <w:t xml:space="preserve">1.1.2, 1.2.1, 1.2.3, 5.7.1, 5.7.2, 7.1.2</w:t>
            </w:r>
          </w:p>
        </w:tc>
      </w:tr>
      <w:tr>
        <w:tc>
          <w:tcPr/>
          <w:p>
            <w:pPr>
              <w:pStyle w:val="Compact"/>
              <w:jc w:val="left"/>
            </w:pPr>
            <w:r>
              <w:rPr>
                <w:bCs/>
                <w:b/>
              </w:rPr>
              <w:t xml:space="preserve">V8 历史滞后量</w:t>
            </w:r>
          </w:p>
        </w:tc>
        <w:tc>
          <w:tcPr/>
          <w:p>
            <w:pPr>
              <w:pStyle w:val="Compact"/>
              <w:jc w:val="left"/>
            </w:pPr>
            <w:r>
              <w:t xml:space="preserve">变量</w:t>
            </w:r>
          </w:p>
        </w:tc>
        <w:tc>
          <w:tcPr/>
          <w:p>
            <w:pPr>
              <w:pStyle w:val="Compact"/>
              <w:jc w:val="left"/>
            </w:pPr>
            <w:r>
              <w:t xml:space="preserve">同一技术冲击在不同路径中被消化所需的时间差。解释为何同一物理年份里，不同地区实际上处于不同历史阶段。</w:t>
            </w:r>
          </w:p>
        </w:tc>
        <w:tc>
          <w:tcPr/>
          <w:p>
            <w:pPr>
              <w:pStyle w:val="Compact"/>
              <w:jc w:val="left"/>
            </w:pPr>
            <w:r>
              <w:t xml:space="preserve">1.2.1, 1.2.2</w:t>
            </w:r>
          </w:p>
        </w:tc>
      </w:tr>
      <w:tr>
        <w:tc>
          <w:tcPr/>
          <w:p>
            <w:pPr>
              <w:pStyle w:val="Compact"/>
              <w:jc w:val="left"/>
            </w:pPr>
            <w:r>
              <w:rPr>
                <w:bCs/>
                <w:b/>
              </w:rPr>
              <w:t xml:space="preserve">三、主因果链与核心机制</w:t>
            </w:r>
          </w:p>
        </w:tc>
        <w:tc>
          <w:tcPr/>
          <w:p>
            <w:pPr>
              <w:pStyle w:val="Compact"/>
            </w:pPr>
          </w:p>
        </w:tc>
        <w:tc>
          <w:tcPr/>
          <w:p>
            <w:pPr>
              <w:pStyle w:val="Compact"/>
            </w:pPr>
          </w:p>
        </w:tc>
        <w:tc>
          <w:tcPr/>
          <w:p>
            <w:pPr>
              <w:pStyle w:val="Compact"/>
            </w:pPr>
          </w:p>
        </w:tc>
      </w:tr>
      <w:tr>
        <w:tc>
          <w:tcPr/>
          <w:p>
            <w:pPr>
              <w:pStyle w:val="Compact"/>
              <w:jc w:val="left"/>
            </w:pPr>
            <w:r>
              <w:rPr>
                <w:bCs/>
                <w:b/>
              </w:rPr>
              <w:t xml:space="preserve">劳动失位</w:t>
            </w:r>
          </w:p>
        </w:tc>
        <w:tc>
          <w:tcPr/>
          <w:p>
            <w:pPr>
              <w:pStyle w:val="Compact"/>
              <w:jc w:val="left"/>
            </w:pPr>
            <w:r>
              <w:t xml:space="preserve">主链A</w:t>
            </w:r>
          </w:p>
        </w:tc>
        <w:tc>
          <w:tcPr/>
          <w:p>
            <w:pPr>
              <w:pStyle w:val="Compact"/>
              <w:jc w:val="left"/>
            </w:pPr>
            <w:r>
              <w:t xml:space="preserve">V1上升后，标准化劳动价値下降，大量个体失去“被需要的位置”，意义危机由此扩散。</w:t>
            </w:r>
          </w:p>
        </w:tc>
        <w:tc>
          <w:tcPr/>
          <w:p>
            <w:pPr>
              <w:pStyle w:val="Compact"/>
              <w:jc w:val="left"/>
            </w:pPr>
            <w:r>
              <w:t xml:space="preserve">1.1.2, 1.2.1, 1.2.2</w:t>
            </w:r>
          </w:p>
        </w:tc>
      </w:tr>
      <w:tr>
        <w:tc>
          <w:tcPr/>
          <w:p>
            <w:pPr>
              <w:pStyle w:val="Compact"/>
              <w:jc w:val="left"/>
            </w:pPr>
            <w:r>
              <w:rPr>
                <w:bCs/>
                <w:b/>
              </w:rPr>
              <w:t xml:space="preserve">流动衰退</w:t>
            </w:r>
          </w:p>
        </w:tc>
        <w:tc>
          <w:tcPr/>
          <w:p>
            <w:pPr>
              <w:pStyle w:val="Compact"/>
              <w:jc w:val="left"/>
            </w:pPr>
            <w:r>
              <w:t xml:space="preserve">主链B</w:t>
            </w:r>
          </w:p>
        </w:tc>
        <w:tc>
          <w:tcPr/>
          <w:p>
            <w:pPr>
              <w:pStyle w:val="Compact"/>
              <w:jc w:val="left"/>
            </w:pPr>
            <w:r>
              <w:t xml:space="preserve">随着跨地域流动收益下降，本地关系网络相对升値，人口逐步回流地方社区，社区重新成为基础组织单位。</w:t>
            </w:r>
          </w:p>
        </w:tc>
        <w:tc>
          <w:tcPr/>
          <w:p>
            <w:pPr>
              <w:pStyle w:val="Compact"/>
              <w:jc w:val="left"/>
            </w:pPr>
            <w:r>
              <w:t xml:space="preserve">1.2.2</w:t>
            </w:r>
          </w:p>
        </w:tc>
      </w:tr>
      <w:tr>
        <w:tc>
          <w:tcPr/>
          <w:p>
            <w:pPr>
              <w:pStyle w:val="Compact"/>
              <w:jc w:val="left"/>
            </w:pPr>
            <w:r>
              <w:rPr>
                <w:bCs/>
                <w:b/>
              </w:rPr>
              <w:t xml:space="preserve">稳定非幸福</w:t>
            </w:r>
          </w:p>
        </w:tc>
        <w:tc>
          <w:tcPr/>
          <w:p>
            <w:pPr>
              <w:pStyle w:val="Compact"/>
              <w:jc w:val="left"/>
            </w:pPr>
            <w:r>
              <w:t xml:space="preserve">主链C</w:t>
            </w:r>
          </w:p>
        </w:tc>
        <w:tc>
          <w:tcPr/>
          <w:p>
            <w:pPr>
              <w:pStyle w:val="Compact"/>
              <w:jc w:val="left"/>
            </w:pPr>
            <w:r>
              <w:t xml:space="preserve">当V2上升、基础供给稳定而V6没有同步增强时，生存焦虑下降但痛苦被私人化，系统稳定，个体却持续痛苦。</w:t>
            </w:r>
          </w:p>
        </w:tc>
        <w:tc>
          <w:tcPr/>
          <w:p>
            <w:pPr>
              <w:pStyle w:val="Compact"/>
              <w:jc w:val="left"/>
            </w:pPr>
            <w:r>
              <w:t xml:space="preserve">1.2.2</w:t>
            </w:r>
          </w:p>
        </w:tc>
      </w:tr>
      <w:tr>
        <w:tc>
          <w:tcPr/>
          <w:p>
            <w:pPr>
              <w:pStyle w:val="Compact"/>
              <w:jc w:val="left"/>
            </w:pPr>
            <w:r>
              <w:rPr>
                <w:bCs/>
                <w:b/>
              </w:rPr>
              <w:t xml:space="preserve">相互忽视均衡</w:t>
            </w:r>
          </w:p>
        </w:tc>
        <w:tc>
          <w:tcPr/>
          <w:p>
            <w:pPr>
              <w:pStyle w:val="Compact"/>
              <w:jc w:val="left"/>
            </w:pPr>
            <w:r>
              <w:t xml:space="preserve">主链D/稳定机制</w:t>
            </w:r>
          </w:p>
        </w:tc>
        <w:tc>
          <w:tcPr/>
          <w:p>
            <w:pPr>
              <w:pStyle w:val="Compact"/>
              <w:jc w:val="left"/>
            </w:pPr>
            <w:r>
              <w:t xml:space="preserve">AI时代资本与国家对边缘人口的整合收益下降，而退出社区的对抗收益也很低，双方在成本收益上自然收敛到“低冲突、低整合、低期待”的均衡。</w:t>
            </w:r>
          </w:p>
        </w:tc>
        <w:tc>
          <w:tcPr/>
          <w:p>
            <w:pPr>
              <w:pStyle w:val="Compact"/>
              <w:jc w:val="left"/>
            </w:pPr>
            <w:r>
              <w:t xml:space="preserve">1.1.2, 1.2.1, 1.2.2, 1.4.3, 1.4.6, 3.6.3</w:t>
            </w:r>
          </w:p>
        </w:tc>
      </w:tr>
      <w:tr>
        <w:tc>
          <w:tcPr/>
          <w:p>
            <w:pPr>
              <w:pStyle w:val="Compact"/>
              <w:jc w:val="left"/>
            </w:pPr>
            <w:r>
              <w:rPr>
                <w:bCs/>
                <w:b/>
              </w:rPr>
              <w:t xml:space="preserve">多态分化</w:t>
            </w:r>
          </w:p>
        </w:tc>
        <w:tc>
          <w:tcPr/>
          <w:p>
            <w:pPr>
              <w:pStyle w:val="Compact"/>
              <w:jc w:val="left"/>
            </w:pPr>
            <w:r>
              <w:t xml:space="preserve">主链E</w:t>
            </w:r>
          </w:p>
        </w:tc>
        <w:tc>
          <w:tcPr/>
          <w:p>
            <w:pPr>
              <w:pStyle w:val="Compact"/>
              <w:jc w:val="left"/>
            </w:pPr>
            <w:r>
              <w:t xml:space="preserve">同一技术冲击与V4、V8的差异叠加后，不同社会进入不同稳态，单一未来被分解为多种并存路径。</w:t>
            </w:r>
          </w:p>
        </w:tc>
        <w:tc>
          <w:tcPr/>
          <w:p>
            <w:pPr>
              <w:pStyle w:val="Compact"/>
              <w:jc w:val="left"/>
            </w:pPr>
            <w:r>
              <w:t xml:space="preserve">1.2.2</w:t>
            </w:r>
          </w:p>
        </w:tc>
      </w:tr>
      <w:tr>
        <w:tc>
          <w:tcPr/>
          <w:p>
            <w:pPr>
              <w:pStyle w:val="Compact"/>
              <w:jc w:val="left"/>
            </w:pPr>
            <w:r>
              <w:rPr>
                <w:bCs/>
                <w:b/>
              </w:rPr>
              <w:t xml:space="preserve">技术背景化</w:t>
            </w:r>
          </w:p>
        </w:tc>
        <w:tc>
          <w:tcPr/>
          <w:p>
            <w:pPr>
              <w:pStyle w:val="Compact"/>
              <w:jc w:val="left"/>
            </w:pPr>
            <w:r>
              <w:t xml:space="preserve">主链F</w:t>
            </w:r>
          </w:p>
        </w:tc>
        <w:tc>
          <w:tcPr/>
          <w:p>
            <w:pPr>
              <w:pStyle w:val="Compact"/>
              <w:jc w:val="left"/>
            </w:pPr>
            <w:r>
              <w:t xml:space="preserve">聚变、AI与自动化成熟后，不再被日常感知为“突破”，而是退到背景层，社会问题的中心转向“如何活着”。</w:t>
            </w:r>
          </w:p>
        </w:tc>
        <w:tc>
          <w:tcPr/>
          <w:p>
            <w:pPr>
              <w:pStyle w:val="Compact"/>
              <w:jc w:val="left"/>
            </w:pPr>
            <w:r>
              <w:t xml:space="preserve">1.2.2</w:t>
            </w:r>
          </w:p>
        </w:tc>
      </w:tr>
      <w:tr>
        <w:tc>
          <w:tcPr/>
          <w:p>
            <w:pPr>
              <w:pStyle w:val="Compact"/>
              <w:jc w:val="left"/>
            </w:pPr>
            <w:r>
              <w:rPr>
                <w:bCs/>
                <w:b/>
              </w:rPr>
              <w:t xml:space="preserve">流动性衰退机制</w:t>
            </w:r>
          </w:p>
        </w:tc>
        <w:tc>
          <w:tcPr/>
          <w:p>
            <w:pPr>
              <w:pStyle w:val="Compact"/>
              <w:jc w:val="left"/>
            </w:pPr>
            <w:r>
              <w:t xml:space="preserve">社会机制</w:t>
            </w:r>
          </w:p>
        </w:tc>
        <w:tc>
          <w:tcPr/>
          <w:p>
            <w:pPr>
              <w:pStyle w:val="Compact"/>
              <w:jc w:val="left"/>
            </w:pPr>
            <w:r>
              <w:t xml:space="preserve">流动的收益端缩水、成本端上升，本地社会资本因不可携带而升値，留下来逐渐成为理性选择。</w:t>
            </w:r>
          </w:p>
        </w:tc>
        <w:tc>
          <w:tcPr/>
          <w:p>
            <w:pPr>
              <w:pStyle w:val="Compact"/>
              <w:jc w:val="left"/>
            </w:pPr>
            <w:r>
              <w:t xml:space="preserve">1.4.2, 1.4.3, 1.4.4</w:t>
            </w:r>
          </w:p>
        </w:tc>
      </w:tr>
      <w:tr>
        <w:tc>
          <w:tcPr/>
          <w:p>
            <w:pPr>
              <w:pStyle w:val="Compact"/>
              <w:jc w:val="left"/>
            </w:pPr>
            <w:r>
              <w:rPr>
                <w:bCs/>
                <w:b/>
              </w:rPr>
              <w:t xml:space="preserve">价値感机制</w:t>
            </w:r>
          </w:p>
        </w:tc>
        <w:tc>
          <w:tcPr/>
          <w:p>
            <w:pPr>
              <w:pStyle w:val="Compact"/>
              <w:jc w:val="left"/>
            </w:pPr>
            <w:r>
              <w:t xml:space="preserve">社会机制</w:t>
            </w:r>
          </w:p>
        </w:tc>
        <w:tc>
          <w:tcPr/>
          <w:p>
            <w:pPr>
              <w:pStyle w:val="Compact"/>
              <w:jc w:val="left"/>
            </w:pPr>
            <w:r>
              <w:t xml:space="preserve">在市场不再稳定赋予大多数人价値时，本地社区中的被需要、被认识与被信任，转而构成新的价値确认系统。</w:t>
            </w:r>
          </w:p>
        </w:tc>
        <w:tc>
          <w:tcPr/>
          <w:p>
            <w:pPr>
              <w:pStyle w:val="Compact"/>
              <w:jc w:val="left"/>
            </w:pPr>
            <w:r>
              <w:t xml:space="preserve">—</w:t>
            </w:r>
          </w:p>
        </w:tc>
      </w:tr>
      <w:tr>
        <w:tc>
          <w:tcPr/>
          <w:p>
            <w:pPr>
              <w:pStyle w:val="Compact"/>
              <w:jc w:val="left"/>
            </w:pPr>
            <w:r>
              <w:rPr>
                <w:bCs/>
                <w:b/>
              </w:rPr>
              <w:t xml:space="preserve">被需要感</w:t>
            </w:r>
          </w:p>
        </w:tc>
        <w:tc>
          <w:tcPr/>
          <w:p>
            <w:pPr>
              <w:pStyle w:val="Compact"/>
              <w:jc w:val="left"/>
            </w:pPr>
            <w:r>
              <w:t xml:space="preserve">心理机制</w:t>
            </w:r>
          </w:p>
        </w:tc>
        <w:tc>
          <w:tcPr/>
          <w:p>
            <w:pPr>
              <w:pStyle w:val="Compact"/>
              <w:jc w:val="left"/>
            </w:pPr>
            <w:r>
              <w:t xml:space="preserve">价値感并不只来自收入，而更来自在具体关系网络中拥有一个被他人真实需要的位置。本文对意义的核心解释之一。</w:t>
            </w:r>
          </w:p>
        </w:tc>
        <w:tc>
          <w:tcPr/>
          <w:p>
            <w:pPr>
              <w:pStyle w:val="Compact"/>
              <w:jc w:val="left"/>
            </w:pPr>
            <w:r>
              <w:t xml:space="preserve">1.2.1, 1.4.4.1, 1.7.1, 5.7.4, 6.7.9</w:t>
            </w:r>
          </w:p>
        </w:tc>
      </w:tr>
      <w:tr>
        <w:tc>
          <w:tcPr/>
          <w:p>
            <w:pPr>
              <w:pStyle w:val="Compact"/>
              <w:jc w:val="left"/>
            </w:pPr>
            <w:r>
              <w:rPr>
                <w:bCs/>
                <w:b/>
              </w:rPr>
              <w:t xml:space="preserve">社区回流</w:t>
            </w:r>
          </w:p>
        </w:tc>
        <w:tc>
          <w:tcPr/>
          <w:p>
            <w:pPr>
              <w:pStyle w:val="Compact"/>
              <w:jc w:val="left"/>
            </w:pPr>
            <w:r>
              <w:t xml:space="preserve">人口机制</w:t>
            </w:r>
          </w:p>
        </w:tc>
        <w:tc>
          <w:tcPr/>
          <w:p>
            <w:pPr>
              <w:pStyle w:val="Compact"/>
              <w:jc w:val="left"/>
            </w:pPr>
            <w:r>
              <w:t xml:space="preserve">人口从高度流动状态回到更稳定的地方生活结构。是多态社会形成的关键中介，而非单纯的文化保守化。</w:t>
            </w:r>
          </w:p>
        </w:tc>
        <w:tc>
          <w:tcPr/>
          <w:p>
            <w:pPr>
              <w:pStyle w:val="Compact"/>
              <w:jc w:val="left"/>
            </w:pPr>
            <w:r>
              <w:t xml:space="preserve">1.2.2</w:t>
            </w:r>
          </w:p>
        </w:tc>
      </w:tr>
      <w:tr>
        <w:tc>
          <w:tcPr/>
          <w:p>
            <w:pPr>
              <w:pStyle w:val="Compact"/>
              <w:jc w:val="left"/>
            </w:pPr>
            <w:r>
              <w:rPr>
                <w:bCs/>
                <w:b/>
              </w:rPr>
              <w:t xml:space="preserve">四、时间结构与滞后量</w:t>
            </w:r>
          </w:p>
        </w:tc>
        <w:tc>
          <w:tcPr/>
          <w:p>
            <w:pPr>
              <w:pStyle w:val="Compact"/>
            </w:pPr>
          </w:p>
        </w:tc>
        <w:tc>
          <w:tcPr/>
          <w:p>
            <w:pPr>
              <w:pStyle w:val="Compact"/>
            </w:pPr>
          </w:p>
        </w:tc>
        <w:tc>
          <w:tcPr/>
          <w:p>
            <w:pPr>
              <w:pStyle w:val="Compact"/>
            </w:pPr>
          </w:p>
        </w:tc>
      </w:tr>
      <w:tr>
        <w:tc>
          <w:tcPr/>
          <w:p>
            <w:pPr>
              <w:pStyle w:val="Compact"/>
              <w:jc w:val="left"/>
            </w:pPr>
            <w:r>
              <w:rPr>
                <w:bCs/>
                <w:b/>
              </w:rPr>
              <w:t xml:space="preserve">前聚变动荡期</w:t>
            </w:r>
          </w:p>
        </w:tc>
        <w:tc>
          <w:tcPr/>
          <w:p>
            <w:pPr>
              <w:pStyle w:val="Compact"/>
              <w:jc w:val="left"/>
            </w:pPr>
            <w:r>
              <w:t xml:space="preserve">历史阶段</w:t>
            </w:r>
          </w:p>
        </w:tc>
        <w:tc>
          <w:tcPr/>
          <w:p>
            <w:pPr>
              <w:pStyle w:val="Compact"/>
              <w:jc w:val="left"/>
            </w:pPr>
            <w:r>
              <w:t xml:space="preserve">圈2026—2044年的高不确定阶段。AI冲击先到，聚变红利未落地，制度响应滞后，身份真空与政治极化最容易爆发。</w:t>
            </w:r>
          </w:p>
        </w:tc>
        <w:tc>
          <w:tcPr/>
          <w:p>
            <w:pPr>
              <w:pStyle w:val="Compact"/>
              <w:jc w:val="left"/>
            </w:pPr>
            <w:r>
              <w:t xml:space="preserve">1.1.2, 1.5.3, 1.7.3, 4.6.4</w:t>
            </w:r>
          </w:p>
        </w:tc>
      </w:tr>
      <w:tr>
        <w:tc>
          <w:tcPr/>
          <w:p>
            <w:pPr>
              <w:pStyle w:val="Compact"/>
              <w:jc w:val="left"/>
            </w:pPr>
            <w:r>
              <w:rPr>
                <w:bCs/>
                <w:b/>
              </w:rPr>
              <w:t xml:space="preserve">动荡期</w:t>
            </w:r>
          </w:p>
        </w:tc>
        <w:tc>
          <w:tcPr/>
          <w:p>
            <w:pPr>
              <w:pStyle w:val="Compact"/>
              <w:jc w:val="left"/>
            </w:pPr>
            <w:r>
              <w:t xml:space="preserve">历史过程</w:t>
            </w:r>
          </w:p>
        </w:tc>
        <w:tc>
          <w:tcPr/>
          <w:p>
            <w:pPr>
              <w:pStyle w:val="Compact"/>
              <w:jc w:val="left"/>
            </w:pPr>
            <w:r>
              <w:t xml:space="preserve">不是单一时段，而是各路径以不同速度经历的压力积累与消化过程。发达路径、全球南方与被遗忘地带的动荡并不同步。</w:t>
            </w:r>
          </w:p>
        </w:tc>
        <w:tc>
          <w:tcPr/>
          <w:p>
            <w:pPr>
              <w:pStyle w:val="Compact"/>
              <w:jc w:val="left"/>
            </w:pPr>
            <w:r>
              <w:t xml:space="preserve">1.1.2, 1.5.3, 1.7.3, 2.3.3, 3.20.3, 4.1.1</w:t>
            </w:r>
          </w:p>
        </w:tc>
      </w:tr>
      <w:tr>
        <w:tc>
          <w:tcPr/>
          <w:p>
            <w:pPr>
              <w:pStyle w:val="Compact"/>
              <w:jc w:val="left"/>
            </w:pPr>
            <w:r>
              <w:rPr>
                <w:bCs/>
                <w:b/>
              </w:rPr>
              <w:t xml:space="preserve">L1 技术部署</w:t>
            </w:r>
          </w:p>
        </w:tc>
        <w:tc>
          <w:tcPr/>
          <w:p>
            <w:pPr>
              <w:pStyle w:val="Compact"/>
              <w:jc w:val="left"/>
            </w:pPr>
            <w:r>
              <w:t xml:space="preserve">滞后层级</w:t>
            </w:r>
          </w:p>
        </w:tc>
        <w:tc>
          <w:tcPr/>
          <w:p>
            <w:pPr>
              <w:pStyle w:val="Compact"/>
              <w:jc w:val="left"/>
            </w:pPr>
            <w:r>
              <w:t xml:space="preserve">从技术突破到规模化可用的阶段。技术已出现，但尚未真正改变社会成本结构。</w:t>
            </w:r>
          </w:p>
        </w:tc>
        <w:tc>
          <w:tcPr/>
          <w:p>
            <w:pPr>
              <w:pStyle w:val="Compact"/>
              <w:jc w:val="left"/>
            </w:pPr>
            <w:r>
              <w:t xml:space="preserve">1.7.3, 2.3.1, 2.3.2, 2.3.3</w:t>
            </w:r>
          </w:p>
        </w:tc>
      </w:tr>
      <w:tr>
        <w:tc>
          <w:tcPr/>
          <w:p>
            <w:pPr>
              <w:pStyle w:val="Compact"/>
              <w:jc w:val="left"/>
            </w:pPr>
            <w:r>
              <w:rPr>
                <w:bCs/>
                <w:b/>
              </w:rPr>
              <w:t xml:space="preserve">L2 经济渗透</w:t>
            </w:r>
          </w:p>
        </w:tc>
        <w:tc>
          <w:tcPr/>
          <w:p>
            <w:pPr>
              <w:pStyle w:val="Compact"/>
              <w:jc w:val="left"/>
            </w:pPr>
            <w:r>
              <w:t xml:space="preserve">滞后层级</w:t>
            </w:r>
          </w:p>
        </w:tc>
        <w:tc>
          <w:tcPr/>
          <w:p>
            <w:pPr>
              <w:pStyle w:val="Compact"/>
              <w:jc w:val="left"/>
            </w:pPr>
            <w:r>
              <w:t xml:space="preserve">技术进入生产体系并改变成本结构的阶段。标志不是“能用”，而是“开始改写经济逻辑”。</w:t>
            </w:r>
          </w:p>
        </w:tc>
        <w:tc>
          <w:tcPr/>
          <w:p>
            <w:pPr>
              <w:pStyle w:val="Compact"/>
              <w:jc w:val="left"/>
            </w:pPr>
            <w:r>
              <w:t xml:space="preserve">1.7.3, 2.3.1, 2.3.2, 2.3.3, 5.1.4</w:t>
            </w:r>
          </w:p>
        </w:tc>
      </w:tr>
      <w:tr>
        <w:tc>
          <w:tcPr/>
          <w:p>
            <w:pPr>
              <w:pStyle w:val="Compact"/>
              <w:jc w:val="left"/>
            </w:pPr>
            <w:r>
              <w:rPr>
                <w:bCs/>
                <w:b/>
              </w:rPr>
              <w:t xml:space="preserve">L3 制度响应</w:t>
            </w:r>
          </w:p>
        </w:tc>
        <w:tc>
          <w:tcPr/>
          <w:p>
            <w:pPr>
              <w:pStyle w:val="Compact"/>
              <w:jc w:val="left"/>
            </w:pPr>
            <w:r>
              <w:t xml:space="preserve">滞后层级</w:t>
            </w:r>
          </w:p>
        </w:tc>
        <w:tc>
          <w:tcPr/>
          <w:p>
            <w:pPr>
              <w:pStyle w:val="Compact"/>
              <w:jc w:val="left"/>
            </w:pPr>
            <w:r>
              <w:t xml:space="preserve">法律、福利、治理与货币财政结构对技术冲击作出调整的阶段。政治博弈通常在这里最密集。</w:t>
            </w:r>
          </w:p>
        </w:tc>
        <w:tc>
          <w:tcPr/>
          <w:p>
            <w:pPr>
              <w:pStyle w:val="Compact"/>
              <w:jc w:val="left"/>
            </w:pPr>
            <w:r>
              <w:t xml:space="preserve">1.7.3, 2.3.1, 2.3.3, 5.1.4, 5.6.5</w:t>
            </w:r>
          </w:p>
        </w:tc>
      </w:tr>
      <w:tr>
        <w:tc>
          <w:tcPr/>
          <w:p>
            <w:pPr>
              <w:pStyle w:val="Compact"/>
              <w:jc w:val="left"/>
            </w:pPr>
            <w:r>
              <w:rPr>
                <w:bCs/>
                <w:b/>
              </w:rPr>
              <w:t xml:space="preserve">L4 社会文化吸收</w:t>
            </w:r>
          </w:p>
        </w:tc>
        <w:tc>
          <w:tcPr/>
          <w:p>
            <w:pPr>
              <w:pStyle w:val="Compact"/>
              <w:jc w:val="left"/>
            </w:pPr>
            <w:r>
              <w:t xml:space="preserve">滞后层级</w:t>
            </w:r>
          </w:p>
        </w:tc>
        <w:tc>
          <w:tcPr/>
          <w:p>
            <w:pPr>
              <w:pStyle w:val="Compact"/>
              <w:jc w:val="left"/>
            </w:pPr>
            <w:r>
              <w:t xml:space="preserve">价値观、意义框架与行为模式完成代际吸收的阶段。最慢，也最决定一个社会是否真正“消化”了技术冲击。</w:t>
            </w:r>
          </w:p>
        </w:tc>
        <w:tc>
          <w:tcPr/>
          <w:p>
            <w:pPr>
              <w:pStyle w:val="Compact"/>
              <w:jc w:val="left"/>
            </w:pPr>
            <w:r>
              <w:t xml:space="preserve">1.7.3, 2.3.1, 2.3.3, 5.7.5, 6.8.2</w:t>
            </w:r>
          </w:p>
        </w:tc>
      </w:tr>
      <w:tr>
        <w:tc>
          <w:tcPr/>
          <w:p>
            <w:pPr>
              <w:pStyle w:val="Compact"/>
              <w:jc w:val="left"/>
            </w:pPr>
            <w:r>
              <w:rPr>
                <w:bCs/>
                <w:b/>
              </w:rPr>
              <w:t xml:space="preserve">功能性历史时间</w:t>
            </w:r>
          </w:p>
        </w:tc>
        <w:tc>
          <w:tcPr/>
          <w:p>
            <w:pPr>
              <w:pStyle w:val="Compact"/>
              <w:jc w:val="left"/>
            </w:pPr>
            <w:r>
              <w:t xml:space="preserve">时间观</w:t>
            </w:r>
          </w:p>
        </w:tc>
        <w:tc>
          <w:tcPr/>
          <w:p>
            <w:pPr>
              <w:pStyle w:val="Compact"/>
              <w:jc w:val="left"/>
            </w:pPr>
            <w:r>
              <w:t xml:space="preserve">不同路径在同一物理年份中处于不同的L1—L4进度，因而“活在不同的现在”。多态社会最关键的时间结构概念。</w:t>
            </w:r>
          </w:p>
        </w:tc>
        <w:tc>
          <w:tcPr/>
          <w:p>
            <w:pPr>
              <w:pStyle w:val="Compact"/>
              <w:jc w:val="left"/>
            </w:pPr>
            <w:r>
              <w:t xml:space="preserve">1.5.1, 1.7.3, 5.10.3</w:t>
            </w:r>
          </w:p>
        </w:tc>
      </w:tr>
      <w:tr>
        <w:tc>
          <w:tcPr/>
          <w:p>
            <w:pPr>
              <w:pStyle w:val="Compact"/>
              <w:jc w:val="left"/>
            </w:pPr>
            <w:r>
              <w:rPr>
                <w:bCs/>
                <w:b/>
              </w:rPr>
              <w:t xml:space="preserve">双主线</w:t>
            </w:r>
          </w:p>
        </w:tc>
        <w:tc>
          <w:tcPr/>
          <w:p>
            <w:pPr>
              <w:pStyle w:val="Compact"/>
              <w:jc w:val="left"/>
            </w:pPr>
            <w:r>
              <w:t xml:space="preserve">时间框架</w:t>
            </w:r>
          </w:p>
        </w:tc>
        <w:tc>
          <w:tcPr/>
          <w:p>
            <w:pPr>
              <w:pStyle w:val="Compact"/>
              <w:jc w:val="left"/>
            </w:pPr>
            <w:r>
              <w:t xml:space="preserve">AI主线与聚变主线并行推进、相互强化又不同步完成、2072世界的命运由两条主线的交汇方式决定。</w:t>
            </w:r>
          </w:p>
        </w:tc>
        <w:tc>
          <w:tcPr/>
          <w:p>
            <w:pPr>
              <w:pStyle w:val="Compact"/>
              <w:jc w:val="left"/>
            </w:pPr>
            <w:r>
              <w:t xml:space="preserve">2.3.3</w:t>
            </w:r>
          </w:p>
        </w:tc>
      </w:tr>
      <w:tr>
        <w:tc>
          <w:tcPr/>
          <w:p>
            <w:pPr>
              <w:pStyle w:val="Compact"/>
              <w:jc w:val="left"/>
            </w:pPr>
            <w:r>
              <w:rPr>
                <w:bCs/>
                <w:b/>
              </w:rPr>
              <w:t xml:space="preserve">五、路径与地理空间</w:t>
            </w:r>
          </w:p>
        </w:tc>
        <w:tc>
          <w:tcPr/>
          <w:p>
            <w:pPr>
              <w:pStyle w:val="Compact"/>
            </w:pPr>
          </w:p>
        </w:tc>
        <w:tc>
          <w:tcPr/>
          <w:p>
            <w:pPr>
              <w:pStyle w:val="Compact"/>
            </w:pPr>
          </w:p>
        </w:tc>
        <w:tc>
          <w:tcPr/>
          <w:p>
            <w:pPr>
              <w:pStyle w:val="Compact"/>
            </w:pPr>
          </w:p>
        </w:tc>
      </w:tr>
      <w:tr>
        <w:tc>
          <w:tcPr/>
          <w:p>
            <w:pPr>
              <w:pStyle w:val="Compact"/>
              <w:jc w:val="left"/>
            </w:pPr>
            <w:r>
              <w:rPr>
                <w:bCs/>
                <w:b/>
              </w:rPr>
              <w:t xml:space="preserve">A1体系</w:t>
            </w:r>
          </w:p>
        </w:tc>
        <w:tc>
          <w:tcPr/>
          <w:p>
            <w:pPr>
              <w:pStyle w:val="Compact"/>
              <w:jc w:val="left"/>
            </w:pPr>
            <w:r>
              <w:t xml:space="preserve">路径术语</w:t>
            </w:r>
          </w:p>
        </w:tc>
        <w:tc>
          <w:tcPr/>
          <w:p>
            <w:pPr>
              <w:pStyle w:val="Compact"/>
              <w:jc w:val="left"/>
            </w:pPr>
            <w:r>
              <w:t xml:space="preserve">以高技术、高协商密度与相对开放政治结构为特征的民主市场体系核心路径。制度弹性强，但响应慢、内部分化显著。</w:t>
            </w:r>
          </w:p>
        </w:tc>
        <w:tc>
          <w:tcPr/>
          <w:p>
            <w:pPr>
              <w:pStyle w:val="Compact"/>
              <w:jc w:val="left"/>
            </w:pPr>
            <w:r>
              <w:t xml:space="preserve">1.1.2, 1.2.1, 1.7.2, 1.7.3, 2.3.2, 2.3.3</w:t>
            </w:r>
          </w:p>
        </w:tc>
      </w:tr>
      <w:tr>
        <w:tc>
          <w:tcPr/>
          <w:p>
            <w:pPr>
              <w:pStyle w:val="Compact"/>
              <w:jc w:val="left"/>
            </w:pPr>
            <w:r>
              <w:rPr>
                <w:bCs/>
                <w:b/>
              </w:rPr>
              <w:t xml:space="preserve">A2体系</w:t>
            </w:r>
          </w:p>
        </w:tc>
        <w:tc>
          <w:tcPr/>
          <w:p>
            <w:pPr>
              <w:pStyle w:val="Compact"/>
              <w:jc w:val="left"/>
            </w:pPr>
            <w:r>
              <w:t xml:space="preserve">路径术语</w:t>
            </w:r>
          </w:p>
        </w:tc>
        <w:tc>
          <w:tcPr/>
          <w:p>
            <w:pPr>
              <w:pStyle w:val="Compact"/>
              <w:jc w:val="left"/>
            </w:pPr>
            <w:r>
              <w:t xml:space="preserve">以快速制度响应、强组织能力与绩效合法性为特征的威权体系核心路径。稳态往往更早形成，内部机制不完全透明。</w:t>
            </w:r>
          </w:p>
        </w:tc>
        <w:tc>
          <w:tcPr/>
          <w:p>
            <w:pPr>
              <w:pStyle w:val="Compact"/>
              <w:jc w:val="left"/>
            </w:pPr>
            <w:r>
              <w:t xml:space="preserve">1.1.2, 1.2.1, 1.5.3, 1.7.2, 2.3.2, 2.3.3</w:t>
            </w:r>
          </w:p>
        </w:tc>
      </w:tr>
    </w:tbl>
    <w:p>
      <w:pPr>
        <w:pStyle w:val="BodyText"/>
      </w:pPr>
      <w:r>
        <w:rPr>
          <w:bCs/>
          <w:b/>
        </w:rPr>
        <w:t xml:space="preserve">B1类：民主体系整合者</w:t>
      </w:r>
      <w:r>
        <w:t xml:space="preserve"> </w:t>
      </w:r>
      <w:r>
        <w:t xml:space="preserve">| 路径术语 | 共享民主价值，深度整合于A1体系；民主制度本身提供内生的政策自主性，自主空间不因体量而异。包括部分城邦型高密度经济体（新加坡、阿联酋）。 | 1.7.3, 2.3.1, 2.3.2, 3.20.3, 4.1.3, 4.3.4 |</w:t>
      </w:r>
      <w:r>
        <w:t xml:space="preserve"> </w:t>
      </w:r>
      <w:r>
        <w:rPr>
          <w:bCs/>
          <w:b/>
        </w:rPr>
        <w:t xml:space="preserve">B2类：威权体系整合者</w:t>
      </w:r>
      <w:r>
        <w:t xml:space="preserve"> </w:t>
      </w:r>
      <w:r>
        <w:t xml:space="preserve">| 路径术语 | 综合实力有限，深度嵌入A2体系的技术—经济—政治网络，转轨成本极高；部分为主动对齐，部分为结构性落入。在A2影响下完成整合，由A2输入技术与治理模式。 | 2.3.1, 2.3.2, 2.3.3, 4.3.5, 4.3.8 |</w:t>
      </w:r>
      <w:r>
        <w:t xml:space="preserve"> </w:t>
      </w:r>
      <w:r>
        <w:rPr>
          <w:bCs/>
          <w:b/>
        </w:rPr>
        <w:t xml:space="preserve">C类：对冲自主体</w:t>
      </w:r>
      <w:r>
        <w:t xml:space="preserve"> </w:t>
      </w:r>
      <w:r>
        <w:t xml:space="preserve">| 路径术语 | 综合实力足以支撑独立外交，经济结构具备一定多元性，不以单一资源出口为主要筹码；在两大体系间维持议价空间。对应旧版G类（战略摇摆型），并吸收了部分原旧版制造业主导型经济体中实力较强的成员。 | 4.1.3, 4.3.7, 4.11.1, 5.1.2, 5.7.2, 5.7.3 |</w:t>
      </w:r>
      <w:r>
        <w:t xml:space="preserve"> </w:t>
      </w:r>
      <w:r>
        <w:rPr>
          <w:bCs/>
          <w:b/>
        </w:rPr>
        <w:t xml:space="preserve">D类：资源出口国</w:t>
      </w:r>
      <w:r>
        <w:t xml:space="preserve"> </w:t>
      </w:r>
      <w:r>
        <w:t xml:space="preserve">| 路径术语 | 经济高度依赖单一或少数资源出口，当前主要筹码来自资源；2072年内部分化显著，部分成员可能向C类移动，部分可能向E类滑落。 | 4.1.3, 4.3.6, 4.4.2, 4.6.6, 5.7.4 |</w:t>
      </w:r>
      <w:r>
        <w:t xml:space="preserve"> </w:t>
      </w:r>
      <w:r>
        <w:rPr>
          <w:bCs/>
          <w:b/>
        </w:rPr>
        <w:t xml:space="preserve">E类：边缘经济体（被遗忘地带）</w:t>
      </w:r>
      <w:r>
        <w:t xml:space="preserve"> </w:t>
      </w:r>
      <w:r>
        <w:t xml:space="preserve">| 路径术语 | 综合实力极低，两大体系均无主动整合动力，实质脱嵌于全球体系；内部区分结构性脱嵌与冲突性脱嵌两种形态。对应旧版I类（边缘经济体）。 | 1.7.3, 2.3.1, 2.3.3, 4.1.3, 4.3.9, 5.7.5 |</w:t>
      </w:r>
      <w:r>
        <w:t xml:space="preserve"> </w:t>
      </w:r>
      <w:r>
        <w:rPr>
          <w:bCs/>
          <w:b/>
        </w:rPr>
        <w:t xml:space="preserve">全球南方</w:t>
      </w:r>
      <w:r>
        <w:t xml:space="preserve"> </w:t>
      </w:r>
      <w:r>
        <w:t xml:space="preserve">| 地理路径 | 技术渗透不均、制度响应能力有限、又高度暴露于外部体系压力之下的广大地区。痛苦常来自“半接入而无红利”。 | 1.1.2, 1.5.1, 1.5.3, 1.7.3, 2.3.1, 2.3.3 |</w:t>
      </w:r>
      <w:r>
        <w:t xml:space="preserve"> </w:t>
      </w:r>
      <w:r>
        <w:rPr>
          <w:bCs/>
          <w:b/>
        </w:rPr>
        <w:t xml:space="preserve">城市集群</w:t>
      </w:r>
      <w:r>
        <w:t xml:space="preserve"> </w:t>
      </w:r>
      <w:r>
        <w:t xml:space="preserve">| 空间形态 | 基础设施、人口与高端生产能力高度集聚的节点区域。在新技术时代继续吸纳资源，但未必继续吸纳所有人口。 | 1.2.3, 1.4.4.1, 1.5.2, 3.2.2, 3.3.3, 3.4.2 |</w:t>
      </w:r>
      <w:r>
        <w:t xml:space="preserve"> </w:t>
      </w:r>
      <w:r>
        <w:rPr>
          <w:bCs/>
          <w:b/>
        </w:rPr>
        <w:t xml:space="preserve">退出社区</w:t>
      </w:r>
      <w:r>
        <w:t xml:space="preserve"> </w:t>
      </w:r>
      <w:r>
        <w:t xml:space="preserve">| 社会空间 | 从中心生产体系退出、但仍维持基本生存与地方生活的社区类型。并非彻底崩溃，只是不再被整合逻辑积极改造。 | 1.4.3 |</w:t>
      </w:r>
      <w:r>
        <w:t xml:space="preserve"> </w:t>
      </w:r>
      <w:r>
        <w:rPr>
          <w:bCs/>
          <w:b/>
        </w:rPr>
        <w:t xml:space="preserve">低速社区</w:t>
      </w:r>
      <w:r>
        <w:t xml:space="preserve"> </w:t>
      </w:r>
      <w:r>
        <w:t xml:space="preserve">| 社区类型 | 人口与价値网络仍能维持在临界点之上的社区。产出不高，但可稳定、自给并承接个体。 | — |</w:t>
      </w:r>
      <w:r>
        <w:t xml:space="preserve"> </w:t>
      </w:r>
      <w:r>
        <w:rPr>
          <w:bCs/>
          <w:b/>
        </w:rPr>
        <w:t xml:space="preserve">失活社区</w:t>
      </w:r>
      <w:r>
        <w:t xml:space="preserve"> </w:t>
      </w:r>
      <w:r>
        <w:t xml:space="preserve">| 社区类型 | 人口跌破临界密度后，学校、照料、维修、服务与互助网络相继瓦解的社区。是“被遗忘地带”形成的重要社会单元。 | 1.4.5 |</w:t>
      </w:r>
      <w:r>
        <w:t xml:space="preserve"> </w:t>
      </w:r>
      <w:r>
        <w:rPr>
          <w:bCs/>
          <w:b/>
        </w:rPr>
        <w:t xml:space="preserve">半接入状态</w:t>
      </w:r>
      <w:r>
        <w:t xml:space="preserve"> </w:t>
      </w:r>
      <w:r>
        <w:t xml:space="preserve">| 结构处境 | 已足够接入全球体系以形成依赖，却不够接入以分享红利的状态。典型痛苦是知道世界在变好，却知道自己被排除在外。 | 1.5.3 |</w:t>
      </w:r>
      <w:r>
        <w:t xml:space="preserve"> </w:t>
      </w:r>
      <w:r>
        <w:rPr>
          <w:bCs/>
          <w:b/>
        </w:rPr>
        <w:t xml:space="preserve">六、制度、经济与治理术语</w:t>
      </w:r>
      <w:r>
        <w:t xml:space="preserve"> </w:t>
      </w:r>
      <w:r>
        <w:t xml:space="preserve">| | | |</w:t>
      </w:r>
      <w:r>
        <w:t xml:space="preserve"> </w:t>
      </w:r>
      <w:r>
        <w:rPr>
          <w:bCs/>
          <w:b/>
        </w:rPr>
        <w:t xml:space="preserve">配给体系</w:t>
      </w:r>
      <w:r>
        <w:t xml:space="preserve"> </w:t>
      </w:r>
      <w:r>
        <w:t xml:space="preserve">| 制度术语 | 覆盖基本生存底线的物质保障结构。相互忽视均衡的第一支撑层，因为它显著削弱了生存型动员的燃料。 | 1.1.2, 1.4.3, 1.5.3, 1.7.3, 2.3.1, 2.3.3 |</w:t>
      </w:r>
      <w:r>
        <w:t xml:space="preserve"> </w:t>
      </w:r>
      <w:r>
        <w:rPr>
          <w:bCs/>
          <w:b/>
        </w:rPr>
        <w:t xml:space="preserve">基本支持积分（BSC）</w:t>
      </w:r>
      <w:r>
        <w:t xml:space="preserve"> </w:t>
      </w:r>
      <w:r>
        <w:t xml:space="preserve">| 制度缩写 | A1体系社会保障的一种具体实现形式（Basic Support Credits），以积分为载体覆盖食品/医疗/住房/教育/交通等基本需求。积分只是工具，社会保障覆盖生活成本的比例才是跨社区分析的核心变量；积分制在A1体系内部因地区不同而有差异，不是所有A1路径的统一标准。既是保障工具，也是后续货币与治理设计的基础。 | 1.4.5, 1.7.3, 4.1.1, 4.6.1, 4.6.2, 4.7.3 |</w:t>
      </w:r>
      <w:r>
        <w:t xml:space="preserve"> </w:t>
      </w:r>
      <w:r>
        <w:rPr>
          <w:bCs/>
          <w:b/>
        </w:rPr>
        <w:t xml:space="preserve">自动化税</w:t>
      </w:r>
      <w:r>
        <w:t xml:space="preserve"> </w:t>
      </w:r>
      <w:r>
        <w:t xml:space="preserve">| 财政工具 | 对自动化红利进行制度性回收的税制安排，用于为再分配、配给与制度缓冲提供财政来源。 | 4.2.2, 4.9.8, 5.1.1, 5.1.2 |</w:t>
      </w:r>
      <w:r>
        <w:t xml:space="preserve"> </w:t>
      </w:r>
      <w:r>
        <w:rPr>
          <w:bCs/>
          <w:b/>
        </w:rPr>
        <w:t xml:space="preserve">免费高等教育</w:t>
      </w:r>
      <w:r>
        <w:t xml:space="preserve"> </w:t>
      </w:r>
      <w:r>
        <w:t xml:space="preserve">| 再分配工具 | 在岗位萎缩背景下，被用作“人人有去处”的制度解。缓冲青年失序，延缓劳动市场冲击的即时政治后果。 | 1.4.6 |</w:t>
      </w:r>
      <w:r>
        <w:t xml:space="preserve"> </w:t>
      </w:r>
      <w:r>
        <w:rPr>
          <w:bCs/>
          <w:b/>
        </w:rPr>
        <w:t xml:space="preserve">聚变国家</w:t>
      </w:r>
      <w:r>
        <w:t xml:space="preserve"> </w:t>
      </w:r>
      <w:r>
        <w:t xml:space="preserve">| 国家类型 | 在聚变商业化后较早完成能源红利转化、具备能力推动高教扩张、福利重构与制度再设计的国家。 | 1.4.6, 4.3.2, 5.7.1 |</w:t>
      </w:r>
      <w:r>
        <w:t xml:space="preserve"> </w:t>
      </w:r>
      <w:r>
        <w:rPr>
          <w:bCs/>
          <w:b/>
        </w:rPr>
        <w:t xml:space="preserve">U-CPI（通用消费价格指数）</w:t>
      </w:r>
      <w:r>
        <w:t xml:space="preserve"> </w:t>
      </w:r>
      <w:r>
        <w:t xml:space="preserve">| 价格指标 | 锁定通用美元经济圈的价格指标，更接近联储或传统货币政策的操作目标。 | 4.10.1, 4.10.2, 4.10.7 |</w:t>
      </w:r>
      <w:r>
        <w:t xml:space="preserve"> </w:t>
      </w:r>
      <w:r>
        <w:rPr>
          <w:bCs/>
          <w:b/>
        </w:rPr>
        <w:t xml:space="preserve">B-PI（配给篹子价格指数）</w:t>
      </w:r>
      <w:r>
        <w:t xml:space="preserve"> </w:t>
      </w:r>
      <w:r>
        <w:t xml:space="preserve">| 价格指标 | 锁定配给篹子的价格指标，反映基本生存包的价格变动，更接近财政与配给系统的操作目标。 | 4.10.1, 4.10.2, 4.10.7 |</w:t>
      </w:r>
      <w:r>
        <w:t xml:space="preserve"> </w:t>
      </w:r>
      <w:r>
        <w:rPr>
          <w:bCs/>
          <w:b/>
        </w:rPr>
        <w:t xml:space="preserve">双锁协议</w:t>
      </w:r>
      <w:r>
        <w:t xml:space="preserve"> </w:t>
      </w:r>
      <w:r>
        <w:t xml:space="preserve">| 协调机制 | 用U-CPI与B-PI双指标分别锁定不同政策目标，并协调财政与货币工具的制度设计。修补传统单锁通谀框架的失灵。 | — |</w:t>
      </w:r>
      <w:r>
        <w:t xml:space="preserve"> </w:t>
      </w:r>
      <w:r>
        <w:rPr>
          <w:bCs/>
          <w:b/>
        </w:rPr>
        <w:t xml:space="preserve">基本支持积分（BSC）剩余率</w:t>
      </w:r>
      <w:r>
        <w:t xml:space="preserve"> </w:t>
      </w:r>
      <w:r>
        <w:t xml:space="preserve">| 先行指标 | 衡量基础积分发放是否仍能覆盖需求压力的操作指标。其下降会先于正式通谀数据暴露系统压力。 | 4.10.7 |</w:t>
      </w:r>
      <w:r>
        <w:t xml:space="preserve"> </w:t>
      </w:r>
      <w:r>
        <w:rPr>
          <w:bCs/>
          <w:b/>
        </w:rPr>
        <w:t xml:space="preserve">双轨分配架构</w:t>
      </w:r>
      <w:r>
        <w:t xml:space="preserve"> </w:t>
      </w:r>
      <w:r>
        <w:t xml:space="preserve">| 制度术语 | 货币薪资与供应票据并行的分配体系（A2路径），定向信贷与市场渠道并存。 | 4.11.2, 4.11.7 |</w:t>
      </w:r>
      <w:r>
        <w:t xml:space="preserve"> </w:t>
      </w:r>
      <w:r>
        <w:rPr>
          <w:bCs/>
          <w:b/>
        </w:rPr>
        <w:t xml:space="preserve">供应票据体系</w:t>
      </w:r>
      <w:r>
        <w:t xml:space="preserve"> </w:t>
      </w:r>
      <w:r>
        <w:t xml:space="preserve">| A2制度术语 | A2基础保障的主要运作形式。以实物品类为单位发放定向凭证，覆盖食品、住房、基础医疗等规定品类，不可储存、不可投资、只能在指定渠道兑换。保障范围受财政能力与人口规模的结构性约束，整体水平低于A1的BSC积分体系。与货币薪资体系并行构成A2的双轨分配架构，两轨之间的消费自主度差距是A2社会分层的核心机制之一。 | 4.8.2, 4.11.2, 4.11.7 |</w:t>
      </w:r>
      <w:r>
        <w:t xml:space="preserve"> </w:t>
      </w:r>
      <w:r>
        <w:rPr>
          <w:bCs/>
          <w:b/>
        </w:rPr>
        <w:t xml:space="preserve">基础保障覆盖人口</w:t>
      </w:r>
      <w:r>
        <w:t xml:space="preserve"> </w:t>
      </w:r>
      <w:r>
        <w:t xml:space="preserve">| 人口制度术语 | 主要依赖基础保障机制（A1的BSC积分或A2的供应票据）维持基本生活的人口。不预设其完全无市场收入，而是以保障机制为主要生活来源作为识别标准。统一描述A1/A2两套体系中的对应群体，避免以单一体系的制度名称（BSC）遮蔽A2的票据依赖人口。 | 4.7.7, 4.8.2, 4.11.2 |</w:t>
      </w:r>
      <w:r>
        <w:t xml:space="preserve"> </w:t>
      </w:r>
      <w:r>
        <w:rPr>
          <w:bCs/>
          <w:b/>
        </w:rPr>
        <w:t xml:space="preserve">社会保障覆盖生活成本比例</w:t>
      </w:r>
      <w:r>
        <w:t xml:space="preserve"> </w:t>
      </w:r>
      <w:r>
        <w:t xml:space="preserve">| 分析框架概念 | 跨路径、跨社区比较社会保障有效性的通用框架。指一个家庭在特定社区的社会保障（A1的各类积分/补贴，或A2的配给票据）能够覆盖其基本生活成本（住房、食品、医疗、交通）的比例。高成本区域该比例低，低成本区域该比例高，这一差异是家庭流动决策的核心经济信号，也是各社区形成不同社保依赖人口比例的直接机制。此概念用于替代以”住房积分覆盖率”为核心的单一制度描述，适用于不同路径和不同保障实现形式的横向比较。 | 5.3.3, 5.4.1, 5.5.1 |</w:t>
      </w:r>
      <w:r>
        <w:t xml:space="preserve"> </w:t>
      </w:r>
      <w:r>
        <w:rPr>
          <w:bCs/>
          <w:b/>
        </w:rPr>
        <w:t xml:space="preserve">退出就业人口</w:t>
      </w:r>
      <w:r>
        <w:t xml:space="preserve"> </w:t>
      </w:r>
      <w:r>
        <w:t xml:space="preserve">| 人口状态术语 | 既未主动寻找工作、也未进入退休制度的成年人口。不是统计意义上的”失业者”，而是在AI深化替代后实质性脱离劳动市场的群体。本文件以此中性术语替代带有工业时代价值判断的”功能性闲置”表述。两套体系均存在，但可见性相反：A1中被公开讨论，A2中系统性缺席于官方叙事。 | 4.6.1, 4.7.7, 5.6.2 |</w:t>
      </w:r>
      <w:r>
        <w:t xml:space="preserve"> </w:t>
      </w:r>
      <w:r>
        <w:rPr>
          <w:bCs/>
          <w:b/>
        </w:rPr>
        <w:t xml:space="preserve">政策性就业</w:t>
      </w:r>
      <w:r>
        <w:t xml:space="preserve"> </w:t>
      </w:r>
      <w:r>
        <w:t xml:space="preserve">| 劳动制度术语 | AI时代国家通过财政补贴、税收抵免或行政安排主动创造的就业岗位，其存在逻辑是维持就业率和社会稳定，而非响应真实市场需求。A1通过就业税收抵免实现，A2通过政府机关和事业单位的行政配置扩张实现。与自发市场就业的区别在于：岗位的持续存在依赖制度意志而非产出价值。 | 4.6.1, 4.7.5 |</w:t>
      </w:r>
      <w:r>
        <w:t xml:space="preserve"> </w:t>
      </w:r>
      <w:r>
        <w:rPr>
          <w:bCs/>
          <w:b/>
        </w:rPr>
        <w:t xml:space="preserve">政治性岗位</w:t>
      </w:r>
      <w:r>
        <w:t xml:space="preserve"> </w:t>
      </w:r>
      <w:r>
        <w:t xml:space="preserve">| A2制度术语 | A2体系为维系政治整合与社会管控而专项扩张的岗位类别，包括监控基础设施运维、配给核查、社区网格管理等。创造主体为政府机关、事业单位和党政体系，而非国有企业——后者的用工规模受市场竞争约束，不承接政治性安置任务。其设立依据是政治逻辑（将人口纳入”有单位”状态以便管理和追踪），而非经济产出逻辑。是A2政策性就业的核心子类，与A1的税收激励型政策性就业在机制上根本不同。 | 4.7.5, 4.14.3 |</w:t>
      </w:r>
      <w:r>
        <w:t xml:space="preserve"> </w:t>
      </w:r>
      <w:r>
        <w:rPr>
          <w:bCs/>
          <w:b/>
        </w:rPr>
        <w:t xml:space="preserve">七、技术与社会心理术语</w:t>
      </w:r>
      <w:r>
        <w:t xml:space="preserve"> </w:t>
      </w:r>
      <w:r>
        <w:t xml:space="preserve">| | | |</w:t>
      </w:r>
      <w:r>
        <w:t xml:space="preserve"> </w:t>
      </w:r>
      <w:r>
        <w:rPr>
          <w:bCs/>
          <w:b/>
        </w:rPr>
        <w:t xml:space="preserve">通用人工智能（AGI）</w:t>
      </w:r>
      <w:r>
        <w:t xml:space="preserve"> </w:t>
      </w:r>
      <w:r>
        <w:t xml:space="preserve">| 技术门槛 | AI无需针对单项任务专项训练，就能在大多数有经济价値的认知任务上达到或超过人类专业水平，且推理成本接近可忽略。 | 1.1.2, 1.7.3, 3.1.1, 7.1.1 |</w:t>
      </w:r>
      <w:r>
        <w:t xml:space="preserve"> </w:t>
      </w:r>
      <w:r>
        <w:rPr>
          <w:bCs/>
          <w:b/>
        </w:rPr>
        <w:t xml:space="preserve">自动化饱和</w:t>
      </w:r>
      <w:r>
        <w:t xml:space="preserve"> </w:t>
      </w:r>
      <w:r>
        <w:t xml:space="preserve">| 技术状态 | AI与机器人在大量可标准化任务上完成广泛接管后，新增替代不再被视为新闻，而成为社会运行的默认背景。 | 1.1.2, 3.1.2, 4.7.2 |</w:t>
      </w:r>
      <w:r>
        <w:t xml:space="preserve"> </w:t>
      </w:r>
      <w:r>
        <w:rPr>
          <w:bCs/>
          <w:b/>
        </w:rPr>
        <w:t xml:space="preserve">地效应飞行器（WIG）</w:t>
      </w:r>
      <w:r>
        <w:t xml:space="preserve"> </w:t>
      </w:r>
      <w:r>
        <w:t xml:space="preserve">| 交通技术 | 利用地面效应低空飞行的大型运载工具，适用于跨洋大宗货物速度层，介于传统货船与航空之间。 | 3.14.2, 6.1.2 |</w:t>
      </w:r>
      <w:r>
        <w:t xml:space="preserve"> </w:t>
      </w:r>
      <w:r>
        <w:rPr>
          <w:bCs/>
          <w:b/>
        </w:rPr>
        <w:t xml:space="preserve">合成航空燃料（SAF）</w:t>
      </w:r>
      <w:r>
        <w:t xml:space="preserve"> </w:t>
      </w:r>
      <w:r>
        <w:t xml:space="preserve">| 能源技术 | 由合成工艺制成的航空燃料，聚变电力拉低生产成本后成为传统航空的主要替代选项。 | 3.14.2, 3.15.1, 3.15.7, 3.16.1, 4.3.1, 6.1.3 |</w:t>
      </w:r>
      <w:r>
        <w:t xml:space="preserve"> </w:t>
      </w:r>
      <w:r>
        <w:rPr>
          <w:bCs/>
          <w:b/>
        </w:rPr>
        <w:t xml:space="preserve">均化度电成本（LCOE）</w:t>
      </w:r>
      <w:r>
        <w:t xml:space="preserve"> </w:t>
      </w:r>
      <w:r>
        <w:t xml:space="preserve">| 能源指标 | 电力生产全周期的平均成本指标，用于比较不同发电技术的经济性。聚变LCOE下降是能源格局重排的核心量化指标。 | 2.3.1, 2.3.2, 3.2.2, 3.2.3, 4.3.1, 4.3.3 |</w:t>
      </w:r>
      <w:r>
        <w:t xml:space="preserve"> </w:t>
      </w:r>
      <w:r>
        <w:rPr>
          <w:bCs/>
          <w:b/>
        </w:rPr>
        <w:t xml:space="preserve">意义危机</w:t>
      </w:r>
      <w:r>
        <w:t xml:space="preserve"> </w:t>
      </w:r>
      <w:r>
        <w:t xml:space="preserve">| 心理结构 | 当劳动不再提供稳定身份与价値框架时，个体长期面临“我为什么活着、我为何被需要”的缺位状态。 | 1.1.2, 1.2.1, 1.2.2, 1.2.3, 1.5.1, 1.7.3 |</w:t>
      </w:r>
      <w:r>
        <w:t xml:space="preserve"> </w:t>
      </w:r>
      <w:r>
        <w:rPr>
          <w:bCs/>
          <w:b/>
        </w:rPr>
        <w:t xml:space="preserve">身份真空</w:t>
      </w:r>
      <w:r>
        <w:t xml:space="preserve"> </w:t>
      </w:r>
      <w:r>
        <w:t xml:space="preserve">| 过渡期状态 | 旧的职业、阶层与上升叙事已经失效，而新的意义框架尚未建立时的中间状态，是动荡期极化的重要来源。 | 1.5.3 |</w:t>
      </w:r>
      <w:r>
        <w:t xml:space="preserve"> </w:t>
      </w:r>
      <w:r>
        <w:rPr>
          <w:bCs/>
          <w:b/>
        </w:rPr>
        <w:t xml:space="preserve">痛苦私人化</w:t>
      </w:r>
      <w:r>
        <w:t xml:space="preserve"> </w:t>
      </w:r>
      <w:r>
        <w:t xml:space="preserve">| 政治心理 | 痛苦仍然真实存在，但由于缺少集体行动目标与组织条件，更多以内化、沉默、抑郁和个体化方式被承受。 | — |</w:t>
      </w:r>
      <w:r>
        <w:t xml:space="preserve"> </w:t>
      </w:r>
      <w:r>
        <w:rPr>
          <w:bCs/>
          <w:b/>
        </w:rPr>
        <w:t xml:space="preserve">功能性幸福</w:t>
      </w:r>
      <w:r>
        <w:t xml:space="preserve"> </w:t>
      </w:r>
      <w:r>
        <w:t xml:space="preserve">| 治理文化 | 将精神健康、情绪稳定与社会参与纳入管理逻辑后的幸福形式。重点不是深层自由，而是维持可运转、可承受、可持续。 | 1.7.2 |</w:t>
      </w:r>
      <w:r>
        <w:t xml:space="preserve"> </w:t>
      </w:r>
      <w:r>
        <w:rPr>
          <w:bCs/>
          <w:b/>
        </w:rPr>
        <w:t xml:space="preserve">慢性低度抑郁</w:t>
      </w:r>
      <w:r>
        <w:t xml:space="preserve"> </w:t>
      </w:r>
      <w:r>
        <w:t xml:space="preserve">| 心理状态 | 比急性崩溃更常见的普遍情绪底色：没有明显灾难，却长期感到乏力、低兴奋与无方向。 | 1.7.1, 4.13.3 |</w:t>
      </w:r>
      <w:r>
        <w:t xml:space="preserve"> </w:t>
      </w:r>
      <w:r>
        <w:rPr>
          <w:bCs/>
          <w:b/>
        </w:rPr>
        <w:t xml:space="preserve">意义供给</w:t>
      </w:r>
      <w:r>
        <w:t xml:space="preserve"> </w:t>
      </w:r>
      <w:r>
        <w:t xml:space="preserve">| 文化能力 | 社会通过社区、教育、创作、关系与仪式，为个体持续提供价値感与生活目的的能力。决定了闲暇的质量。 | 1.2.1 |</w:t>
      </w:r>
      <w:r>
        <w:t xml:space="preserve"> </w:t>
      </w:r>
      <w:r>
        <w:rPr>
          <w:bCs/>
          <w:b/>
        </w:rPr>
        <w:t xml:space="preserve">闲暇分化</w:t>
      </w:r>
      <w:r>
        <w:t xml:space="preserve"> </w:t>
      </w:r>
      <w:r>
        <w:t xml:space="preserve">| 社会结果 | 工时下降并不自动带来幸福。对有内在结构的人，闲暇转化为创造；对缺乏结构的人，闲暇可能转化为空虚、成瘾与失重。 | — |</w:t>
      </w:r>
    </w:p>
    <w:p>
      <w:pPr>
        <w:pStyle w:val="BodyText"/>
      </w:pPr>
      <w:r>
        <w:rPr>
          <w:iCs/>
          <w:i/>
        </w:rPr>
        <w:t xml:space="preserve">编排建议：后续若继续扩写正文，可把本词典放在目录后或附录前，并保持术语口径与这里一致。新增术语时，优先补充”定义—作用—边界条件”三项。</w:t>
      </w:r>
    </w:p>
    <w:bookmarkEnd w:id="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2026-05-07T02:38:48Z</dcterms:created>
  <dcterms:modified xsi:type="dcterms:W3CDTF">2026-05-07T02:38:48Z</dcterms:modified>
</cp:coreProperties>
</file>

<file path=docProps/custom.xml><?xml version="1.0" encoding="utf-8"?>
<Properties xmlns="http://schemas.openxmlformats.org/officeDocument/2006/custom-properties" xmlns:vt="http://schemas.openxmlformats.org/officeDocument/2006/docPropsVTypes"/>
</file>