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《2072》　卷 1　物质基础</w:t>
      </w:r>
    </w:p>
    <w:p>
      <w:pPr>
        <w:pStyle w:val="Author"/>
      </w:pPr>
      <w:r>
        <w:t xml:space="preserve">Sean（AI 协助下成书）</w:t>
      </w:r>
    </w:p>
    <w:p>
      <w:pPr>
        <w:pStyle w:val="Heading1"/>
      </w:pPr>
      <w:bookmarkStart w:id="20" w:name="卷-1-物质基础"/>
      <w:r>
        <w:t xml:space="preserve">《2072》　卷 1　物质基础</w:t>
      </w:r>
      <w:bookmarkEnd w:id="20"/>
    </w:p>
    <w:p>
      <w:pPr>
        <w:pStyle w:val="Heading2"/>
      </w:pPr>
      <w:bookmarkStart w:id="21" w:name="一卷-1-卷首页"/>
      <w:r>
        <w:t xml:space="preserve">一、卷 1 卷首页</w:t>
      </w:r>
      <w:bookmarkEnd w:id="21"/>
    </w:p>
    <w:p>
      <w:pPr>
        <w:pStyle w:val="Heading3"/>
      </w:pPr>
      <w:bookmarkStart w:id="22" w:name="卷-1-物质基础-1"/>
      <w:r>
        <w:t xml:space="preserve">卷 1　物质基础</w:t>
      </w:r>
      <w:bookmarkEnd w:id="22"/>
    </w:p>
    <w:p>
      <w:pPr>
        <w:pStyle w:val="BlockText"/>
      </w:pPr>
      <w:r>
        <w:t xml:space="preserve">制度形态由物质条件决定，不是凭空设计出来的。</w:t>
      </w:r>
      <w:r>
        <w:t xml:space="preserve"> </w:t>
      </w:r>
      <w:r>
        <w:t xml:space="preserve">——本书贯穿前后的另一条隐线</w:t>
      </w:r>
    </w:p>
    <w:p>
      <w:pPr>
        <w:pStyle w:val="Heading4"/>
      </w:pPr>
      <w:bookmarkStart w:id="23" w:name="本卷构成"/>
      <w:r>
        <w:t xml:space="preserve">本卷构成</w:t>
      </w:r>
      <w:bookmarkEnd w:id="23"/>
    </w:p>
    <w:p>
      <w:pPr>
        <w:numPr>
          <w:ilvl w:val="0"/>
          <w:numId w:val="1001"/>
        </w:numPr>
        <w:pStyle w:val="Compact"/>
      </w:pPr>
      <w:r>
        <w:t xml:space="preserve">章一　两条主轴：AI 与聚变</w:t>
      </w:r>
    </w:p>
    <w:p>
      <w:pPr>
        <w:numPr>
          <w:ilvl w:val="0"/>
          <w:numId w:val="1001"/>
        </w:numPr>
        <w:pStyle w:val="Compact"/>
      </w:pPr>
      <w:r>
        <w:t xml:space="preserve">章二　能源新地理</w:t>
      </w:r>
    </w:p>
    <w:p>
      <w:pPr>
        <w:numPr>
          <w:ilvl w:val="1"/>
          <w:numId w:val="1002"/>
        </w:numPr>
        <w:pStyle w:val="Compact"/>
      </w:pPr>
      <w:r>
        <w:t xml:space="preserve">2.1 能源技术的分层共存</w:t>
      </w:r>
    </w:p>
    <w:p>
      <w:pPr>
        <w:numPr>
          <w:ilvl w:val="1"/>
          <w:numId w:val="1002"/>
        </w:numPr>
        <w:pStyle w:val="Compact"/>
      </w:pPr>
      <w:r>
        <w:t xml:space="preserve">2.2 资源体系的地缘博弈</w:t>
      </w:r>
    </w:p>
    <w:p>
      <w:pPr>
        <w:numPr>
          <w:ilvl w:val="0"/>
          <w:numId w:val="1001"/>
        </w:numPr>
        <w:pStyle w:val="Compact"/>
      </w:pPr>
      <w:r>
        <w:t xml:space="preserve">章三　全自动制造与原料</w:t>
      </w:r>
    </w:p>
    <w:p>
      <w:pPr>
        <w:numPr>
          <w:ilvl w:val="0"/>
          <w:numId w:val="1001"/>
        </w:numPr>
        <w:pStyle w:val="Compact"/>
      </w:pPr>
      <w:r>
        <w:t xml:space="preserve">章四　医疗与生命</w:t>
      </w:r>
    </w:p>
    <w:p>
      <w:pPr>
        <w:numPr>
          <w:ilvl w:val="1"/>
          <w:numId w:val="1003"/>
        </w:numPr>
        <w:pStyle w:val="Compact"/>
      </w:pPr>
      <w:r>
        <w:t xml:space="preserve">4.1 生物技术的双重性</w:t>
      </w:r>
    </w:p>
    <w:p>
      <w:pPr>
        <w:numPr>
          <w:ilvl w:val="1"/>
          <w:numId w:val="1003"/>
        </w:numPr>
        <w:pStyle w:val="Compact"/>
      </w:pPr>
      <w:r>
        <w:t xml:space="preserve">4.2 延寿与永生技术</w:t>
      </w:r>
    </w:p>
    <w:p>
      <w:pPr>
        <w:numPr>
          <w:ilvl w:val="0"/>
          <w:numId w:val="1001"/>
        </w:numPr>
        <w:pStyle w:val="Compact"/>
      </w:pPr>
      <w:r>
        <w:t xml:space="preserve">章五　人、机器人、机器</w:t>
      </w:r>
    </w:p>
    <w:p>
      <w:pPr>
        <w:numPr>
          <w:ilvl w:val="0"/>
          <w:numId w:val="1001"/>
        </w:numPr>
        <w:pStyle w:val="Compact"/>
      </w:pPr>
      <w:r>
        <w:t xml:space="preserve">章六　通信、量子与基础网络</w:t>
      </w:r>
    </w:p>
    <w:p>
      <w:pPr>
        <w:numPr>
          <w:ilvl w:val="0"/>
          <w:numId w:val="1001"/>
        </w:numPr>
        <w:pStyle w:val="Compact"/>
      </w:pPr>
      <w:r>
        <w:t xml:space="preserve">章七　物件与日常</w:t>
      </w:r>
    </w:p>
    <w:p>
      <w:pPr>
        <w:numPr>
          <w:ilvl w:val="1"/>
          <w:numId w:val="1004"/>
        </w:numPr>
        <w:pStyle w:val="Compact"/>
      </w:pPr>
      <w:r>
        <w:t xml:space="preserve">7.1 仿真仓</w:t>
      </w:r>
    </w:p>
    <w:p>
      <w:pPr>
        <w:numPr>
          <w:ilvl w:val="1"/>
          <w:numId w:val="1004"/>
        </w:numPr>
        <w:pStyle w:val="Compact"/>
      </w:pPr>
      <w:r>
        <w:t xml:space="preserve">7.2 个人穿戴与随身设备</w:t>
      </w:r>
    </w:p>
    <w:p>
      <w:pPr>
        <w:numPr>
          <w:ilvl w:val="1"/>
          <w:numId w:val="1004"/>
        </w:numPr>
        <w:pStyle w:val="Compact"/>
      </w:pPr>
      <w:r>
        <w:t xml:space="preserve">7.3 Muule</w:t>
      </w:r>
    </w:p>
    <w:p>
      <w:pPr>
        <w:numPr>
          <w:ilvl w:val="0"/>
          <w:numId w:val="1001"/>
        </w:numPr>
        <w:pStyle w:val="Compact"/>
      </w:pPr>
      <w:r>
        <w:t xml:space="preserve">章八　移动与连通</w:t>
      </w:r>
    </w:p>
    <w:p>
      <w:pPr>
        <w:numPr>
          <w:ilvl w:val="1"/>
          <w:numId w:val="1005"/>
        </w:numPr>
        <w:pStyle w:val="Compact"/>
      </w:pPr>
      <w:r>
        <w:t xml:space="preserve">8.1 传统车辆体系</w:t>
      </w:r>
    </w:p>
    <w:p>
      <w:pPr>
        <w:numPr>
          <w:ilvl w:val="1"/>
          <w:numId w:val="1005"/>
        </w:numPr>
        <w:pStyle w:val="Compact"/>
      </w:pPr>
      <w:r>
        <w:t xml:space="preserve">8.2 地面交通控制系统</w:t>
      </w:r>
    </w:p>
    <w:p>
      <w:pPr>
        <w:numPr>
          <w:ilvl w:val="1"/>
          <w:numId w:val="1005"/>
        </w:numPr>
        <w:pStyle w:val="Compact"/>
      </w:pPr>
      <w:r>
        <w:t xml:space="preserve">8.3 海洋运输体系</w:t>
      </w:r>
    </w:p>
    <w:p>
      <w:pPr>
        <w:numPr>
          <w:ilvl w:val="1"/>
          <w:numId w:val="1005"/>
        </w:numPr>
        <w:pStyle w:val="Compact"/>
      </w:pPr>
      <w:r>
        <w:t xml:space="preserve">8.4 航空交通体系</w:t>
      </w:r>
    </w:p>
    <w:p>
      <w:pPr>
        <w:numPr>
          <w:ilvl w:val="1"/>
          <w:numId w:val="1005"/>
        </w:numPr>
        <w:pStyle w:val="Compact"/>
      </w:pPr>
      <w:r>
        <w:t xml:space="preserve">8.5 货运体系全貌</w:t>
      </w:r>
    </w:p>
    <w:p>
      <w:pPr>
        <w:pStyle w:val="Heading4"/>
      </w:pPr>
      <w:bookmarkStart w:id="24" w:name="本卷意图"/>
      <w:r>
        <w:t xml:space="preserve">本卷意图</w:t>
      </w:r>
      <w:bookmarkEnd w:id="24"/>
    </w:p>
    <w:p>
      <w:pPr>
        <w:pStyle w:val="FirstParagraph"/>
      </w:pPr>
      <w:r>
        <w:t xml:space="preserve">卷 0 给读者一张地图；卷 2 给读者多态社会的理论支柱；</w:t>
      </w:r>
      <w:r>
        <w:rPr>
          <w:b/>
        </w:rPr>
        <w:t xml:space="preserve">卷 1 给读者 2072 年的物质纹理——AI、聚变、能源、资源、制造、生命、机器、通信、物件、移动</w:t>
      </w:r>
      <w:r>
        <w:t xml:space="preserve">。读完本卷，读者应当能在头脑中形成 2072 年的</w:t>
      </w:r>
      <w:r>
        <w:t xml:space="preserve">“</w:t>
      </w:r>
      <w:r>
        <w:t xml:space="preserve">视觉</w:t>
      </w:r>
      <w:r>
        <w:t xml:space="preserve">”</w:t>
      </w:r>
      <w:r>
        <w:t xml:space="preserve">：</w:t>
      </w:r>
    </w:p>
    <w:p>
      <w:pPr>
        <w:numPr>
          <w:ilvl w:val="0"/>
          <w:numId w:val="1006"/>
        </w:numPr>
        <w:pStyle w:val="Compact"/>
      </w:pPr>
      <w:r>
        <w:t xml:space="preserve">看见聚变电站建在城市外围 50—200 公里处的水源旁，</w:t>
      </w:r>
      <w:r>
        <w:rPr>
          <w:b/>
        </w:rPr>
        <w:t xml:space="preserve">不是深入荒野</w:t>
      </w:r>
      <w:r>
        <w:t xml:space="preserve">。</w:t>
      </w:r>
    </w:p>
    <w:p>
      <w:pPr>
        <w:numPr>
          <w:ilvl w:val="0"/>
          <w:numId w:val="1006"/>
        </w:numPr>
        <w:pStyle w:val="Compact"/>
      </w:pPr>
      <w:r>
        <w:t xml:space="preserve">看见 Muule 跟着用户在路上走、变形进入行车道、与城市交通系统持续通信。</w:t>
      </w:r>
    </w:p>
    <w:p>
      <w:pPr>
        <w:numPr>
          <w:ilvl w:val="0"/>
          <w:numId w:val="1006"/>
        </w:numPr>
        <w:pStyle w:val="Compact"/>
      </w:pPr>
      <w:r>
        <w:t xml:space="preserve">看见仿真仓在城市居室里、AI 治疗师在手机上、眼镜模块薄如普通眼镜。</w:t>
      </w:r>
    </w:p>
    <w:p>
      <w:pPr>
        <w:numPr>
          <w:ilvl w:val="0"/>
          <w:numId w:val="1006"/>
        </w:numPr>
        <w:pStyle w:val="Compact"/>
      </w:pPr>
      <w:r>
        <w:t xml:space="preserve">看见深海采矿城镇通过三层物流维持运转、补给浮台作为中间节点存在。</w:t>
      </w:r>
    </w:p>
    <w:p>
      <w:pPr>
        <w:numPr>
          <w:ilvl w:val="0"/>
          <w:numId w:val="1006"/>
        </w:numPr>
        <w:pStyle w:val="Compact"/>
      </w:pPr>
      <w:r>
        <w:t xml:space="preserve">看见城市的交通管理中心里那把人在六秒里其实什么也做不了的椅子。</w:t>
      </w:r>
    </w:p>
    <w:p>
      <w:pPr>
        <w:pStyle w:val="FirstParagraph"/>
      </w:pPr>
      <w:r>
        <w:rPr>
          <w:b/>
        </w:rPr>
        <w:t xml:space="preserve">本卷的写作方式是物质性的、具象的。</w:t>
      </w:r>
      <w:r>
        <w:t xml:space="preserve"> </w:t>
      </w:r>
      <w:r>
        <w:t xml:space="preserve">这与卷 2 理论卷的抽象性形成有意的对照——读者读卷 1 时应当能</w:t>
      </w:r>
      <w:r>
        <w:t xml:space="preserve">“</w:t>
      </w:r>
      <w:r>
        <w:t xml:space="preserve">看见</w:t>
      </w:r>
      <w:r>
        <w:t xml:space="preserve">”</w:t>
      </w:r>
      <w:r>
        <w:t xml:space="preserve">，读卷 2 时应当能</w:t>
      </w:r>
      <w:r>
        <w:t xml:space="preserve">“</w:t>
      </w:r>
      <w:r>
        <w:t xml:space="preserve">推导</w:t>
      </w:r>
      <w:r>
        <w:t xml:space="preserve">”</w:t>
      </w:r>
      <w:r>
        <w:t xml:space="preserve">。两卷合起来，才构成对 2072 年世界的完整理解。</w:t>
      </w:r>
    </w:p>
    <w:p>
      <w:pPr>
        <w:pStyle w:val="BodyText"/>
      </w:pPr>
      <w:r>
        <w:rPr>
          <w:b/>
        </w:rPr>
        <w:t xml:space="preserve">本卷遵循机制抽象化原则</w:t>
      </w:r>
      <w:r>
        <w:t xml:space="preserve">——具体的路径差异（同一物件在美式路径与中国路径下的形态差异）与地理差异（同一基础设施在城市集群与遗忘地带的覆盖差异）留给卷 3 制度分化与卷 5 地理图景展开。本卷只勾勒物质条件本身。</w:t>
      </w:r>
    </w:p>
    <w:p>
      <w:r>
        <w:pict>
          <v:rect style="width:0;height:1.5pt" o:hralign="center" o:hrstd="t" o:hr="t"/>
        </w:pict>
      </w:r>
    </w:p>
    <w:p>
      <w:pPr>
        <w:pStyle w:val="Heading2"/>
      </w:pPr>
      <w:bookmarkStart w:id="25" w:name="二章间衔接段"/>
      <w:r>
        <w:t xml:space="preserve">二、章间衔接段</w:t>
      </w:r>
      <w:bookmarkEnd w:id="25"/>
    </w:p>
    <w:p>
      <w:pPr>
        <w:pStyle w:val="Heading3"/>
      </w:pPr>
      <w:bookmarkStart w:id="26" w:name="章一与章二之间"/>
      <w:r>
        <w:t xml:space="preserve">章一与章二之间</w:t>
      </w:r>
      <w:bookmarkEnd w:id="26"/>
    </w:p>
    <w:p>
      <w:pPr>
        <w:pStyle w:val="BlockText"/>
      </w:pPr>
      <w:r>
        <w:t xml:space="preserve">此段位于 1.3 末尾</w:t>
      </w:r>
      <w:r>
        <w:t xml:space="preserve">“</w:t>
      </w:r>
      <w:r>
        <w:t xml:space="preserve">读者诸君读到本书任何一处时，可以回到这一章——所有讨论的物质前提都在这两条曲线之上展开</w:t>
      </w:r>
      <w:r>
        <w:t xml:space="preserve">”</w:t>
      </w:r>
      <w:r>
        <w:t xml:space="preserve">之后，章二开篇之前。</w:t>
      </w:r>
    </w:p>
    <w:p>
      <w:pPr>
        <w:pStyle w:val="FirstParagraph"/>
      </w:pPr>
      <w:r>
        <w:t xml:space="preserve">两条主轴（AI 与聚变）讲完。下一步是看这两条主轴如何在物质世界里展开。能源新地理（章二）是第一个具体展开——聚变进入既有能源体系后的实际形态、不被聚变完全取代的旧能源技术的持续理由、储能与电网的新分层、资源体系在聚变红利与地缘博弈双重作用下的重写。</w:t>
      </w:r>
    </w:p>
    <w:p>
      <w:pPr>
        <w:pStyle w:val="Heading3"/>
      </w:pPr>
      <w:bookmarkStart w:id="27" w:name="章二与章三之间"/>
      <w:r>
        <w:t xml:space="preserve">章二与章三之间</w:t>
      </w:r>
      <w:bookmarkEnd w:id="27"/>
    </w:p>
    <w:p>
      <w:pPr>
        <w:pStyle w:val="BlockText"/>
      </w:pPr>
      <w:r>
        <w:t xml:space="preserve">此段位于 2.2 末尾</w:t>
      </w:r>
      <w:r>
        <w:t xml:space="preserve">“</w:t>
      </w:r>
      <w:r>
        <w:t xml:space="preserve">约束转移到技术、资本、物流、地缘上</w:t>
      </w:r>
      <w:r>
        <w:t xml:space="preserve">”</w:t>
      </w:r>
      <w:r>
        <w:t xml:space="preserve">之后，章三开篇之前。</w:t>
      </w:r>
    </w:p>
    <w:p>
      <w:pPr>
        <w:pStyle w:val="FirstParagraph"/>
      </w:pPr>
      <w:r>
        <w:t xml:space="preserve">能源（2.1）解决了能量约束，资源（2.2）解决了原料约束。两者叠加，物质生产的传统约束在 2072 年大幅松动。</w:t>
      </w:r>
      <w:r>
        <w:rPr>
          <w:b/>
        </w:rPr>
        <w:t xml:space="preserve">那么剩下的约束是什么？</w:t>
      </w:r>
      <w:r>
        <w:t xml:space="preserve"> </w:t>
      </w:r>
      <w:r>
        <w:t xml:space="preserve">第一个是生产过程本身——工厂如何运作、谁在工厂里。章三转入这一议题。</w:t>
      </w:r>
    </w:p>
    <w:p>
      <w:pPr>
        <w:pStyle w:val="Heading3"/>
      </w:pPr>
      <w:bookmarkStart w:id="28" w:name="章三与章四之间"/>
      <w:r>
        <w:t xml:space="preserve">章三与章四之间</w:t>
      </w:r>
      <w:bookmarkEnd w:id="28"/>
    </w:p>
    <w:p>
      <w:pPr>
        <w:pStyle w:val="BlockText"/>
      </w:pPr>
      <w:r>
        <w:t xml:space="preserve">此段位于章三收束</w:t>
      </w:r>
      <w:r>
        <w:t xml:space="preserve">“</w:t>
      </w:r>
      <w:r>
        <w:t xml:space="preserve">是裸露期就业冲击的物质起因之一</w:t>
      </w:r>
      <w:r>
        <w:t xml:space="preserve">”</w:t>
      </w:r>
      <w:r>
        <w:t xml:space="preserve">之后，章四开篇之前。</w:t>
      </w:r>
    </w:p>
    <w:p>
      <w:pPr>
        <w:pStyle w:val="FirstParagraph"/>
      </w:pPr>
      <w:r>
        <w:t xml:space="preserve">物质生产的形态变了。下一步看这一变化对生命本身的延伸——医疗与延寿。</w:t>
      </w:r>
      <w:r>
        <w:rPr>
          <w:b/>
        </w:rPr>
        <w:t xml:space="preserve">AI 加生物技术叠加，使医疗能力和生命长度都触及历史从未触及过的边界</w:t>
      </w:r>
      <w:r>
        <w:t xml:space="preserve">，但同时也带来历史从未面对过的问题（生物武器扩散、副本身份的伦理）。章四分两节展开。</w:t>
      </w:r>
    </w:p>
    <w:p>
      <w:pPr>
        <w:pStyle w:val="Heading3"/>
      </w:pPr>
      <w:bookmarkStart w:id="29" w:name="章四与章五之间"/>
      <w:r>
        <w:t xml:space="preserve">章四与章五之间</w:t>
      </w:r>
      <w:bookmarkEnd w:id="29"/>
    </w:p>
    <w:p>
      <w:pPr>
        <w:pStyle w:val="BlockText"/>
      </w:pPr>
      <w:r>
        <w:t xml:space="preserve">此段位于 4.2 末尾</w:t>
      </w:r>
      <w:r>
        <w:t xml:space="preserve">“</w:t>
      </w:r>
      <w:r>
        <w:t xml:space="preserve">产生了一类新的有争议的实体——</w:t>
      </w:r>
      <w:r>
        <w:t xml:space="preserve">‘</w:t>
      </w:r>
      <w:r>
        <w:t xml:space="preserve">持有原体记忆的他者</w:t>
      </w:r>
      <w:r>
        <w:t xml:space="preserve">’</w:t>
      </w:r>
      <w:r>
        <w:t xml:space="preserve">”</w:t>
      </w:r>
      <w:r>
        <w:t xml:space="preserve">之后，章五开篇之前。</w:t>
      </w:r>
    </w:p>
    <w:p>
      <w:pPr>
        <w:pStyle w:val="FirstParagraph"/>
      </w:pPr>
      <w:r>
        <w:t xml:space="preserve">延寿与永生技术触及</w:t>
      </w:r>
      <w:r>
        <w:t xml:space="preserve">“</w:t>
      </w:r>
      <w:r>
        <w:t xml:space="preserve">人是什么</w:t>
      </w:r>
      <w:r>
        <w:t xml:space="preserve">”</w:t>
      </w:r>
      <w:r>
        <w:t xml:space="preserve">的边界。</w:t>
      </w:r>
      <w:r>
        <w:rPr>
          <w:b/>
        </w:rPr>
        <w:t xml:space="preserve">下一章触及另一边界：人与机器之间的边界。</w:t>
      </w:r>
      <w:r>
        <w:t xml:space="preserve"> </w:t>
      </w:r>
      <w:r>
        <w:t xml:space="preserve">三个维度展开：修复与增强、机器人的形态无关性、机器与人的情感与权益议题。</w:t>
      </w:r>
    </w:p>
    <w:p>
      <w:pPr>
        <w:pStyle w:val="Heading3"/>
      </w:pPr>
      <w:bookmarkStart w:id="30" w:name="章五与章六之间"/>
      <w:r>
        <w:t xml:space="preserve">章五与章六之间</w:t>
      </w:r>
      <w:bookmarkEnd w:id="30"/>
    </w:p>
    <w:p>
      <w:pPr>
        <w:pStyle w:val="BlockText"/>
      </w:pPr>
      <w:r>
        <w:t xml:space="preserve">此段位于章五末</w:t>
      </w:r>
      <w:r>
        <w:t xml:space="preserve">“</w:t>
      </w:r>
      <w:r>
        <w:t xml:space="preserve">两者共同构成了 2072 年人机关系框架持续承压的背景</w:t>
      </w:r>
      <w:r>
        <w:t xml:space="preserve">”</w:t>
      </w:r>
      <w:r>
        <w:t xml:space="preserve">之后，章六开篇之前。</w:t>
      </w:r>
    </w:p>
    <w:p>
      <w:pPr>
        <w:pStyle w:val="FirstParagraph"/>
      </w:pPr>
      <w:r>
        <w:t xml:space="preserve">人与机器的边界讲完。所有这些机器——从战斗机器人到 AI 伴侣——背后都依赖一套通信与算力基础设施。</w:t>
      </w:r>
      <w:r>
        <w:rPr>
          <w:b/>
        </w:rPr>
        <w:t xml:space="preserve">章六回到这套基础设施本身</w:t>
      </w:r>
      <w:r>
        <w:t xml:space="preserve">——基础网络、激光通信、量子计算、量子通信。它们在 2072 年大多无感存在，但它们的形态决定了所有其他系统的可能性边界。</w:t>
      </w:r>
    </w:p>
    <w:p>
      <w:pPr>
        <w:pStyle w:val="Heading3"/>
      </w:pPr>
      <w:bookmarkStart w:id="31" w:name="章六与章七之间"/>
      <w:r>
        <w:t xml:space="preserve">章六与章七之间</w:t>
      </w:r>
      <w:bookmarkEnd w:id="31"/>
    </w:p>
    <w:p>
      <w:pPr>
        <w:pStyle w:val="BlockText"/>
      </w:pPr>
      <w:r>
        <w:t xml:space="preserve">此段位于章六末</w:t>
      </w:r>
      <w:r>
        <w:t xml:space="preserve">“</w:t>
      </w:r>
      <w:r>
        <w:t xml:space="preserve">这条边界本身是多态社会的核心特征之一</w:t>
      </w:r>
      <w:r>
        <w:t xml:space="preserve">”</w:t>
      </w:r>
      <w:r>
        <w:t xml:space="preserve">之后，章七开篇之前。</w:t>
      </w:r>
    </w:p>
    <w:p>
      <w:pPr>
        <w:pStyle w:val="FirstParagraph"/>
      </w:pPr>
      <w:r>
        <w:t xml:space="preserve">至此卷 1 已讲完大尺度的物质基础——能源、资源、制造、生命、机器、通信。</w:t>
      </w:r>
      <w:r>
        <w:rPr>
          <w:b/>
        </w:rPr>
        <w:t xml:space="preserve">下一章转入小尺度——人手能触、人身能穿、人居能用的具体物件</w:t>
      </w:r>
      <w:r>
        <w:t xml:space="preserve">。仿真仓、个人穿戴系统、Muule——三件物件共同构成 2072 年城市集群居民的物质日常。</w:t>
      </w:r>
    </w:p>
    <w:p>
      <w:pPr>
        <w:pStyle w:val="Heading3"/>
      </w:pPr>
      <w:bookmarkStart w:id="32" w:name="章七与章八之间"/>
      <w:r>
        <w:t xml:space="preserve">章七与章八之间</w:t>
      </w:r>
      <w:bookmarkEnd w:id="32"/>
    </w:p>
    <w:p>
      <w:pPr>
        <w:pStyle w:val="BlockText"/>
      </w:pPr>
      <w:r>
        <w:t xml:space="preserve">此段位于章七·7.3 Muule 章末</w:t>
      </w:r>
      <w:r>
        <w:t xml:space="preserve">“</w:t>
      </w:r>
      <w:r>
        <w:t xml:space="preserve">Muule 是 2072 年物件层面对城市出行的重新定义</w:t>
      </w:r>
      <w:r>
        <w:t xml:space="preserve">”</w:t>
      </w:r>
      <w:r>
        <w:t xml:space="preserve">之后，章八开篇之前。</w:t>
      </w:r>
    </w:p>
    <w:p>
      <w:pPr>
        <w:pStyle w:val="FirstParagraph"/>
      </w:pPr>
      <w:r>
        <w:t xml:space="preserve">Muule 是城市集群里最常见的个人交通工具。</w:t>
      </w:r>
      <w:r>
        <w:rPr>
          <w:b/>
        </w:rPr>
        <w:t xml:space="preserve">但城市集群之外、Muule 服务范围之外，整个交通生态仍然庞大复杂</w:t>
      </w:r>
      <w:r>
        <w:t xml:space="preserve">。章八展开 Muule 之外的全部移动与连通——传统车辆、地面交通控制系统、海洋运输、航空交通、货运体系全貌。</w:t>
      </w:r>
    </w:p>
    <w:p>
      <w:r>
        <w:pict>
          <v:rect style="width:0;height:1.5pt" o:hralign="center" o:hrstd="t" o:hr="t"/>
        </w:pict>
      </w:r>
    </w:p>
    <w:p>
      <w:pPr>
        <w:pStyle w:val="Heading2"/>
      </w:pPr>
      <w:bookmarkStart w:id="33" w:name="三卷-1-卷尾向卷-3-衔接段"/>
      <w:r>
        <w:t xml:space="preserve">三、卷 1 卷尾向卷 3 衔接段</w:t>
      </w:r>
      <w:bookmarkEnd w:id="33"/>
    </w:p>
    <w:p>
      <w:pPr>
        <w:pStyle w:val="BlockText"/>
      </w:pPr>
      <w:r>
        <w:t xml:space="preserve">此段位于 8.5 末</w:t>
      </w:r>
      <w:r>
        <w:t xml:space="preserve">“</w:t>
      </w:r>
      <w:r>
        <w:t xml:space="preserve">卷 1 物质基础的主体内容亦告完成</w:t>
      </w:r>
      <w:r>
        <w:t xml:space="preserve">”</w:t>
      </w:r>
      <w:r>
        <w:t xml:space="preserve">之后，作为卷 1 整体收束。</w:t>
      </w:r>
    </w:p>
    <w:p>
      <w:pPr>
        <w:pStyle w:val="FirstParagraph"/>
      </w:pPr>
      <w:r>
        <w:t xml:space="preserve">至此卷 1 完结。读者诸君头脑中现在应当有了 2072 年的物质轮廓——能源从聚变堆来、资源从深海与回收来、制造在无人工厂里完成、医疗能延寿至 140 岁、AI 渗透到日常的所有维度、Muule 跟在人身后、城市集群与遗忘地带之间是技术和物流的硬边界。</w:t>
      </w:r>
    </w:p>
    <w:p>
      <w:pPr>
        <w:pStyle w:val="BodyText"/>
      </w:pPr>
      <w:r>
        <w:rPr>
          <w:b/>
        </w:rPr>
        <w:t xml:space="preserve">这副物质骨架是后续诸卷讨论的共同前提：</w:t>
      </w:r>
    </w:p>
    <w:p>
      <w:pPr>
        <w:numPr>
          <w:ilvl w:val="0"/>
          <w:numId w:val="1007"/>
        </w:numPr>
        <w:pStyle w:val="Compact"/>
      </w:pPr>
      <w:r>
        <w:rPr>
          <w:b/>
        </w:rPr>
        <w:t xml:space="preserve">卷 2 核心机制</w:t>
      </w:r>
      <w:r>
        <w:t xml:space="preserve">已论述了这副骨架下的社会运行机制（劳动塌陷、流动收缩、相互忽视均衡、被需要感）。</w:t>
      </w:r>
    </w:p>
    <w:p>
      <w:pPr>
        <w:numPr>
          <w:ilvl w:val="0"/>
          <w:numId w:val="1007"/>
        </w:numPr>
        <w:pStyle w:val="Compact"/>
      </w:pPr>
      <w:r>
        <w:rPr>
          <w:b/>
        </w:rPr>
        <w:t xml:space="preserve">卷 3 制度分化</w:t>
      </w:r>
      <w:r>
        <w:t xml:space="preserve">将展开同一副骨架下七条路径上的不同制度形态——同样的聚变红利在美式路径上以积分托底制承接，在中国路径上以票据制承接，在附庸路径上以制度形式输入承接，在持平国家以双轨碎片化承接，在资源国以分化命运承接，在遗忘地带以制度真空下的传统结构承接。</w:t>
      </w:r>
      <w:r>
        <w:rPr>
          <w:b/>
        </w:rPr>
        <w:t xml:space="preserve">物质骨架是共同的，制度形态是路径性的。</w:t>
      </w:r>
    </w:p>
    <w:p>
      <w:pPr>
        <w:numPr>
          <w:ilvl w:val="0"/>
          <w:numId w:val="1007"/>
        </w:numPr>
        <w:pStyle w:val="Compact"/>
      </w:pPr>
      <w:r>
        <w:rPr>
          <w:b/>
        </w:rPr>
        <w:t xml:space="preserve">卷 4 行进的时间线</w:t>
      </w:r>
      <w:r>
        <w:t xml:space="preserve">将展开这副骨架的演化过程——2027—2076 年间它如何一步步建成。</w:t>
      </w:r>
    </w:p>
    <w:p>
      <w:pPr>
        <w:numPr>
          <w:ilvl w:val="0"/>
          <w:numId w:val="1007"/>
        </w:numPr>
        <w:pStyle w:val="Compact"/>
      </w:pPr>
      <w:r>
        <w:rPr>
          <w:b/>
        </w:rPr>
        <w:t xml:space="preserve">卷 5 地理图景</w:t>
      </w:r>
      <w:r>
        <w:t xml:space="preserve">将展开这副骨架在地球表面的分布——它在不同地区上呈现何种物质形态。</w:t>
      </w:r>
    </w:p>
    <w:p>
      <w:pPr>
        <w:numPr>
          <w:ilvl w:val="0"/>
          <w:numId w:val="1007"/>
        </w:numPr>
        <w:pStyle w:val="Compact"/>
      </w:pPr>
      <w:r>
        <w:rPr>
          <w:b/>
        </w:rPr>
        <w:t xml:space="preserve">卷 6 未来开放</w:t>
      </w:r>
      <w:r>
        <w:t xml:space="preserve">将讨论这副骨架的可能演化与扰动源——它如何可能被未来某种事件改写。</w:t>
      </w:r>
    </w:p>
    <w:p>
      <w:pPr>
        <w:pStyle w:val="FirstParagraph"/>
      </w:pPr>
      <w:r>
        <w:rPr>
          <w:b/>
        </w:rPr>
        <w:t xml:space="preserve">读者诸君如想以此为底版做后续开发（小说、游戏、研究项目）</w:t>
      </w:r>
      <w:r>
        <w:t xml:space="preserve">：卷 1 提供的是物质技术参数与机制描述层，</w:t>
      </w:r>
      <w:r>
        <w:rPr>
          <w:b/>
        </w:rPr>
        <w:t xml:space="preserve">卷 3 和卷 5 提供的是路径与地理的具体形态</w:t>
      </w:r>
      <w:r>
        <w:t xml:space="preserve">，三卷合起来基本构成可以二次创作的世界观底版。物质参数若需更细节者，本卷各章末尾的</w:t>
      </w:r>
      <w:r>
        <w:t xml:space="preserve">“</w:t>
      </w:r>
      <w:r>
        <w:t xml:space="preserve">详见附件</w:t>
      </w:r>
      <w:r>
        <w:t xml:space="preserve">”</w:t>
      </w:r>
      <w:r>
        <w:t xml:space="preserve">指向附录中的技术规格文件（《Muule 技术规格》、《仿真仓技术规格》、《深海采矿城镇技术规格》）。</w:t>
      </w:r>
    </w:p>
    <w:p>
      <w:pPr>
        <w:pStyle w:val="BodyText"/>
      </w:pPr>
      <w:r>
        <w:t xml:space="preserve">下一卷（卷 3）转入制度分化——同一物质骨架下七条路径的不同制度回应。</w:t>
      </w:r>
    </w:p>
    <w:p>
      <w:r>
        <w:pict>
          <v:rect style="width:0;height:1.5pt" o:hralign="center" o:hrstd="t" o:hr="t"/>
        </w:pict>
      </w:r>
    </w:p>
    <w:p>
      <w:pPr>
        <w:pStyle w:val="Heading2"/>
      </w:pPr>
      <w:bookmarkStart w:id="34" w:name="四卷-1-卷尾页"/>
      <w:r>
        <w:t xml:space="preserve">四、卷 1 卷尾页</w:t>
      </w:r>
      <w:bookmarkEnd w:id="34"/>
    </w:p>
    <w:p>
      <w:pPr>
        <w:pStyle w:val="Heading3"/>
      </w:pPr>
      <w:bookmarkStart w:id="35" w:name="卷-1-物质基础完"/>
      <w:r>
        <w:t xml:space="preserve">卷 1　物质基础·完</w:t>
      </w:r>
      <w:bookmarkEnd w:id="35"/>
    </w:p>
    <w:p>
      <w:pPr>
        <w:pStyle w:val="SourceCode"/>
      </w:pPr>
      <w:r>
        <w:rPr>
          <w:rStyle w:val="VerbatimChar"/>
        </w:rPr>
        <w:t xml:space="preserve">卷 0    导论                          [已完成]</w:t>
      </w:r>
      <w:r>
        <w:br/>
      </w:r>
      <w:r>
        <w:rPr>
          <w:rStyle w:val="VerbatimChar"/>
        </w:rPr>
        <w:t xml:space="preserve">卷 1    物质基础                      [本卷已完成]</w:t>
      </w:r>
      <w:r>
        <w:br/>
      </w:r>
      <w:r>
        <w:rPr>
          <w:rStyle w:val="VerbatimChar"/>
        </w:rPr>
        <w:t xml:space="preserve">卷 2    核心机制                      [已完成]</w:t>
      </w:r>
      <w:r>
        <w:br/>
      </w:r>
      <w:r>
        <w:rPr>
          <w:rStyle w:val="VerbatimChar"/>
        </w:rPr>
        <w:t xml:space="preserve">卷 3    制度分化                      [下一卷]</w:t>
      </w:r>
      <w:r>
        <w:br/>
      </w:r>
      <w:r>
        <w:rPr>
          <w:rStyle w:val="VerbatimChar"/>
        </w:rPr>
        <w:t xml:space="preserve">卷 4    行进的时间线</w:t>
      </w:r>
      <w:r>
        <w:br/>
      </w:r>
      <w:r>
        <w:rPr>
          <w:rStyle w:val="VerbatimChar"/>
        </w:rPr>
        <w:t xml:space="preserve">卷 5    地理图景</w:t>
      </w:r>
      <w:r>
        <w:br/>
      </w:r>
      <w:r>
        <w:rPr>
          <w:rStyle w:val="VerbatimChar"/>
        </w:rPr>
        <w:t xml:space="preserve">卷 6    未来开放</w:t>
      </w:r>
      <w:r>
        <w:br/>
      </w:r>
      <w:r>
        <w:rPr>
          <w:rStyle w:val="VerbatimChar"/>
        </w:rPr>
        <w:t xml:space="preserve">附录 A—F</w:t>
      </w:r>
    </w:p>
    <w:p>
      <w:pPr>
        <w:pStyle w:val="Heading2"/>
      </w:pPr>
      <w:bookmarkStart w:id="36" w:name="章一-两条主轴ai-与聚变"/>
      <w:r>
        <w:t xml:space="preserve">章一　两条主轴：AI 与聚变</w:t>
      </w:r>
      <w:bookmarkEnd w:id="36"/>
    </w:p>
    <w:p>
      <w:pPr>
        <w:pStyle w:val="FirstParagraph"/>
      </w:pPr>
      <w:r>
        <w:t xml:space="preserve">2027 至 2055 年的双轴变迁，物质基础落在两条曲线上——AI 能力的渐进演化与聚变能源的阶段性跃迁。两条曲线的工程进度错开，但叠加于同一时间窗口；前者改写认知劳动的市场基础，后者改写物质生产的能量基础。</w:t>
      </w:r>
      <w:r>
        <w:rPr>
          <w:b/>
        </w:rPr>
        <w:t xml:space="preserve">本章把这两条曲线讲清楚——技术本身的特征、临界点、成本结构、物理边界</w:t>
      </w:r>
      <w:r>
        <w:t xml:space="preserve">。技术变迁的社会后果（劳动塌陷、流动收缩、相互忽视均衡）已在卷 2 展开，本卷不重复；本章聚焦物质技术本身。</w:t>
      </w:r>
    </w:p>
    <w:p>
      <w:pPr>
        <w:pStyle w:val="BodyText"/>
      </w:pPr>
      <w:r>
        <w:t xml:space="preserve">历史上类似的双轴叠加并不少见。18 世纪后半叶蒸汽机与农业革命叠加；19 世纪后半叶电力与内燃机叠加；20 世纪中叶石油与化工合成叠加。每一次双轴叠加都使后续半个世纪的物质条件重写。</w:t>
      </w:r>
      <w:r>
        <w:rPr>
          <w:b/>
        </w:rPr>
        <w:t xml:space="preserve">2027—2055 年这一次的特殊之处不在于规模，在于两轴影响的层面：AI 触及认知劳动，聚变触及能源约束——前一类历史先例从未同时触及这两个层面。</w:t>
      </w:r>
    </w:p>
    <w:p>
      <w:pPr>
        <w:pStyle w:val="BodyText"/>
      </w:pPr>
      <w:r>
        <w:t xml:space="preserve">本章三节展开：AI 的渐进演化与其代价（1.1）；聚变的阶段性跃迁（1.2）；两轴的交汇点（1.3）。</w:t>
      </w:r>
    </w:p>
    <w:p>
      <w:r>
        <w:pict>
          <v:rect style="width:0;height:1.5pt" o:hralign="center" o:hrstd="t" o:hr="t"/>
        </w:pict>
      </w:r>
    </w:p>
    <w:p>
      <w:pPr>
        <w:pStyle w:val="Heading2"/>
      </w:pPr>
      <w:bookmarkStart w:id="37" w:name="ai-的渐进演化与其代价"/>
      <w:r>
        <w:t xml:space="preserve">1.1　AI 的渐进演化与其代价</w:t>
      </w:r>
      <w:bookmarkEnd w:id="37"/>
    </w:p>
    <w:p>
      <w:pPr>
        <w:pStyle w:val="Heading3"/>
      </w:pPr>
      <w:bookmarkStart w:id="38" w:name="agi-临界的工作定义"/>
      <w:r>
        <w:t xml:space="preserve">AGI 临界的工作定义</w:t>
      </w:r>
      <w:bookmarkEnd w:id="38"/>
    </w:p>
    <w:p>
      <w:pPr>
        <w:pStyle w:val="FirstParagraph"/>
      </w:pPr>
      <w:r>
        <w:t xml:space="preserve">“</w:t>
      </w:r>
      <w:r>
        <w:t xml:space="preserve">AGI</w:t>
      </w:r>
      <w:r>
        <w:t xml:space="preserve">”</w:t>
      </w:r>
      <w:r>
        <w:t xml:space="preserve">在学术界和工业界没有统一定义，不同定义对应不同的临界时间节点和不同的社会影响路径。</w:t>
      </w:r>
      <w:r>
        <w:rPr>
          <w:b/>
        </w:rPr>
        <w:t xml:space="preserve">本书使用一个聚焦于经济替代能力的工作定义：</w:t>
      </w:r>
    </w:p>
    <w:p>
      <w:pPr>
        <w:pStyle w:val="BlockText"/>
      </w:pPr>
      <w:r>
        <w:rPr>
          <w:b/>
        </w:rPr>
        <w:t xml:space="preserve">AGI 临界指：AI 系统在无需针对特定任务专项训练的情况下，能够在大多数有经济价值的认知任务上达到或超过人类专业水平，且推理成本降至边际可忽略。</w:t>
      </w:r>
    </w:p>
    <w:p>
      <w:pPr>
        <w:pStyle w:val="FirstParagraph"/>
      </w:pPr>
      <w:r>
        <w:t xml:space="preserve">这个定义对应的现实检验标准是：一个企业能否用这个系统替代一名受过大学教育的通用知识工作者，且替代成本低于雇用。</w:t>
      </w:r>
    </w:p>
    <w:p>
      <w:pPr>
        <w:pStyle w:val="BodyText"/>
      </w:pPr>
      <w:r>
        <w:t xml:space="preserve">这一定义刻意回避了两个常见的扩展：一是</w:t>
      </w:r>
      <w:r>
        <w:t xml:space="preserve">“</w:t>
      </w:r>
      <w:r>
        <w:t xml:space="preserve">自我改进</w:t>
      </w:r>
      <w:r>
        <w:t xml:space="preserve">”</w:t>
      </w:r>
      <w:r>
        <w:t xml:space="preserve">（递归式能力提升）；二是超越人类的跨领域科学发现能力。两者在 2026 年都没有可靠的技术路径，放入定义会使临界判断无法锚定。</w:t>
      </w:r>
      <w:r>
        <w:rPr>
          <w:b/>
        </w:rPr>
        <w:t xml:space="preserve">本书的 AGI 临界是一个经济意义上的门槛事件，不是科幻意义上的奇点。</w:t>
      </w:r>
    </w:p>
    <w:p>
      <w:pPr>
        <w:pStyle w:val="Heading3"/>
      </w:pPr>
      <w:bookmarkStart w:id="39" w:name="年判断的三条证据链"/>
      <w:r>
        <w:t xml:space="preserve">2027 年判断的三条证据链</w:t>
      </w:r>
      <w:bookmarkEnd w:id="39"/>
    </w:p>
    <w:p>
      <w:pPr>
        <w:pStyle w:val="FirstParagraph"/>
      </w:pPr>
      <w:r>
        <w:t xml:space="preserve">从 2026 年的技术现状推算，到达上述定义的临界有三条收敛的证据链。</w:t>
      </w:r>
    </w:p>
    <w:p>
      <w:pPr>
        <w:pStyle w:val="BodyText"/>
      </w:pPr>
      <w:r>
        <w:rPr>
          <w:b/>
        </w:rPr>
        <w:t xml:space="preserve">第一条是能力曲线的现实基线。</w:t>
      </w:r>
      <w:r>
        <w:t xml:space="preserve"> </w:t>
      </w:r>
      <w:r>
        <w:t xml:space="preserve">截至 2026 年，前沿模型在法律文书起草、代码生成、金融分析、医学影像初筛等具体专业任务上已经达到或接近人类专业水平，但在需要持续推理、跨会话记忆、工具调用和主动任务分解的通用场景中仍有明显局限。这些局限对应的技术问题——长上下文可靠性、多步骤规划稳定性、工具调用成功率——是可以被识别的工程问题，</w:t>
      </w:r>
      <w:r>
        <w:rPr>
          <w:b/>
        </w:rPr>
        <w:t xml:space="preserve">不是原理性障碍</w:t>
      </w:r>
      <w:r>
        <w:t xml:space="preserve">。当前进展速度下，这些问题的工程解决窗口在 1—3 年内。</w:t>
      </w:r>
    </w:p>
    <w:p>
      <w:pPr>
        <w:pStyle w:val="BodyText"/>
      </w:pPr>
      <w:r>
        <w:rPr>
          <w:b/>
        </w:rPr>
        <w:t xml:space="preserve">第二条是推理成本曲线。</w:t>
      </w:r>
      <w:r>
        <w:t xml:space="preserve"> </w:t>
      </w:r>
      <w:r>
        <w:t xml:space="preserve">2023 年到 2026 年，前沿模型推理成本每年大幅下降，这是算力效率提升和模型架构优化的叠加结果。以这个曲线外推，到 2027—2028 年，通用认知任务的单次推理成本将低于同等任务的人工时薪，形成经济替代的基本条件。</w:t>
      </w:r>
      <w:r>
        <w:rPr>
          <w:b/>
        </w:rPr>
        <w:t xml:space="preserve">成本曲线比能力曲线更可预测</w:t>
      </w:r>
      <w:r>
        <w:t xml:space="preserve">——它主要由芯片性能和规模效应决定，不依赖不确定的算法突破。</w:t>
      </w:r>
    </w:p>
    <w:p>
      <w:pPr>
        <w:pStyle w:val="BodyText"/>
      </w:pPr>
      <w:r>
        <w:rPr>
          <w:b/>
        </w:rPr>
        <w:t xml:space="preserve">第三条是部署基础设施的成熟度。</w:t>
      </w:r>
      <w:r>
        <w:t xml:space="preserve"> </w:t>
      </w:r>
      <w:r>
        <w:t xml:space="preserve">AGI 的经济替代不只需要能力临界，还需要企业能够把 AI 系统嵌入现有工作流程。2024—2026 年</w:t>
      </w:r>
      <w:r>
        <w:t xml:space="preserve">“</w:t>
      </w:r>
      <w:r>
        <w:t xml:space="preserve">智能体</w:t>
      </w:r>
      <w:r>
        <w:t xml:space="preserve">”</w:t>
      </w:r>
      <w:r>
        <w:t xml:space="preserve">（agentic AI）工具链的快速成熟——能够调用外部工具、维持多步骤任务、在企业系统中自主操作——表明部署基础设施与能力提升在同步推进。</w:t>
      </w:r>
      <w:r>
        <w:rPr>
          <w:b/>
        </w:rPr>
        <w:t xml:space="preserve">两者同步是替代规模化的前提，而不只是能力到达临界。</w:t>
      </w:r>
    </w:p>
    <w:p>
      <w:pPr>
        <w:pStyle w:val="BodyText"/>
      </w:pPr>
      <w:r>
        <w:t xml:space="preserve">三条证据链综合，2027 年是一个内在一致的判断。它的不确定性范围是前后约两年：算法效率提升加速使临界可能在 2025—2026 年提前到达（这在本书写作时已是现实可见的可能性）；推理可靠性问题比预期难以工程化解决则使临界可能推迟到 2028—2029 年。</w:t>
      </w:r>
      <w:r>
        <w:rPr>
          <w:b/>
        </w:rPr>
        <w:t xml:space="preserve">核心推演不依赖临界年份的精确性，依赖的是</w:t>
      </w:r>
      <w:r>
        <w:rPr>
          <w:b/>
        </w:rPr>
        <w:t xml:space="preserve">“</w:t>
      </w:r>
      <w:r>
        <w:rPr>
          <w:b/>
        </w:rPr>
        <w:t xml:space="preserve">临界发生在聚变商业化（2044 年）之前约 15 年</w:t>
      </w:r>
      <w:r>
        <w:rPr>
          <w:b/>
        </w:rPr>
        <w:t xml:space="preserve">”</w:t>
      </w:r>
      <w:r>
        <w:rPr>
          <w:b/>
        </w:rPr>
        <w:t xml:space="preserve">这个相对时序关系</w:t>
      </w:r>
      <w:r>
        <w:t xml:space="preserve">——这个关系在两年的误差范围内是稳健的。</w:t>
      </w:r>
    </w:p>
    <w:p>
      <w:pPr>
        <w:pStyle w:val="Heading3"/>
      </w:pPr>
      <w:bookmarkStart w:id="40" w:name="两条主路径上的-ai-能力分岔"/>
      <w:r>
        <w:t xml:space="preserve">两条主路径上的 AI 能力分岔</w:t>
      </w:r>
      <w:bookmarkEnd w:id="40"/>
    </w:p>
    <w:p>
      <w:pPr>
        <w:pStyle w:val="FirstParagraph"/>
      </w:pPr>
      <w:r>
        <w:t xml:space="preserve">本书设定美式路径在通用推理方向率先到达 AGI 临界，中国路径在垂直部署方向更早完成规模化。这一设定不是价值判断，是两个体系的结构性差异。</w:t>
      </w:r>
    </w:p>
    <w:p>
      <w:pPr>
        <w:pStyle w:val="BodyText"/>
      </w:pPr>
      <w:r>
        <w:rPr>
          <w:b/>
        </w:rPr>
        <w:t xml:space="preserve">美式路径的优势是认知自由度：</w:t>
      </w:r>
      <w:r>
        <w:t xml:space="preserve"> </w:t>
      </w:r>
      <w:r>
        <w:t xml:space="preserve">开放的研究环境、跨机构人才流动、允许失败的创业文化，产生了更高密度的范式突破。AGI 在本书的定义下本质上是一个通用推理问题，需要的是能力的广度和跨域迁移，而不只是垂直场景的工程优化。这类突破更容易在开放的认知环境中出现。</w:t>
      </w:r>
    </w:p>
    <w:p>
      <w:pPr>
        <w:pStyle w:val="BodyText"/>
      </w:pPr>
      <w:r>
        <w:rPr>
          <w:b/>
        </w:rPr>
        <w:t xml:space="preserve">中国路径的优势是部署密度：</w:t>
      </w:r>
      <w:r>
        <w:t xml:space="preserve"> </w:t>
      </w:r>
      <w:r>
        <w:t xml:space="preserve">制造质检、物流调度、政务审批等垂直场景的 AI 部署密度在 2026 年已是全球最高，大规模真实场景数据的积累使垂直能力的工程优化速度更快。垂直部署不需要 AGI——它只需要在特定域内可靠运行的专项模型。</w:t>
      </w:r>
    </w:p>
    <w:p>
      <w:pPr>
        <w:pStyle w:val="BodyText"/>
      </w:pPr>
      <w:r>
        <w:t xml:space="preserve">两条路径不是竞争关系，是在不同维度上各有先发优势。美式路径先到达通用推理临界，中国路径先完成垂直场景的规模化替代。两者在不同时序上触发不同的经济和社会后果——这一时序错位本身是后续动荡期不同路径上不同节奏的物质起因之一。</w:t>
      </w:r>
    </w:p>
    <w:p>
      <w:pPr>
        <w:pStyle w:val="Heading3"/>
      </w:pPr>
      <w:bookmarkStart w:id="41" w:name="agi-之后的能力演化"/>
      <w:r>
        <w:t xml:space="preserve">AGI 之后的能力演化</w:t>
      </w:r>
      <w:bookmarkEnd w:id="41"/>
    </w:p>
    <w:p>
      <w:pPr>
        <w:pStyle w:val="FirstParagraph"/>
      </w:pPr>
      <w:r>
        <w:t xml:space="preserve">AGI 临界不是终点，是一个加速起点。到达临界之后，三个演化方向同时推进。</w:t>
      </w:r>
    </w:p>
    <w:p>
      <w:pPr>
        <w:pStyle w:val="BodyText"/>
      </w:pPr>
      <w:r>
        <w:rPr>
          <w:b/>
        </w:rPr>
        <w:t xml:space="preserve">自主性提升：</w:t>
      </w:r>
      <w:r>
        <w:t xml:space="preserve"> </w:t>
      </w:r>
      <w:r>
        <w:t xml:space="preserve">从</w:t>
      </w:r>
      <w:r>
        <w:t xml:space="preserve">“</w:t>
      </w:r>
      <w:r>
        <w:t xml:space="preserve">需要人类在回路</w:t>
      </w:r>
      <w:r>
        <w:t xml:space="preserve">”</w:t>
      </w:r>
      <w:r>
        <w:t xml:space="preserve">到</w:t>
      </w:r>
      <w:r>
        <w:t xml:space="preserve">“</w:t>
      </w:r>
      <w:r>
        <w:t xml:space="preserve">人类仅在关键节点介入</w:t>
      </w:r>
      <w:r>
        <w:t xml:space="preserve">”</w:t>
      </w:r>
      <w:r>
        <w:t xml:space="preserve">到</w:t>
      </w:r>
      <w:r>
        <w:t xml:space="preserve">“</w:t>
      </w:r>
      <w:r>
        <w:t xml:space="preserve">人类仅负责目标设定</w:t>
      </w:r>
      <w:r>
        <w:t xml:space="preserve">”</w:t>
      </w:r>
      <w:r>
        <w:t xml:space="preserve">的梯度演化。2035 年前后智能体 AI 的规模化对应第二级；2048 年前后高级 AI 系统对应第三级。每一级跃迁都使可委托给 AI 完成的任务范围显著扩展。</w:t>
      </w:r>
    </w:p>
    <w:p>
      <w:pPr>
        <w:pStyle w:val="BodyText"/>
      </w:pPr>
      <w:r>
        <w:rPr>
          <w:b/>
        </w:rPr>
        <w:t xml:space="preserve">多模态融合：</w:t>
      </w:r>
      <w:r>
        <w:t xml:space="preserve"> </w:t>
      </w:r>
      <w:r>
        <w:t xml:space="preserve">语言、视觉、物理操作能力在具身机器人平台上的整合，是将认知替代扩展到物理劳动的关键路径。2032 年具身机器人商业化是这条路径上的重要节点——之前 AI 主要替代认知劳动，之后开始系统性进入物理劳动。</w:t>
      </w:r>
    </w:p>
    <w:p>
      <w:pPr>
        <w:pStyle w:val="BodyText"/>
      </w:pPr>
      <w:r>
        <w:rPr>
          <w:b/>
        </w:rPr>
        <w:t xml:space="preserve">推理成本归零：</w:t>
      </w:r>
      <w:r>
        <w:t xml:space="preserve"> </w:t>
      </w:r>
      <w:r>
        <w:t xml:space="preserve">到 2040 年代，主要认知任务的推理成本将低至可忽略，经济替代的障碍从</w:t>
      </w:r>
      <w:r>
        <w:t xml:space="preserve">“</w:t>
      </w:r>
      <w:r>
        <w:t xml:space="preserve">能不能做</w:t>
      </w:r>
      <w:r>
        <w:t xml:space="preserve">”</w:t>
      </w:r>
      <w:r>
        <w:t xml:space="preserve">转向</w:t>
      </w:r>
      <w:r>
        <w:t xml:space="preserve">“</w:t>
      </w:r>
      <w:r>
        <w:t xml:space="preserve">愿不愿意让 AI 做</w:t>
      </w:r>
      <w:r>
        <w:t xml:space="preserve">”</w:t>
      </w:r>
      <w:r>
        <w:t xml:space="preserve">——</w:t>
      </w:r>
      <w:r>
        <w:rPr>
          <w:b/>
        </w:rPr>
        <w:t xml:space="preserve">后者是社会和制度问题，不是技术问题。</w:t>
      </w:r>
      <w:r>
        <w:t xml:space="preserve"> </w:t>
      </w:r>
      <w:r>
        <w:t xml:space="preserve">制度上是否允许 AI 替代医生、律师、教师、法官、议员——这一系列议题在 2040—2055 年间各路径上以不同方式回应。</w:t>
      </w:r>
    </w:p>
    <w:p>
      <w:pPr>
        <w:pStyle w:val="Heading3"/>
      </w:pPr>
      <w:bookmarkStart w:id="42" w:name="ai-能力的物理边界与社会边界"/>
      <w:r>
        <w:t xml:space="preserve">AI 能力的物理边界与社会边界</w:t>
      </w:r>
      <w:bookmarkEnd w:id="42"/>
    </w:p>
    <w:p>
      <w:pPr>
        <w:pStyle w:val="FirstParagraph"/>
      </w:pPr>
      <w:r>
        <w:t xml:space="preserve">AI 的演化也有边界——本节最后明示这些边界，以避免对 AI 能力的过度推演。</w:t>
      </w:r>
    </w:p>
    <w:p>
      <w:pPr>
        <w:pStyle w:val="BodyText"/>
      </w:pPr>
      <w:r>
        <w:rPr>
          <w:b/>
        </w:rPr>
        <w:t xml:space="preserve">物理边界。</w:t>
      </w:r>
      <w:r>
        <w:t xml:space="preserve"> </w:t>
      </w:r>
      <w:r>
        <w:t xml:space="preserve">AI 不能突破物理定律，不能直接产生物质——它需要通过具身机器人或工业系统才能在物理世界中行动。AI 的</w:t>
      </w:r>
      <w:r>
        <w:t xml:space="preserve">“</w:t>
      </w:r>
      <w:r>
        <w:t xml:space="preserve">能力</w:t>
      </w:r>
      <w:r>
        <w:t xml:space="preserve">”</w:t>
      </w:r>
      <w:r>
        <w:t xml:space="preserve">主要在认知层面（信息处理、决策、协调）；物理层面的能力仍受机器人本体、能源供应、材料强度等物质条件的约束。</w:t>
      </w:r>
      <w:r>
        <w:rPr>
          <w:b/>
        </w:rPr>
        <w:t xml:space="preserve">这一边界使 AI 时代的物质生产仍依赖物理基础设施——这是聚变能源对 AI 时代如此关键的根本原因。</w:t>
      </w:r>
    </w:p>
    <w:p>
      <w:pPr>
        <w:pStyle w:val="BodyText"/>
      </w:pPr>
      <w:r>
        <w:rPr>
          <w:b/>
        </w:rPr>
        <w:t xml:space="preserve">经济边界。</w:t>
      </w:r>
      <w:r>
        <w:t xml:space="preserve"> </w:t>
      </w:r>
      <w:r>
        <w:t xml:space="preserve">AI 的部署密度受推理成本约束。即使技术上可以替代某项任务，若推理成本高于人工，替代不会发生。到 2040 年代推理成本大幅下降使大多数经济边界消失，但小部分高复杂度任务（持续多年的复杂判断、需要极广跨域知识的综合决策）的推理成本仍较高，这些任务的替代节奏较慢。</w:t>
      </w:r>
    </w:p>
    <w:p>
      <w:pPr>
        <w:pStyle w:val="BodyText"/>
      </w:pPr>
      <w:r>
        <w:rPr>
          <w:b/>
        </w:rPr>
        <w:t xml:space="preserve">社会边界。</w:t>
      </w:r>
      <w:r>
        <w:t xml:space="preserve"> </w:t>
      </w:r>
      <w:r>
        <w:t xml:space="preserve">AI 的部署受社会接受度约束。即使技术与经济条件成熟，</w:t>
      </w:r>
      <w:r>
        <w:rPr>
          <w:b/>
        </w:rPr>
        <w:t xml:space="preserve">人类对</w:t>
      </w:r>
      <w:r>
        <w:rPr>
          <w:b/>
        </w:rPr>
        <w:t xml:space="preserve">“</w:t>
      </w:r>
      <w:r>
        <w:rPr>
          <w:b/>
        </w:rPr>
        <w:t xml:space="preserve">让 AI 做这件事</w:t>
      </w:r>
      <w:r>
        <w:rPr>
          <w:b/>
        </w:rPr>
        <w:t xml:space="preserve">”</w:t>
      </w:r>
      <w:r>
        <w:rPr>
          <w:b/>
        </w:rPr>
        <w:t xml:space="preserve">的接受度需要时间积累。</w:t>
      </w:r>
      <w:r>
        <w:t xml:space="preserve"> </w:t>
      </w:r>
      <w:r>
        <w:t xml:space="preserve">医疗诊断的 AI 接受度比法律咨询的 AI 接受度高（前者有客观验证标准）；商业决策的 AI 接受度比政治决策的 AI 接受度高（前者后果有限）。这一边界使 AI 替代的社会渗透速度低于技术可能性。</w:t>
      </w:r>
    </w:p>
    <w:p>
      <w:pPr>
        <w:pStyle w:val="BodyText"/>
      </w:pPr>
      <w:r>
        <w:rPr>
          <w:b/>
        </w:rPr>
        <w:t xml:space="preserve">意识边界。</w:t>
      </w:r>
      <w:r>
        <w:t xml:space="preserve"> </w:t>
      </w:r>
      <w:r>
        <w:t xml:space="preserve">本书使用的 AGI 定义不涉及意识、自主性、价值观这些哲学议题。AI 在 2072 年是高度能干的工具，</w:t>
      </w:r>
      <w:r>
        <w:rPr>
          <w:b/>
        </w:rPr>
        <w:t xml:space="preserve">不是具有独立意志的主体</w:t>
      </w:r>
      <w:r>
        <w:t xml:space="preserve">——这一判断有时间边界（2076 年之前），超出窗口本书不做断言。这一边界使 AI 时代的人类仍然是社会的主体，不是 AI 与人类共同治理的格局。</w:t>
      </w:r>
    </w:p>
    <w:p>
      <w:r>
        <w:pict>
          <v:rect style="width:0;height:1.5pt" o:hralign="center" o:hrstd="t" o:hr="t"/>
        </w:pict>
      </w:r>
    </w:p>
    <w:p>
      <w:pPr>
        <w:pStyle w:val="Heading2"/>
      </w:pPr>
      <w:bookmarkStart w:id="43" w:name="聚变的阶段性跃迁"/>
      <w:r>
        <w:t xml:space="preserve">1.2　聚变的阶段性跃迁</w:t>
      </w:r>
      <w:bookmarkEnd w:id="43"/>
    </w:p>
    <w:p>
      <w:pPr>
        <w:pStyle w:val="Heading3"/>
      </w:pPr>
      <w:bookmarkStart w:id="44" w:name="从净能量输出到商业并网"/>
      <w:r>
        <w:t xml:space="preserve">从净能量输出到商业并网</w:t>
      </w:r>
      <w:bookmarkEnd w:id="44"/>
    </w:p>
    <w:p>
      <w:pPr>
        <w:pStyle w:val="FirstParagraph"/>
      </w:pPr>
      <w:r>
        <w:t xml:space="preserve">净能量输出（Q&gt;1）是物理突破，</w:t>
      </w:r>
      <w:r>
        <w:rPr>
          <w:b/>
        </w:rPr>
        <w:t xml:space="preserve">不是商业化</w:t>
      </w:r>
      <w:r>
        <w:t xml:space="preserve">。</w:t>
      </w:r>
    </w:p>
    <w:p>
      <w:pPr>
        <w:pStyle w:val="BodyText"/>
      </w:pPr>
      <w:r>
        <w:t xml:space="preserve">从示范堆到商业并网之间横亘着一道工程鸿沟——材料验证、安全监管、供应链建立、电网标准制定，每一项都需要实际时间积累，无法被 AI 完全压缩。历史上大型发电技术从原理验证到商业运营通常需要 10—15 年：1942 年芝加哥大学第一座可控核裂变堆到 1954 年苏联奥布宁斯克第一座并网核电站，经过 12 年；1903 年莱特兄弟首次动力飞行到 1939 年泛美航空跨大西洋商业航班，经过 36 年（航空商业化的物理工程量更大）。</w:t>
      </w:r>
      <w:r>
        <w:rPr>
          <w:b/>
        </w:rPr>
        <w:t xml:space="preserve">AI 辅助工程设计和并联开发将聚变商业化的窗口压缩至约 7—9 年——从 2037 年净能量输出到 2044—2046 年商业并网。</w:t>
      </w:r>
    </w:p>
    <w:p>
      <w:pPr>
        <w:pStyle w:val="BodyText"/>
      </w:pPr>
      <w:r>
        <w:t xml:space="preserve">工程鸿沟的具体内容包括：</w:t>
      </w:r>
    </w:p>
    <w:p>
      <w:pPr>
        <w:numPr>
          <w:ilvl w:val="0"/>
          <w:numId w:val="1008"/>
        </w:numPr>
        <w:pStyle w:val="Compact"/>
      </w:pPr>
      <w:r>
        <w:rPr>
          <w:b/>
        </w:rPr>
        <w:t xml:space="preserve">材料验证</w:t>
      </w:r>
      <w:r>
        <w:t xml:space="preserve">：第一壁材料在中子辐照下的长期性能验证需要数年实际测试，无法通过模拟充分替代。</w:t>
      </w:r>
    </w:p>
    <w:p>
      <w:pPr>
        <w:numPr>
          <w:ilvl w:val="0"/>
          <w:numId w:val="1008"/>
        </w:numPr>
        <w:pStyle w:val="Compact"/>
      </w:pPr>
      <w:r>
        <w:rPr>
          <w:b/>
        </w:rPr>
        <w:t xml:space="preserve">安全监管</w:t>
      </w:r>
      <w:r>
        <w:t xml:space="preserve">：聚变堆的辐射安全等级低于裂变堆（无熔毁风险、放射性废料显著较少），但仍需建立适配的监管框架。各国监管标准在 2040—2046 年间陆续形成。</w:t>
      </w:r>
    </w:p>
    <w:p>
      <w:pPr>
        <w:numPr>
          <w:ilvl w:val="0"/>
          <w:numId w:val="1008"/>
        </w:numPr>
        <w:pStyle w:val="Compact"/>
      </w:pPr>
      <w:r>
        <w:rPr>
          <w:b/>
        </w:rPr>
        <w:t xml:space="preserve">供应链建立</w:t>
      </w:r>
      <w:r>
        <w:t xml:space="preserve">：超导磁体、特种合金、高纯氚氘的工业级供应需要从研究尺度扩展到电力尺度——这一扩展涉及数十家专业供应商的产能建设。</w:t>
      </w:r>
    </w:p>
    <w:p>
      <w:pPr>
        <w:numPr>
          <w:ilvl w:val="0"/>
          <w:numId w:val="1008"/>
        </w:numPr>
        <w:pStyle w:val="Compact"/>
      </w:pPr>
      <w:r>
        <w:rPr>
          <w:b/>
        </w:rPr>
        <w:t xml:space="preserve">电网标准制定</w:t>
      </w:r>
      <w:r>
        <w:t xml:space="preserve">：聚变电站作为新型大功率电源接入既有电网，需要新的并网标准、调度规则、市场机制。</w:t>
      </w:r>
    </w:p>
    <w:p>
      <w:pPr>
        <w:pStyle w:val="Heading3"/>
      </w:pPr>
      <w:bookmarkStart w:id="45" w:name="能源红利渗透阶段"/>
      <w:r>
        <w:t xml:space="preserve">能源红利渗透阶段</w:t>
      </w:r>
      <w:bookmarkEnd w:id="45"/>
    </w:p>
    <w:p>
      <w:pPr>
        <w:pStyle w:val="FirstParagraph"/>
      </w:pPr>
      <w:r>
        <w:t xml:space="preserve">商业并网是起点，</w:t>
      </w:r>
      <w:r>
        <w:rPr>
          <w:b/>
        </w:rPr>
        <w:t xml:space="preserve">不是终点</w:t>
      </w:r>
      <w:r>
        <w:t xml:space="preserve">。聚变的真正经济影响通过成本曲线下行、规模效应累积、产业重组三个相互强化的过程渐进释放，</w:t>
      </w:r>
      <w:r>
        <w:rPr>
          <w:b/>
        </w:rPr>
        <w:t xml:space="preserve">历时约 25 年</w:t>
      </w:r>
      <w:r>
        <w:t xml:space="preserve">。</w:t>
      </w:r>
    </w:p>
    <w:p>
      <w:pPr>
        <w:pStyle w:val="BodyText"/>
      </w:pPr>
      <w:r>
        <w:t xml:space="preserve">不同行业、不同地区在不同时间节点感受到实质变化。</w:t>
      </w:r>
      <w:r>
        <w:rPr>
          <w:b/>
        </w:rPr>
        <w:t xml:space="preserve">工业部门先于居民</w:t>
      </w:r>
      <w:r>
        <w:t xml:space="preserve">——工业用电量大，能源成本占比高，对聚变电价变化最敏感。</w:t>
      </w:r>
      <w:r>
        <w:rPr>
          <w:b/>
        </w:rPr>
        <w:t xml:space="preserve">美式与中国两大路径核心区先于边缘地区</w:t>
      </w:r>
      <w:r>
        <w:t xml:space="preserve">——大规模电网投资在核心区先到位。</w:t>
      </w:r>
      <w:r>
        <w:rPr>
          <w:b/>
        </w:rPr>
        <w:t xml:space="preserve">高能耗行业先于服务业</w:t>
      </w:r>
      <w:r>
        <w:t xml:space="preserve">——钢铁、铝业、化工、采矿、海水淡化在 2050—2060 年代率先享受聚变红利。</w:t>
      </w:r>
    </w:p>
    <w:p>
      <w:pPr>
        <w:pStyle w:val="BodyText"/>
      </w:pPr>
      <w:r>
        <w:t xml:space="preserve">到 2060 年代，聚变电力的渗透深度足以重塑物质生产的成本结构。物流成本下降（电动化更彻底）、海水淡化经济性大幅改善（沙漠与海岛农业可行）、合成燃料经济性临界跨越（航空与远海运输的化石替代）、深海采矿经济性临界跨越（陆地矿产竞争压力浮现）——这些是聚变能源红利在工业层面的具体表现。</w:t>
      </w:r>
    </w:p>
    <w:p>
      <w:pPr>
        <w:pStyle w:val="Heading3"/>
      </w:pPr>
      <w:bookmarkStart w:id="46" w:name="聚变成本结构为何不能真正归零"/>
      <w:r>
        <w:t xml:space="preserve">聚变成本结构：为何不能真正归零</w:t>
      </w:r>
      <w:bookmarkEnd w:id="46"/>
    </w:p>
    <w:p>
      <w:pPr>
        <w:pStyle w:val="FirstParagraph"/>
      </w:pPr>
      <w:r>
        <w:t xml:space="preserve">聚变的燃料成本确实趋近于零——氘从海水提取（约 0.003 美元/kWh 燃料当量），氚由堆内锂-6 增殖自产，两者合计在 LCOE 中几乎可忽略。</w:t>
      </w:r>
      <w:r>
        <w:rPr>
          <w:b/>
        </w:rPr>
        <w:t xml:space="preserve">但资本成本（CAPEX）和运维成本（OPEX）是真实的工程开支，不会消失。</w:t>
      </w:r>
    </w:p>
    <w:p>
      <w:pPr>
        <w:pStyle w:val="BodyText"/>
      </w:pPr>
      <w:r>
        <w:rPr>
          <w:b/>
        </w:rPr>
        <w:t xml:space="preserve">中子辐照损伤是聚变运维的核心挑战。</w:t>
      </w:r>
      <w:r>
        <w:t xml:space="preserve"> </w:t>
      </w:r>
      <w:r>
        <w:t xml:space="preserve">高能中子持续轰击第一壁材料和结构材料，导致金属脆化和活化。第一壁部件（钨/铍）需要每 5—7 年大修更换，产生低放射性废料。远程操作维护设备的成本在早期堆中占 LCOE 的约 15—25%。2072 年辐照损伤材料问题尚未被液态锂壁等技术完全解决——</w:t>
      </w:r>
      <w:r>
        <w:rPr>
          <w:b/>
        </w:rPr>
        <w:t xml:space="preserve">这是聚变运维成本无法压至极低的结构性原因。</w:t>
      </w:r>
    </w:p>
    <w:p>
      <w:pPr>
        <w:pStyle w:val="BodyText"/>
      </w:pPr>
      <w:r>
        <w:rPr>
          <w:b/>
        </w:rPr>
        <w:t xml:space="preserve">LCOE 的理论下限约为 8—15 美元/MWh。</w:t>
      </w:r>
      <w:r>
        <w:t xml:space="preserve"> </w:t>
      </w:r>
      <w:r>
        <w:t xml:space="preserve">假设建设成本随规模效应降至约 10 亿美元/GW（极乐观），30 年寿命、90% 利用率：资本分摊约 3—5 美元/MWh；运维（含材料更换）约 5—10 美元/MWh；燃料约 0.1 美元/MWh。2072 年成熟电网的 LCOE 约 8—15 美元/MWh——</w:t>
      </w:r>
      <w:r>
        <w:rPr>
          <w:b/>
        </w:rPr>
        <w:t xml:space="preserve">相当于今天工业电价的约 1/8 到 1/15。</w:t>
      </w:r>
      <w:r>
        <w:t xml:space="preserve"> </w:t>
      </w:r>
      <w:r>
        <w:t xml:space="preserve">“</w:t>
      </w:r>
      <w:r>
        <w:t xml:space="preserve">趋近于零</w:t>
      </w:r>
      <w:r>
        <w:t xml:space="preserve">”</w:t>
      </w:r>
      <w:r>
        <w:t xml:space="preserve">是相对描述，不是绝对意义上的免费。</w:t>
      </w:r>
    </w:p>
    <w:p>
      <w:pPr>
        <w:pStyle w:val="BodyText"/>
      </w:pPr>
      <w:r>
        <w:t xml:space="preserve">聚变电力在 2072 年已经足够廉价，使能源成本从生产的主要约束变为次要基础设施成本。</w:t>
      </w:r>
      <w:r>
        <w:rPr>
          <w:b/>
        </w:rPr>
        <w:t xml:space="preserve">它没有消除经济成本，但改变了成本结构的权重</w:t>
      </w:r>
      <w:r>
        <w:t xml:space="preserve">——能源不再是限制性变量，资本、技术、人才和物流成为新的竞争要素。这个改变是深刻的，但它是渐进完成的，时间跨度从 2047 年到 2072 年，</w:t>
      </w:r>
      <w:r>
        <w:rPr>
          <w:b/>
        </w:rPr>
        <w:t xml:space="preserve">不是 2044 年一步到位</w:t>
      </w:r>
      <w:r>
        <w:t xml:space="preserve">。</w:t>
      </w:r>
    </w:p>
    <w:p>
      <w:pPr>
        <w:pStyle w:val="Heading3"/>
      </w:pPr>
      <w:bookmarkStart w:id="47" w:name="聚变在能源体系中的位置"/>
      <w:r>
        <w:t xml:space="preserve">聚变在能源体系中的位置</w:t>
      </w:r>
      <w:bookmarkEnd w:id="47"/>
    </w:p>
    <w:p>
      <w:pPr>
        <w:pStyle w:val="FirstParagraph"/>
      </w:pPr>
      <w:r>
        <w:t xml:space="preserve">聚变电站在 2072 年承担基础负荷主力的角色——稳定、低成本、低排放、24 小时运行。但它不是唯一的电力来源。能源体系的其他组成部分——水力、太阳能、风能、核裂变、天然气调峰、储能技术——各自因不同理由继续运行（详见 1 卷·章二能源新地理）。</w:t>
      </w:r>
      <w:r>
        <w:rPr>
          <w:b/>
        </w:rPr>
        <w:t xml:space="preserve">聚变的位置是</w:t>
      </w:r>
      <w:r>
        <w:rPr>
          <w:b/>
        </w:rPr>
        <w:t xml:space="preserve">“</w:t>
      </w:r>
      <w:r>
        <w:rPr>
          <w:b/>
        </w:rPr>
        <w:t xml:space="preserve">使其他能源的角色从主力退化为补充</w:t>
      </w:r>
      <w:r>
        <w:rPr>
          <w:b/>
        </w:rPr>
        <w:t xml:space="preserve">”</w:t>
      </w:r>
      <w:r>
        <w:rPr>
          <w:b/>
        </w:rPr>
        <w:t xml:space="preserve">，不是</w:t>
      </w:r>
      <w:r>
        <w:rPr>
          <w:b/>
        </w:rPr>
        <w:t xml:space="preserve">“</w:t>
      </w:r>
      <w:r>
        <w:rPr>
          <w:b/>
        </w:rPr>
        <w:t xml:space="preserve">使其他能源消失</w:t>
      </w:r>
      <w:r>
        <w:rPr>
          <w:b/>
        </w:rPr>
        <w:t xml:space="preserve">”</w:t>
      </w:r>
      <w:r>
        <w:rPr>
          <w:b/>
        </w:rPr>
        <w:t xml:space="preserve">。</w:t>
      </w:r>
    </w:p>
    <w:p>
      <w:pPr>
        <w:pStyle w:val="BodyText"/>
      </w:pPr>
      <w:r>
        <w:t xml:space="preserve">各能源源头按时间尺度与功能定位分工：聚变承担基础负荷；太阳能与风能承担分散式与边缘地区供电；水力承担灵活基础负荷；储能（电池、绿氢、抽水）承担时间错位调节；天然气调峰承担过渡期分钟级应急。这一分层格局到 2072 年大致稳定。</w:t>
      </w:r>
    </w:p>
    <w:p>
      <w:r>
        <w:pict>
          <v:rect style="width:0;height:1.5pt" o:hralign="center" o:hrstd="t" o:hr="t"/>
        </w:pict>
      </w:r>
    </w:p>
    <w:p>
      <w:pPr>
        <w:pStyle w:val="Heading2"/>
      </w:pPr>
      <w:bookmarkStart w:id="48" w:name="两轴的交汇点"/>
      <w:r>
        <w:t xml:space="preserve">1.3　两轴的交汇点</w:t>
      </w:r>
      <w:bookmarkEnd w:id="48"/>
    </w:p>
    <w:p>
      <w:pPr>
        <w:pStyle w:val="FirstParagraph"/>
      </w:pPr>
      <w:r>
        <w:t xml:space="preserve">AI 与聚变在 2027—2055 年的时间窗口里同时展开，但</w:t>
      </w:r>
      <w:r>
        <w:rPr>
          <w:b/>
        </w:rPr>
        <w:t xml:space="preserve">两轴的内在节奏不同</w:t>
      </w:r>
      <w:r>
        <w:t xml:space="preserve">——这一节奏差异本身是后续多重路径分化的物质起因之一。</w:t>
      </w:r>
    </w:p>
    <w:p>
      <w:pPr>
        <w:pStyle w:val="Heading3"/>
      </w:pPr>
      <w:bookmarkStart w:id="49" w:name="时序错位"/>
      <w:r>
        <w:t xml:space="preserve">时序错位</w:t>
      </w:r>
      <w:bookmarkEnd w:id="49"/>
    </w:p>
    <w:p>
      <w:pPr>
        <w:pStyle w:val="FirstParagraph"/>
      </w:pPr>
      <w:r>
        <w:t xml:space="preserve">AI 的曲线是</w:t>
      </w:r>
      <w:r>
        <w:rPr>
          <w:b/>
        </w:rPr>
        <w:t xml:space="preserve">渐进的、连续的</w:t>
      </w:r>
      <w:r>
        <w:t xml:space="preserve">——2027 年 AGI 临界之后，能力扩展每年都在发生，2030—2050 年间替代标准化认知劳动的覆盖率持续上升，没有明显的台阶。</w:t>
      </w:r>
    </w:p>
    <w:p>
      <w:pPr>
        <w:pStyle w:val="BodyText"/>
      </w:pPr>
      <w:r>
        <w:t xml:space="preserve">聚变的曲线是</w:t>
      </w:r>
      <w:r>
        <w:rPr>
          <w:b/>
        </w:rPr>
        <w:t xml:space="preserve">阶段性的、有明确节点的</w:t>
      </w:r>
      <w:r>
        <w:t xml:space="preserve">——2037 年净能量输出、2044—2046 年商业并网、2050 年代中期渗透加速、2060 年代渗透成熟。每一个节点之间是相对平稳的工程化过程。</w:t>
      </w:r>
    </w:p>
    <w:p>
      <w:pPr>
        <w:pStyle w:val="BodyText"/>
      </w:pPr>
      <w:r>
        <w:t xml:space="preserve">两条曲线叠加，形成动荡期内部的不同压力组合：</w:t>
      </w:r>
    </w:p>
    <w:p>
      <w:pPr>
        <w:numPr>
          <w:ilvl w:val="0"/>
          <w:numId w:val="1009"/>
        </w:numPr>
        <w:pStyle w:val="Compact"/>
      </w:pPr>
      <w:r>
        <w:rPr>
          <w:b/>
        </w:rPr>
        <w:t xml:space="preserve">2027—2037 阶段</w:t>
      </w:r>
      <w:r>
        <w:t xml:space="preserve">：AI 替代开始、聚变工程仍在研发——这是</w:t>
      </w:r>
      <w:r>
        <w:t xml:space="preserve">“</w:t>
      </w:r>
      <w:r>
        <w:t xml:space="preserve">AI 单轴主导</w:t>
      </w:r>
      <w:r>
        <w:t xml:space="preserve">”</w:t>
      </w:r>
      <w:r>
        <w:t xml:space="preserve">的窗口，物质托底的财政基础尚未到位，裸露期最深。</w:t>
      </w:r>
    </w:p>
    <w:p>
      <w:pPr>
        <w:numPr>
          <w:ilvl w:val="0"/>
          <w:numId w:val="1009"/>
        </w:numPr>
        <w:pStyle w:val="Compact"/>
      </w:pPr>
      <w:r>
        <w:rPr>
          <w:b/>
        </w:rPr>
        <w:t xml:space="preserve">2037—2044 阶段</w:t>
      </w:r>
      <w:r>
        <w:t xml:space="preserve">：AI 替代继续深化、聚变完成净能量输出但尚未并网——市场预期开始把聚变红利贴现进当下决策，能源投资格局重组，但实际能源结构未变。</w:t>
      </w:r>
    </w:p>
    <w:p>
      <w:pPr>
        <w:numPr>
          <w:ilvl w:val="0"/>
          <w:numId w:val="1009"/>
        </w:numPr>
        <w:pStyle w:val="Compact"/>
      </w:pPr>
      <w:r>
        <w:rPr>
          <w:b/>
        </w:rPr>
        <w:t xml:space="preserve">2044—2055 阶段</w:t>
      </w:r>
      <w:r>
        <w:t xml:space="preserve">：AI 替代成熟、聚变商业并网展开、物质托底财政基础逐步到位——制度补丁有了财政条件，各路径开始确立各自的制度形态。</w:t>
      </w:r>
    </w:p>
    <w:p>
      <w:pPr>
        <w:numPr>
          <w:ilvl w:val="0"/>
          <w:numId w:val="1009"/>
        </w:numPr>
        <w:pStyle w:val="Compact"/>
      </w:pPr>
      <w:r>
        <w:rPr>
          <w:b/>
        </w:rPr>
        <w:t xml:space="preserve">2055—2076 阶段</w:t>
      </w:r>
      <w:r>
        <w:t xml:space="preserve">：AI 替代进入稳态、聚变红利全面渗透、多态稳态成型。</w:t>
      </w:r>
    </w:p>
    <w:p>
      <w:pPr>
        <w:pStyle w:val="Heading3"/>
      </w:pPr>
      <w:bookmarkStart w:id="50" w:name="物质层面的相互强化"/>
      <w:r>
        <w:t xml:space="preserve">物质层面的相互强化</w:t>
      </w:r>
      <w:bookmarkEnd w:id="50"/>
    </w:p>
    <w:p>
      <w:pPr>
        <w:pStyle w:val="FirstParagraph"/>
      </w:pPr>
      <w:r>
        <w:t xml:space="preserve">AI 与聚变在物质层面相互强化，</w:t>
      </w:r>
      <w:r>
        <w:rPr>
          <w:b/>
        </w:rPr>
        <w:t xml:space="preserve">不是简单叠加</w:t>
      </w:r>
      <w:r>
        <w:t xml:space="preserve">：</w:t>
      </w:r>
    </w:p>
    <w:p>
      <w:pPr>
        <w:numPr>
          <w:ilvl w:val="0"/>
          <w:numId w:val="1010"/>
        </w:numPr>
        <w:pStyle w:val="Compact"/>
      </w:pPr>
      <w:r>
        <w:rPr>
          <w:b/>
        </w:rPr>
        <w:t xml:space="preserve">AI 加速聚变工程化</w:t>
      </w:r>
      <w:r>
        <w:t xml:space="preserve">——AI 辅助材料模拟、等离子体控制、磁体设计、安全分析，使聚变从原理验证到商业并网的窗口从历史性的 12—15 年压缩到 7—9 年。</w:t>
      </w:r>
    </w:p>
    <w:p>
      <w:pPr>
        <w:numPr>
          <w:ilvl w:val="0"/>
          <w:numId w:val="1010"/>
        </w:numPr>
        <w:pStyle w:val="Compact"/>
      </w:pPr>
      <w:r>
        <w:rPr>
          <w:b/>
        </w:rPr>
        <w:t xml:space="preserve">聚变为 AI 提供能源底座</w:t>
      </w:r>
      <w:r>
        <w:t xml:space="preserve">——大模型训练和推理的能源消耗在 2030—2050 年代是巨量的。聚变电力的廉价化使 AI 算力的规模化部署在能源约束上得以解开。</w:t>
      </w:r>
      <w:r>
        <w:rPr>
          <w:b/>
        </w:rPr>
        <w:t xml:space="preserve">没有聚变红利，AI 的渗透速度会被能源成本约束</w:t>
      </w:r>
      <w:r>
        <w:t xml:space="preserve">。</w:t>
      </w:r>
    </w:p>
    <w:p>
      <w:pPr>
        <w:numPr>
          <w:ilvl w:val="0"/>
          <w:numId w:val="1010"/>
        </w:numPr>
        <w:pStyle w:val="Compact"/>
      </w:pPr>
      <w:r>
        <w:rPr>
          <w:b/>
        </w:rPr>
        <w:t xml:space="preserve">两者共同重塑工业经济</w:t>
      </w:r>
      <w:r>
        <w:t xml:space="preserve">——AI 提供智能、聚变提供能源，两者叠加使大量历史上不经济的工业过程（海水淡化大规模化、深海采矿规模化、合成燃料工业化、太空基地物质循环）跨越临界。这些过程的具体形态本卷后续诸章展开。</w:t>
      </w:r>
    </w:p>
    <w:p>
      <w:pPr>
        <w:pStyle w:val="Heading3"/>
      </w:pPr>
      <w:bookmarkStart w:id="51" w:name="后续诸卷的逻辑前提"/>
      <w:r>
        <w:t xml:space="preserve">后续诸卷的逻辑前提</w:t>
      </w:r>
      <w:bookmarkEnd w:id="51"/>
    </w:p>
    <w:p>
      <w:pPr>
        <w:pStyle w:val="FirstParagraph"/>
      </w:pPr>
      <w:r>
        <w:t xml:space="preserve">本书后续诸卷的全部论述建立在这两轴变迁的物质前提之上：</w:t>
      </w:r>
    </w:p>
    <w:p>
      <w:pPr>
        <w:numPr>
          <w:ilvl w:val="0"/>
          <w:numId w:val="1011"/>
        </w:numPr>
        <w:pStyle w:val="Compact"/>
      </w:pPr>
      <w:r>
        <w:rPr>
          <w:b/>
        </w:rPr>
        <w:t xml:space="preserve">卷 1 后续章节</w:t>
      </w:r>
      <w:r>
        <w:t xml:space="preserve">——能源新地理、全自动制造、医疗与生命、机器人与机器、通信、物件与日常、移动与连通——是 AI 与聚变在物质层面的具体展开。</w:t>
      </w:r>
    </w:p>
    <w:p>
      <w:pPr>
        <w:numPr>
          <w:ilvl w:val="0"/>
          <w:numId w:val="1011"/>
        </w:numPr>
        <w:pStyle w:val="Compact"/>
      </w:pPr>
      <w:r>
        <w:rPr>
          <w:b/>
        </w:rPr>
        <w:t xml:space="preserve">卷 2 已展开的核心机制</w:t>
      </w:r>
      <w:r>
        <w:t xml:space="preserve">——劳动塌陷、流动收缩、相互忽视均衡、被需要感——是 AI 时代物质条件改变的社会后果。</w:t>
      </w:r>
    </w:p>
    <w:p>
      <w:pPr>
        <w:numPr>
          <w:ilvl w:val="0"/>
          <w:numId w:val="1011"/>
        </w:numPr>
        <w:pStyle w:val="Compact"/>
      </w:pPr>
      <w:r>
        <w:rPr>
          <w:b/>
        </w:rPr>
        <w:t xml:space="preserve">卷 3 制度分化</w:t>
      </w:r>
      <w:r>
        <w:t xml:space="preserve">——各路径的制度形态——是社会对物质后果的差异化回应。</w:t>
      </w:r>
    </w:p>
    <w:p>
      <w:pPr>
        <w:numPr>
          <w:ilvl w:val="0"/>
          <w:numId w:val="1011"/>
        </w:numPr>
        <w:pStyle w:val="Compact"/>
      </w:pPr>
      <w:r>
        <w:rPr>
          <w:b/>
        </w:rPr>
        <w:t xml:space="preserve">卷 4 时间线</w:t>
      </w:r>
      <w:r>
        <w:t xml:space="preserve">——历史展开的具体轨迹——是上述所有内容在时间上的呈现。</w:t>
      </w:r>
    </w:p>
    <w:p>
      <w:pPr>
        <w:numPr>
          <w:ilvl w:val="0"/>
          <w:numId w:val="1011"/>
        </w:numPr>
        <w:pStyle w:val="Compact"/>
      </w:pPr>
      <w:r>
        <w:rPr>
          <w:b/>
        </w:rPr>
        <w:t xml:space="preserve">卷 5 地理图景</w:t>
      </w:r>
      <w:r>
        <w:t xml:space="preserve">——物质形态在地球表面的分布。</w:t>
      </w:r>
    </w:p>
    <w:p>
      <w:pPr>
        <w:numPr>
          <w:ilvl w:val="0"/>
          <w:numId w:val="1011"/>
        </w:numPr>
        <w:pStyle w:val="Compact"/>
      </w:pPr>
      <w:r>
        <w:rPr>
          <w:b/>
        </w:rPr>
        <w:t xml:space="preserve">卷 6 未来开放</w:t>
      </w:r>
      <w:r>
        <w:t xml:space="preserve">——超出本书窗口（2076）之后的可能演化。</w:t>
      </w:r>
    </w:p>
    <w:p>
      <w:pPr>
        <w:pStyle w:val="FirstParagraph"/>
      </w:pPr>
      <w:r>
        <w:t xml:space="preserve">读者诸君读到本书任何一处时，可以回到这一章——</w:t>
      </w:r>
      <w:r>
        <w:rPr>
          <w:b/>
        </w:rPr>
        <w:t xml:space="preserve">所有讨论的物质前提都在这两条曲线之上展开</w:t>
      </w:r>
      <w:r>
        <w:t xml:space="preserve">。</w:t>
      </w:r>
    </w:p>
    <w:p>
      <w:pPr>
        <w:pStyle w:val="Heading3"/>
      </w:pPr>
      <w:bookmarkStart w:id="52" w:name="收束"/>
      <w:r>
        <w:t xml:space="preserve">收束</w:t>
      </w:r>
      <w:bookmarkEnd w:id="52"/>
    </w:p>
    <w:p>
      <w:pPr>
        <w:pStyle w:val="FirstParagraph"/>
      </w:pPr>
      <w:r>
        <w:t xml:space="preserve">AI 与聚变是 2027—2055 年的物质双轴。前者改写认知劳动的市场基础，后者改写物质生产的能量基础。两轴的时序错位、节奏差异、相互强化，共同构成多态社会形成的物质起因。</w:t>
      </w:r>
    </w:p>
    <w:p>
      <w:pPr>
        <w:pStyle w:val="BodyText"/>
      </w:pPr>
      <w:r>
        <w:t xml:space="preserve">下一章（卷 1·章二）从两条主轴进入能源新地理——聚变在 2072 年世界电网与能源体系中的实际形态。</w:t>
      </w:r>
    </w:p>
    <w:p>
      <w:pPr>
        <w:pStyle w:val="Heading2"/>
      </w:pPr>
      <w:bookmarkStart w:id="53" w:name="章二-能源新地理"/>
      <w:r>
        <w:t xml:space="preserve">章二　能源新地理</w:t>
      </w:r>
      <w:bookmarkEnd w:id="53"/>
    </w:p>
    <w:p>
      <w:pPr>
        <w:pStyle w:val="BlockText"/>
      </w:pPr>
      <w:r>
        <w:rPr>
          <w:b/>
        </w:rPr>
        <w:t xml:space="preserve">本章定位。</w:t>
      </w:r>
      <w:r>
        <w:t xml:space="preserve"> </w:t>
      </w:r>
      <w:r>
        <w:t xml:space="preserve">上一章讲了聚变作为新的能源技术；本章讲聚变进入既有能源体系后的实际形态。</w:t>
      </w:r>
      <w:r>
        <w:rPr>
          <w:b/>
        </w:rPr>
        <w:t xml:space="preserve">核心观察是：能源转型不是线性替代，是叠加和分层。</w:t>
      </w:r>
      <w:r>
        <w:t xml:space="preserve"> </w:t>
      </w:r>
      <w:r>
        <w:t xml:space="preserve">本章分两节：能源技术的分层共存（2.1）与资源体系的地缘博弈（2.2）。</w:t>
      </w:r>
    </w:p>
    <w:p>
      <w:pPr>
        <w:pStyle w:val="Heading2"/>
      </w:pPr>
      <w:bookmarkStart w:id="54" w:name="能源技术的分层共存"/>
      <w:r>
        <w:t xml:space="preserve">2.1　能源技术的分层共存</w:t>
      </w:r>
      <w:bookmarkEnd w:id="54"/>
    </w:p>
    <w:p>
      <w:pPr>
        <w:pStyle w:val="FirstParagraph"/>
      </w:pPr>
      <w:r>
        <w:t xml:space="preserve">聚变电网在 2072 年覆盖了主要城市集群和工业走廊，但全球大量旧电厂仍在服役——</w:t>
      </w:r>
      <w:r>
        <w:rPr>
          <w:b/>
        </w:rPr>
        <w:t xml:space="preserve">不是因为技术落后没有被替代，而是因为替代的经济逻辑尚未成立</w:t>
      </w:r>
      <w:r>
        <w:t xml:space="preserve">。一座 2030 年建成的燃气电厂设计寿命 30—40 年，关闭它需要的不是</w:t>
      </w:r>
      <w:r>
        <w:t xml:space="preserve">“</w:t>
      </w:r>
      <w:r>
        <w:t xml:space="preserve">有更好的技术</w:t>
      </w:r>
      <w:r>
        <w:t xml:space="preserve">”</w:t>
      </w:r>
      <w:r>
        <w:t xml:space="preserve">，而是</w:t>
      </w:r>
      <w:r>
        <w:t xml:space="preserve">“</w:t>
      </w:r>
      <w:r>
        <w:t xml:space="preserve">继续运行比替代更贵</w:t>
      </w:r>
      <w:r>
        <w:t xml:space="preserve">”</w:t>
      </w:r>
      <w:r>
        <w:t xml:space="preserve">。在很多地区，这个条件在 2072 年仍未达到。</w:t>
      </w:r>
    </w:p>
    <w:p>
      <w:pPr>
        <w:pStyle w:val="BodyText"/>
      </w:pPr>
      <w:r>
        <w:t xml:space="preserve">这一现象在历史上有先例。19 世纪铁路普及后，运河并未立即消失——许多运河继续运营到 20 世纪中叶，因为运河运输某些大宗货物仍比铁路便宜。20 世纪电力普及后，蒸汽机并未立即消失——海运的蒸汽轮机一直到 1960 年代才被柴油机大规模替代。</w:t>
      </w:r>
      <w:r>
        <w:rPr>
          <w:b/>
        </w:rPr>
        <w:t xml:space="preserve">能源体系的演化遵循同样的规律：新技术的优势必须足以覆盖既有资产的剩余寿命，替代才会发生。</w:t>
      </w:r>
    </w:p>
    <w:p>
      <w:pPr>
        <w:pStyle w:val="Heading3"/>
      </w:pPr>
      <w:bookmarkStart w:id="55" w:name="旧技术的持续理由"/>
      <w:r>
        <w:t xml:space="preserve">旧技术的持续理由</w:t>
      </w:r>
      <w:bookmarkEnd w:id="55"/>
    </w:p>
    <w:p>
      <w:pPr>
        <w:pStyle w:val="FirstParagraph"/>
      </w:pPr>
      <w:r>
        <w:rPr>
          <w:b/>
        </w:rPr>
        <w:t xml:space="preserve">水力发电（最持久）。</w:t>
      </w:r>
      <w:r>
        <w:t xml:space="preserve"> </w:t>
      </w:r>
      <w:r>
        <w:t xml:space="preserve">水坝一旦建成维护成本极低，不消耗燃料，聚变时代仍然是最便宜的电力来源之一，没有任何经济理由关闭。三峡、伊泰普、胡佛大坝在 2072 年仍然满负荷运行。唯一的约束是新坝不再建设——环境代价不值得，而且聚变已经满足增量需求。</w:t>
      </w:r>
    </w:p>
    <w:p>
      <w:pPr>
        <w:pStyle w:val="BodyText"/>
      </w:pPr>
      <w:r>
        <w:rPr>
          <w:b/>
        </w:rPr>
        <w:t xml:space="preserve">天然气调峰（最有韧性）。</w:t>
      </w:r>
      <w:r>
        <w:t xml:space="preserve"> </w:t>
      </w:r>
      <w:r>
        <w:t xml:space="preserve">聚变提供稳定基础负荷，但电网仍然需要快速响应的调峰能力。聚变堆的启动和调节速度远慢于天然气电站（小时级 vs 分钟级）。在聚变 + 可再生能源的混合电网里，天然气调峰站仍然有不可替代的灵活性价值，到 2072 年燃料消耗量大幅下降但机组仍然在线。</w:t>
      </w:r>
    </w:p>
    <w:p>
      <w:pPr>
        <w:pStyle w:val="BodyText"/>
      </w:pPr>
      <w:r>
        <w:rPr>
          <w:b/>
        </w:rPr>
        <w:t xml:space="preserve">核裂变电站（地区性持续）。</w:t>
      </w:r>
      <w:r>
        <w:t xml:space="preserve"> </w:t>
      </w:r>
      <w:r>
        <w:t xml:space="preserve">在聚变电网尚未覆盖的地区，2030—2040 年代建成的核电站仍在服役年限内，不会被提前关闭。法国、日本、韩国的核电站在 2072 年仍是电力供应的重要组成部分。</w:t>
      </w:r>
    </w:p>
    <w:p>
      <w:pPr>
        <w:pStyle w:val="BodyText"/>
      </w:pPr>
      <w:r>
        <w:rPr>
          <w:b/>
        </w:rPr>
        <w:t xml:space="preserve">煤电（最快消失但未完全消失）。</w:t>
      </w:r>
      <w:r>
        <w:t xml:space="preserve"> </w:t>
      </w:r>
      <w:r>
        <w:t xml:space="preserve">碳排放政治压力最大，灵活性最差，退役速度最快。但在能源贫困地区（撒哈拉以南非洲部分、南亚边缘区域），煤电可能是 2072 年仍在运行的最后一类化石燃料电厂——</w:t>
      </w:r>
      <w:r>
        <w:rPr>
          <w:b/>
        </w:rPr>
        <w:t xml:space="preserve">替代成本对当地而言太高，且缺乏足够的政治压力</w:t>
      </w:r>
      <w:r>
        <w:t xml:space="preserve">。</w:t>
      </w:r>
    </w:p>
    <w:p>
      <w:pPr>
        <w:pStyle w:val="BodyText"/>
      </w:pPr>
      <w:r>
        <w:rPr>
          <w:b/>
        </w:rPr>
        <w:t xml:space="preserve">太阳能与风能（与聚变并存）。</w:t>
      </w:r>
      <w:r>
        <w:t xml:space="preserve"> </w:t>
      </w:r>
      <w:r>
        <w:t xml:space="preserve">不是旧技术，是分散式的永久补充。聚变是集中式大型发电，太阳能是分散式就地发电，两者服务不同场景，不构成竞争。到 2072 年太阳能板成本极低，被遗忘地带的村庄用太阳能板加电池维持基本用电，完全不需要电网连接——这是能源独立的极端形式。</w:t>
      </w:r>
    </w:p>
    <w:p>
      <w:pPr>
        <w:pStyle w:val="Heading3"/>
      </w:pPr>
      <w:bookmarkStart w:id="56" w:name="储能体系的多层分工"/>
      <w:r>
        <w:t xml:space="preserve">储能体系的多层分工</w:t>
      </w:r>
      <w:bookmarkEnd w:id="56"/>
    </w:p>
    <w:p>
      <w:pPr>
        <w:pStyle w:val="FirstParagraph"/>
      </w:pPr>
      <w:r>
        <w:t xml:space="preserve">聚变提供稳定的基础负荷，</w:t>
      </w:r>
      <w:r>
        <w:rPr>
          <w:b/>
        </w:rPr>
        <w:t xml:space="preserve">但电网仍然需要储能来应对供需时间错位</w:t>
      </w:r>
      <w:r>
        <w:t xml:space="preserve">——日夜负荷差、季节性波动、聚变堆本身启停调节速度慢的内在限制。2072 年的储能体系不依赖单一技术，是由多类技术按时间尺度分工覆盖：</w:t>
      </w:r>
    </w:p>
    <w:p>
      <w:pPr>
        <w:numPr>
          <w:ilvl w:val="0"/>
          <w:numId w:val="1012"/>
        </w:numPr>
        <w:pStyle w:val="Compact"/>
      </w:pPr>
      <w:r>
        <w:rPr>
          <w:b/>
        </w:rPr>
        <w:t xml:space="preserve">秒到小时级</w:t>
      </w:r>
      <w:r>
        <w:t xml:space="preserve">——固态电池与车载储能。城市里数以百万计的 Muule 电池通过 V2G（Vehicle-to-Grid）协议参与电网调峰，停驶时向电网放电，充电时从电网吸电，形成巨大的分散式储能网络。</w:t>
      </w:r>
    </w:p>
    <w:p>
      <w:pPr>
        <w:numPr>
          <w:ilvl w:val="0"/>
          <w:numId w:val="1012"/>
        </w:numPr>
        <w:pStyle w:val="Compact"/>
      </w:pPr>
      <w:r>
        <w:rPr>
          <w:b/>
        </w:rPr>
        <w:t xml:space="preserve">小时到天级</w:t>
      </w:r>
      <w:r>
        <w:t xml:space="preserve">——液流电池与熔盐储热。液流电池（钒液流、铁铬液流）适合大规模固定式储能，循环寿命远超锂电池。熔盐储热在聚变设施附近有应用空间——聚变产生的热量可以直接以熔盐形式储存，热电转换效率高于先发电再储电的路径。</w:t>
      </w:r>
    </w:p>
    <w:p>
      <w:pPr>
        <w:numPr>
          <w:ilvl w:val="0"/>
          <w:numId w:val="1012"/>
        </w:numPr>
        <w:pStyle w:val="Compact"/>
      </w:pPr>
      <w:r>
        <w:rPr>
          <w:b/>
        </w:rPr>
        <w:t xml:space="preserve">小时到天级（地形依赖型）</w:t>
      </w:r>
      <w:r>
        <w:t xml:space="preserve">——海水抽水蓄能。利用临海山地地形，低谷时将海水抽至高处水库，高峰时放水发电。日本冲绳在 1999 年已建成全球首座海水抽水蓄能电站；聚变时代抽水成本趋近于零，长时储能经济性大幅提升。适用地形有严格约束：日本、挪威、智利、台湾、菲律宾、希腊群岛天然适合，平坦三角洲地区完全不适用。</w:t>
      </w:r>
    </w:p>
    <w:p>
      <w:pPr>
        <w:numPr>
          <w:ilvl w:val="0"/>
          <w:numId w:val="1012"/>
        </w:numPr>
        <w:pStyle w:val="Compact"/>
      </w:pPr>
      <w:r>
        <w:rPr>
          <w:b/>
        </w:rPr>
        <w:t xml:space="preserve">天到季节级</w:t>
      </w:r>
      <w:r>
        <w:t xml:space="preserve">——电解制氢与氢储能。聚变电力成本趋近于零后，电解水制氢（绿氢）在经济上首次真正成立。多余的聚变电力在低谷时段电解制氢，以压缩气体、液氢或氨的形式储存，</w:t>
      </w:r>
      <w:r>
        <w:rPr>
          <w:b/>
        </w:rPr>
        <w:t xml:space="preserve">构成跨天乃至跨季节的超长时储能</w:t>
      </w:r>
      <w:r>
        <w:t xml:space="preserve">。绿氢的另一身份是化工原料——取代了大量依赖化石燃料的工业流程（合成氨、炼钢还原剂、精炼脱硫），成为聚变经济去碳化的关键工业枢纽。氢的主要挑战是储运效率：液氢沸点极低（−253°C），长距离管道输送存在泄漏损耗，2072 年的主流方案是就地制氢就地消纳，或以氨（NH₃）作为载体进行远距离运输再还原。</w:t>
      </w:r>
    </w:p>
    <w:p>
      <w:pPr>
        <w:numPr>
          <w:ilvl w:val="0"/>
          <w:numId w:val="1012"/>
        </w:numPr>
        <w:pStyle w:val="Compact"/>
      </w:pPr>
      <w:r>
        <w:rPr>
          <w:b/>
        </w:rPr>
        <w:t xml:space="preserve">分钟级应急</w:t>
      </w:r>
      <w:r>
        <w:t xml:space="preserve">——天然气调峰（过渡性保留）。在制氢储能和海水抽蓄大规模覆盖之前，电网仍需要分钟级响应的调峰。天然气电站在 2072 年燃料消耗量大幅下降，但机组仍然在线，</w:t>
      </w:r>
      <w:r>
        <w:rPr>
          <w:b/>
        </w:rPr>
        <w:t xml:space="preserve">扮演的角色从主力发电退化为频率应急调节</w:t>
      </w:r>
      <w:r>
        <w:t xml:space="preserve">。</w:t>
      </w:r>
    </w:p>
    <w:p>
      <w:pPr>
        <w:pStyle w:val="FirstParagraph"/>
      </w:pPr>
      <w:r>
        <w:rPr>
          <w:b/>
        </w:rPr>
        <w:t xml:space="preserve">多层体系的形成使聚变电网在 2072 年具备从毫秒到季节的全尺度稳定能力</w:t>
      </w:r>
      <w:r>
        <w:t xml:space="preserve">，但各地区的覆盖密度因地理条件、投资能力和体系成熟度差异显著。</w:t>
      </w:r>
    </w:p>
    <w:p>
      <w:pPr>
        <w:pStyle w:val="Heading3"/>
      </w:pPr>
      <w:bookmarkStart w:id="57" w:name="年的能源分层地图"/>
      <w:r>
        <w:t xml:space="preserve">2072 年的能源分层地图</w:t>
      </w:r>
      <w:bookmarkEnd w:id="57"/>
    </w:p>
    <w:p>
      <w:pPr>
        <w:pStyle w:val="FirstParagraph"/>
      </w:pPr>
      <w:r>
        <w:rPr>
          <w:b/>
        </w:rPr>
        <w:t xml:space="preserve">能源技术的多样性是多态社会的物质基础之一，不是过渡期的暂时状态，而是 2072 年的常态。</w:t>
      </w:r>
    </w:p>
    <w:p>
      <w:pPr>
        <w:pStyle w:val="BodyText"/>
      </w:pPr>
      <w:r>
        <w:t xml:space="preserve">在 2072 年的世界上行走，可以同时看到：</w:t>
      </w:r>
    </w:p>
    <w:p>
      <w:pPr>
        <w:numPr>
          <w:ilvl w:val="0"/>
          <w:numId w:val="1013"/>
        </w:numPr>
        <w:pStyle w:val="Compact"/>
      </w:pPr>
      <w:r>
        <w:rPr>
          <w:b/>
        </w:rPr>
        <w:t xml:space="preserve">核心区</w:t>
      </w:r>
      <w:r>
        <w:t xml:space="preserve">——聚变 + 储能为主，旧技术作为补充</w:t>
      </w:r>
    </w:p>
    <w:p>
      <w:pPr>
        <w:numPr>
          <w:ilvl w:val="0"/>
          <w:numId w:val="1013"/>
        </w:numPr>
        <w:pStyle w:val="Compact"/>
      </w:pPr>
      <w:r>
        <w:rPr>
          <w:b/>
        </w:rPr>
        <w:t xml:space="preserve">第二梯队城市</w:t>
      </w:r>
      <w:r>
        <w:t xml:space="preserve">——可以同时看到 1990 年代建成的燃气电厂和远处高压线传来的聚变电力</w:t>
      </w:r>
    </w:p>
    <w:p>
      <w:pPr>
        <w:numPr>
          <w:ilvl w:val="0"/>
          <w:numId w:val="1013"/>
        </w:numPr>
        <w:pStyle w:val="Compact"/>
      </w:pPr>
      <w:r>
        <w:rPr>
          <w:b/>
        </w:rPr>
        <w:t xml:space="preserve">资源国转型区</w:t>
      </w:r>
      <w:r>
        <w:t xml:space="preserve">——海湾富国从化石输出转向聚变输入，伴随分布式光伏的快速渗透</w:t>
      </w:r>
    </w:p>
    <w:p>
      <w:pPr>
        <w:numPr>
          <w:ilvl w:val="0"/>
          <w:numId w:val="1013"/>
        </w:numPr>
        <w:pStyle w:val="Compact"/>
      </w:pPr>
      <w:r>
        <w:rPr>
          <w:b/>
        </w:rPr>
        <w:t xml:space="preserve">遗忘地带</w:t>
      </w:r>
      <w:r>
        <w:t xml:space="preserve">——太阳能板加电池、柴油发电机、有限的电网延伸接入并存，能源结构与 2026 年并无本质不同</w:t>
      </w:r>
    </w:p>
    <w:p>
      <w:pPr>
        <w:pStyle w:val="FirstParagraph"/>
      </w:pPr>
      <w:r>
        <w:rPr>
          <w:b/>
        </w:rPr>
        <w:t xml:space="preserve">两个时代的技术在同一空间共存，是各路径活在不同历史时间里最具体的物质呈现。</w:t>
      </w:r>
    </w:p>
    <w:p>
      <w:pPr>
        <w:pStyle w:val="Heading3"/>
      </w:pPr>
      <w:bookmarkStart w:id="58" w:name="年电网图景"/>
      <w:r>
        <w:t xml:space="preserve">2072 年电网图景</w:t>
      </w:r>
      <w:bookmarkEnd w:id="58"/>
    </w:p>
    <w:p>
      <w:pPr>
        <w:pStyle w:val="FirstParagraph"/>
      </w:pPr>
      <w:r>
        <w:t xml:space="preserve">电网是能源技术分层共存的物质载体，也是聚变时代最重要的基础设施之一。</w:t>
      </w:r>
      <w:r>
        <w:rPr>
          <w:b/>
        </w:rPr>
        <w:t xml:space="preserve">2072 年的全球电网不是推倒重建的产物，是在 20 世纪积累的区域交流（AC）同步体系上叠加新节点的演化结果。</w:t>
      </w:r>
      <w:r>
        <w:t xml:space="preserve"> </w:t>
      </w:r>
      <w:r>
        <w:t xml:space="preserve">聚变电站作为新型大功率电源接入既有电网，并未颠覆其基本架构——改变的是发电侧的成本结构，以及由此引发的选址逻辑、输电格局和体系差异。</w:t>
      </w:r>
    </w:p>
    <w:p>
      <w:pPr>
        <w:pStyle w:val="BodyText"/>
      </w:pPr>
      <w:r>
        <w:rPr>
          <w:b/>
        </w:rPr>
        <w:t xml:space="preserve">聚变电站选址的真实约束。</w:t>
      </w:r>
      <w:r>
        <w:t xml:space="preserve"> </w:t>
      </w:r>
      <w:r>
        <w:t xml:space="preserve">冷却水源（滨海或大型河流旁最优，但可以用冷却塔）、地质稳定性、约数公里的工程安全缓冲区——这与今天的核裂变电站量级相当，</w:t>
      </w:r>
      <w:r>
        <w:rPr>
          <w:b/>
        </w:rPr>
        <w:t xml:space="preserve">而非十倍于此</w:t>
      </w:r>
      <w:r>
        <w:t xml:space="preserve">。法国大量核电站建在塞纳河、卢瓦尔河沿岸，距巴黎不过 100 公里左右；2072 年的聚变电站遵循同样的选址逻辑，通常建在城市外围 50—200 公里处，</w:t>
      </w:r>
      <w:r>
        <w:rPr>
          <w:b/>
        </w:rPr>
        <w:t xml:space="preserve">而非深入荒野</w:t>
      </w:r>
      <w:r>
        <w:t xml:space="preserve">。就近建设才是成本最优的默认选择——输电距离越短，线路损耗和基础设施投资越低。</w:t>
      </w:r>
      <w:r>
        <w:t xml:space="preserve">“</w:t>
      </w:r>
      <w:r>
        <w:t xml:space="preserve">聚变电站天然远离城市</w:t>
      </w:r>
      <w:r>
        <w:t xml:space="preserve">”</w:t>
      </w:r>
      <w:r>
        <w:t xml:space="preserve">是对今天某些地区西电东送格局的过度推广，</w:t>
      </w:r>
      <w:r>
        <w:rPr>
          <w:b/>
        </w:rPr>
        <w:t xml:space="preserve">不是聚变技术本身的约束</w:t>
      </w:r>
      <w:r>
        <w:t xml:space="preserve">。</w:t>
      </w:r>
    </w:p>
    <w:p>
      <w:pPr>
        <w:pStyle w:val="BodyText"/>
      </w:pPr>
      <w:r>
        <w:rPr>
          <w:b/>
        </w:rPr>
        <w:t xml:space="preserve">美式路径电网：市场驱动的就近格局。</w:t>
      </w:r>
      <w:r>
        <w:t xml:space="preserve"> </w:t>
      </w:r>
      <w:r>
        <w:t xml:space="preserve">聚变电站选址由市场决策主导：投资者优先在城市外围寻找合适的水源和地质条件，将输电损耗和基础设施成本内化为建设决策的一部分。区域骨干电网仍以超高压交流（UHV-AC）为主，聚变电站就近并入。高压直流（HVDC）承担补充角色，主要应用于跨越非同步区域（如美国东西部电网历史上是两个独立同步系统）与少数为特定工业目的建在偏远地点的聚变电站。</w:t>
      </w:r>
      <w:r>
        <w:rPr>
          <w:b/>
        </w:rPr>
        <w:t xml:space="preserve">A1 电网的多样性是历史积累的结果</w:t>
      </w:r>
      <w:r>
        <w:t xml:space="preserve">：各州、各国电网标准不统一，互操作依赖市场协议而非统一规划，调度分散，韧性较强但协调效率相对较低。这一结构对应大多数市场经济体的电网形态——西欧、日本、澳大利亚、加拿大均属此类。</w:t>
      </w:r>
    </w:p>
    <w:p>
      <w:pPr>
        <w:pStyle w:val="BodyText"/>
      </w:pPr>
      <w:r>
        <w:rPr>
          <w:b/>
        </w:rPr>
        <w:t xml:space="preserve">中国路径电网：计划主导的远端格局。</w:t>
      </w:r>
      <w:r>
        <w:t xml:space="preserve"> </w:t>
      </w:r>
      <w:r>
        <w:t xml:space="preserve">中国路径的电网格局有其历史遗产——煤电和风光资源集中在西北内陆，主要负荷在东部沿海城市群，西电东送走廊在聚变时代之前已大量采用特高压直流（UHV-DC）。聚变电站的部署沿用了这一格局——既因为西部工业区和能源走廊需要就近供电，也因为国家统一规划允许将聚变电站部署在距负荷中心数百公里的战略位置，不必完全服从市场最优选址。</w:t>
      </w:r>
      <w:r>
        <w:rPr>
          <w:b/>
        </w:rPr>
        <w:t xml:space="preserve">HVDC 在中国路径电网中是骨干网的核心组成部分</w:t>
      </w:r>
      <w:r>
        <w:t xml:space="preserve">：多条特高压直流走廊从西部聚变电站群向东部城市集群馈电，由统一调度中心实时协调，调度效率优于美式路径。代价是中心化的系统脆弱性——统一调度节点是战略攻击目标，单点故障可引发大范围影响，备份节点的地理分布因此是核心基础设施机密。</w:t>
      </w:r>
    </w:p>
    <w:p>
      <w:pPr>
        <w:pStyle w:val="BodyText"/>
      </w:pPr>
      <w:r>
        <w:rPr>
          <w:b/>
        </w:rPr>
        <w:t xml:space="preserve">新技术：直流微电网与高温超导走廊。</w:t>
      </w:r>
      <w:r>
        <w:t xml:space="preserve"> </w:t>
      </w:r>
      <w:r>
        <w:t xml:space="preserve">两类新兴输电技术在 2072 年已进入实用阶段。</w:t>
      </w:r>
    </w:p>
    <w:p>
      <w:pPr>
        <w:numPr>
          <w:ilvl w:val="0"/>
          <w:numId w:val="1014"/>
        </w:numPr>
        <w:pStyle w:val="Compact"/>
      </w:pPr>
      <w:r>
        <w:rPr>
          <w:b/>
        </w:rPr>
        <w:t xml:space="preserve">直流微电网</w:t>
      </w:r>
      <w:r>
        <w:t xml:space="preserve">：AGI 数据中心和全自动工厂的内部配电系统已从传统交流切换为高压直流母线（约 380V DC 标准），减少多级 AC/DC 转换损耗，全链路效率提升约 8—12%。在能耗极度敏感的算力场景下，聚变电站以直流形式直接向数据中心馈电，省去发电侧换流站。</w:t>
      </w:r>
      <w:r>
        <w:rPr>
          <w:b/>
        </w:rPr>
        <w:t xml:space="preserve">算力基础设施因此存在向聚变电站周边集中的选址倾向，形成</w:t>
      </w:r>
      <w:r>
        <w:rPr>
          <w:b/>
        </w:rPr>
        <w:t xml:space="preserve">“</w:t>
      </w:r>
      <w:r>
        <w:rPr>
          <w:b/>
        </w:rPr>
        <w:t xml:space="preserve">聚变—算力</w:t>
      </w:r>
      <w:r>
        <w:rPr>
          <w:b/>
        </w:rPr>
        <w:t xml:space="preserve">”</w:t>
      </w:r>
      <w:r>
        <w:rPr>
          <w:b/>
        </w:rPr>
        <w:t xml:space="preserve">空间耦合的工业节点。</w:t>
      </w:r>
    </w:p>
    <w:p>
      <w:pPr>
        <w:numPr>
          <w:ilvl w:val="0"/>
          <w:numId w:val="1014"/>
        </w:numPr>
        <w:pStyle w:val="Compact"/>
      </w:pPr>
      <w:r>
        <w:rPr>
          <w:b/>
        </w:rPr>
        <w:t xml:space="preserve">高温超导输电</w:t>
      </w:r>
      <w:r>
        <w:t xml:space="preserve">：以液氮冷却（约 77K）的高温超导线缆，线路损耗趋近于零，但冷却系统的建设和维护成本仍然不低。2072 年高温超导</w:t>
      </w:r>
      <w:r>
        <w:rPr>
          <w:b/>
        </w:rPr>
        <w:t xml:space="preserve">尚未普及</w:t>
      </w:r>
      <w:r>
        <w:t xml:space="preserve">，仅在少数对损耗极度敏感的高价值走廊（如聚变电站直连 GW 级数据中心园区）完成商业部署——是可见的技术前沿，不是主流输电方式。室温超导在 2072 年仍是实验室阶段。</w:t>
      </w:r>
    </w:p>
    <w:p>
      <w:pPr>
        <w:pStyle w:val="FirstParagraph"/>
      </w:pPr>
      <w:r>
        <w:rPr>
          <w:b/>
        </w:rPr>
        <w:t xml:space="preserve">跨体系电力贸易窗口。</w:t>
      </w:r>
      <w:r>
        <w:t xml:space="preserve"> </w:t>
      </w:r>
      <w:r>
        <w:t xml:space="preserve">HVDC 有一个与阵营格局相关的技术特性：直流线路两端的换流站各自适配本地交流电网的频率和协议标准，中间的直流段在物理上不携带任何控制协议信息——</w:t>
      </w:r>
      <w:r>
        <w:rPr>
          <w:b/>
        </w:rPr>
        <w:t xml:space="preserve">因而可以连接两套采用不同标准的交流系统</w:t>
      </w:r>
      <w:r>
        <w:t xml:space="preserve">。这是边界地带少数跨体系能量交换节点存在的技术基础——在美式与中国路径接壤区域，有限规模的电力贸易窗口通过这种方式得以运作，双方均视其为边际性补充，</w:t>
      </w:r>
      <w:r>
        <w:rPr>
          <w:b/>
        </w:rPr>
        <w:t xml:space="preserve">不改变各自体系的基本供电结构，也不构成实质性的体系依赖</w:t>
      </w:r>
      <w:r>
        <w:t xml:space="preserve">。</w:t>
      </w:r>
    </w:p>
    <w:p>
      <w:pPr>
        <w:pStyle w:val="Heading3"/>
      </w:pPr>
      <w:bookmarkStart w:id="59" w:name="收束-1"/>
      <w:r>
        <w:t xml:space="preserve">收束</w:t>
      </w:r>
      <w:bookmarkEnd w:id="59"/>
    </w:p>
    <w:p>
      <w:pPr>
        <w:pStyle w:val="FirstParagraph"/>
      </w:pPr>
      <w:r>
        <w:t xml:space="preserve">2072 年的能源体系是分层的——聚变承担基础负荷主力，水力、太阳能、风能、储能、调峰各自有定位，旧技术因为剩余资产价值与地区适配持续存在。</w:t>
      </w:r>
      <w:r>
        <w:rPr>
          <w:b/>
        </w:rPr>
        <w:t xml:space="preserve">这一分层结构不是过渡，是稳态。</w:t>
      </w:r>
    </w:p>
    <w:p>
      <w:pPr>
        <w:pStyle w:val="BodyText"/>
      </w:pPr>
      <w:r>
        <w:t xml:space="preserve">下一节（2.2）转入资源体系——聚变红利对资源供需格局的重写。</w:t>
      </w:r>
    </w:p>
    <w:p>
      <w:pPr>
        <w:pStyle w:val="Heading2"/>
      </w:pPr>
      <w:bookmarkStart w:id="60" w:name="资源体系的地缘博弈"/>
      <w:r>
        <w:t xml:space="preserve">2.2　资源体系的地缘博弈</w:t>
      </w:r>
      <w:bookmarkEnd w:id="60"/>
    </w:p>
    <w:p>
      <w:pPr>
        <w:pStyle w:val="FirstParagraph"/>
      </w:pPr>
      <w:r>
        <w:t xml:space="preserve">2072 年的全球资源体系由两条逻辑共同塑造：</w:t>
      </w:r>
      <w:r>
        <w:rPr>
          <w:b/>
        </w:rPr>
        <w:t xml:space="preserve">聚变能源改变了每一个开采环节的成本结构</w:t>
      </w:r>
      <w:r>
        <w:t xml:space="preserve">，使长期不经济的方式重新可行，使就地处理成为常规，使合成路线从不得已变为主动选择；</w:t>
      </w:r>
      <w:r>
        <w:rPr>
          <w:b/>
        </w:rPr>
        <w:t xml:space="preserve">能源充裕触发了深海、极地、太空三个层次的资源地缘博弈</w:t>
      </w:r>
      <w:r>
        <w:t xml:space="preserve">，规则不是谈判设计的产物，是技术能力和先占事实的事后追认。</w:t>
      </w:r>
    </w:p>
    <w:p>
      <w:pPr>
        <w:pStyle w:val="BodyText"/>
      </w:pPr>
      <w:r>
        <w:t xml:space="preserve">两条逻辑相互嵌套——地缘博弈决定了谁能进入哪些资源，技术经济逻辑决定了进入后能做什么。</w:t>
      </w:r>
    </w:p>
    <w:p>
      <w:pPr>
        <w:pStyle w:val="Heading3"/>
      </w:pPr>
      <w:bookmarkStart w:id="61" w:name="资源地缘博弈的两阶段时序20292065"/>
      <w:r>
        <w:t xml:space="preserve">资源地缘博弈的两阶段时序（2029—2065）</w:t>
      </w:r>
      <w:bookmarkEnd w:id="61"/>
    </w:p>
    <w:p>
      <w:pPr>
        <w:pStyle w:val="FirstParagraph"/>
      </w:pPr>
      <w:r>
        <w:t xml:space="preserve">聚变能源的突破从根本上改变了资源博弈的底层逻辑，触发深海、极地、太空三个层次的资源争夺。</w:t>
      </w:r>
      <w:r>
        <w:rPr>
          <w:b/>
        </w:rPr>
        <w:t xml:space="preserve">这个改变分两个阶段发生</w:t>
      </w:r>
      <w:r>
        <w:t xml:space="preserve">：</w:t>
      </w:r>
    </w:p>
    <w:p>
      <w:pPr>
        <w:numPr>
          <w:ilvl w:val="0"/>
          <w:numId w:val="1015"/>
        </w:numPr>
        <w:pStyle w:val="Compact"/>
      </w:pPr>
      <w:r>
        <w:rPr>
          <w:b/>
        </w:rPr>
        <w:t xml:space="preserve">2037—2044 年</w:t>
      </w:r>
      <w:r>
        <w:t xml:space="preserve">：聚变突破改变了战略预期。各方判断廉价能源迟早到来，提前布局资源先占位置——投资进入深海勘探、极地基地、月球基础设施。这一阶段的动力是预期博弈，实际能源成本尚未改变。</w:t>
      </w:r>
    </w:p>
    <w:p>
      <w:pPr>
        <w:numPr>
          <w:ilvl w:val="0"/>
          <w:numId w:val="1015"/>
        </w:numPr>
        <w:pStyle w:val="Compact"/>
      </w:pPr>
      <w:r>
        <w:rPr>
          <w:b/>
        </w:rPr>
        <w:t xml:space="preserve">2047 年后</w:t>
      </w:r>
      <w:r>
        <w:t xml:space="preserve">：聚变电力真正降低采矿运营成本。深海、极地采矿的经济性实质性改善，将战略布局转化为商业现实。这一阶段的动力是成本重构，预期被现实兑现或部分否定。</w:t>
      </w:r>
    </w:p>
    <w:p>
      <w:pPr>
        <w:pStyle w:val="FirstParagraph"/>
      </w:pPr>
      <w:r>
        <w:t xml:space="preserve">两个阶段叠加产生本节描述的完整地缘格局。</w:t>
      </w:r>
      <w:r>
        <w:rPr>
          <w:b/>
        </w:rPr>
        <w:t xml:space="preserve">竞争主体和规则形成机制各不相同</w:t>
      </w:r>
      <w:r>
        <w:t xml:space="preserve">：深海以企业为主体（受本国法规约束，向强权注册寻求保护），极地和太空以国家为主体。最终规则不是谈判设计的产物，是</w:t>
      </w:r>
      <w:r>
        <w:rPr>
          <w:b/>
        </w:rPr>
        <w:t xml:space="preserve">技术能力和先占事实的事后追认</w:t>
      </w:r>
      <w:r>
        <w:t xml:space="preserve">——能做就先做，做了再补法律。</w:t>
      </w:r>
    </w:p>
    <w:p>
      <w:pPr>
        <w:pStyle w:val="Heading3"/>
      </w:pPr>
      <w:bookmarkStart w:id="62" w:name="年资源体系开采回收与合成"/>
      <w:r>
        <w:t xml:space="preserve">2072 年资源体系：开采、回收与合成</w:t>
      </w:r>
      <w:bookmarkEnd w:id="62"/>
    </w:p>
    <w:p>
      <w:pPr>
        <w:pStyle w:val="FirstParagraph"/>
      </w:pPr>
      <w:r>
        <w:t xml:space="preserve">聚变能源改变了资源体系的每一个环节：</w:t>
      </w:r>
      <w:r>
        <w:rPr>
          <w:b/>
        </w:rPr>
        <w:t xml:space="preserve">能源不再是约束，原料来源和物流成本才是约束。</w:t>
      </w:r>
      <w:r>
        <w:t xml:space="preserve"> </w:t>
      </w:r>
      <w:r>
        <w:t xml:space="preserve">这使长期不经济的开采方式重新可行，使高能耗的就地处理成为常规，也使合成路线从</w:t>
      </w:r>
      <w:r>
        <w:t xml:space="preserve">“</w:t>
      </w:r>
      <w:r>
        <w:t xml:space="preserve">不得已的高成本选项</w:t>
      </w:r>
      <w:r>
        <w:t xml:space="preserve">”</w:t>
      </w:r>
      <w:r>
        <w:t xml:space="preserve">变成</w:t>
      </w:r>
      <w:r>
        <w:t xml:space="preserve">“</w:t>
      </w:r>
      <w:r>
        <w:t xml:space="preserve">主动的低成本选项</w:t>
      </w:r>
      <w:r>
        <w:t xml:space="preserve">”</w:t>
      </w:r>
      <w:r>
        <w:t xml:space="preserve">。</w:t>
      </w:r>
    </w:p>
    <w:p>
      <w:pPr>
        <w:pStyle w:val="BodyText"/>
      </w:pPr>
      <w:r>
        <w:rPr>
          <w:b/>
        </w:rPr>
        <w:t xml:space="preserve">内陆采矿：从劳动密集型转向资本密集型。</w:t>
      </w:r>
      <w:r>
        <w:t xml:space="preserve"> </w:t>
      </w:r>
      <w:r>
        <w:t xml:space="preserve">内陆采矿在 2072 年不是衰退，是转型。全自动无人矿山是标准形态——AI 规划开采路径、自动驾驶矿车、无人机巡检，远程操控中心可以在沿海城市集群。矿山本身可以在完全无人状态下连续运行数周。聚变能源使高能耗的就地处理（湿法冶金、电化学提取）成为常规，减少需要长途运输的物料量。主要资源类型：铁、铜、锂（固态电池仍需要）、磷（农业不可替代）、陆地稀土（被深海部分稀释但未被取代）。</w:t>
      </w:r>
      <w:r>
        <w:rPr>
          <w:b/>
        </w:rPr>
        <w:t xml:space="preserve">转型的社区代价是显著的</w:t>
      </w:r>
      <w:r>
        <w:t xml:space="preserve">：矿山不再需要矿工，只需要设备。矿山附近的社区失去存在的经济基础，成为遗忘地带的主要来源之一。</w:t>
      </w:r>
    </w:p>
    <w:p>
      <w:pPr>
        <w:pStyle w:val="BodyText"/>
      </w:pPr>
      <w:r>
        <w:rPr>
          <w:b/>
        </w:rPr>
        <w:t xml:space="preserve">极地采矿：北极进入、南极冻结。</w:t>
      </w:r>
      <w:r>
        <w:t xml:space="preserve"> </w:t>
      </w:r>
      <w:r>
        <w:t xml:space="preserve">北极在 2072 年已进入开采阶段——聚变使石油天然气需求萎缩，北极能源战略价值消失，但矿产价值上升（镍、铜、铂族金属、稀土）。北极陆上矿产开采技术能力分布不均，俄罗斯陆上北极矿产实质上成为外部资本主导开采的合作区。斯瓦尔巴群岛（挪威主权但条约允许多国经济活动）成为多方竞争焦点，是北极最复杂的地缘节点。永久冻土融化是双刃剑——原本埋藏在冻土下的矿床暴露，资源可及性提升；但地基不稳使新建基础设施成本极高。极端严苛的环境使</w:t>
      </w:r>
      <w:r>
        <w:rPr>
          <w:b/>
        </w:rPr>
        <w:t xml:space="preserve">高度自动化成为唯一可行的开采模式</w:t>
      </w:r>
      <w:r>
        <w:t xml:space="preserve">。南极在 2072 年仍在法律模糊地带——南极条约</w:t>
      </w:r>
      <w:r>
        <w:t xml:space="preserve">“</w:t>
      </w:r>
      <w:r>
        <w:t xml:space="preserve">冻结的冻结</w:t>
      </w:r>
      <w:r>
        <w:t xml:space="preserve">”</w:t>
      </w:r>
      <w:r>
        <w:t xml:space="preserve">状态延续，没有正式开采。</w:t>
      </w:r>
      <w:r>
        <w:rPr>
          <w:b/>
        </w:rPr>
        <w:t xml:space="preserve">2072 年南极的竞争是信息竞争，不是开采竞争</w:t>
      </w:r>
      <w:r>
        <w:t xml:space="preserve">——谁积累了更多勘探数据，谁在未来法律框架松动时就有先发优势。</w:t>
      </w:r>
    </w:p>
    <w:p>
      <w:pPr>
        <w:pStyle w:val="BodyText"/>
      </w:pPr>
      <w:r>
        <w:rPr>
          <w:b/>
        </w:rPr>
        <w:t xml:space="preserve">深海采矿：新增量的主力来源。</w:t>
      </w:r>
      <w:r>
        <w:t xml:space="preserve"> </w:t>
      </w:r>
      <w:r>
        <w:t xml:space="preserve">深海采矿的技术演化、三层城镇结构、运输链条本卷·章八及卷 5 详述。资源品种完整图谱：多金属结核（太平洋 CCZ 主力开采区，含镍、铜、钴、锰、稀土伴生）；热液硫化物（海底热液喷口，含铜、锌、铅、金、银，品位极高但位置分散）；富钴结壳（海山侧面，钴含量极高，2072 年仍在技术攻关阶段）；磷灰石（大陆架边缘磷矿资源，陆地磷矿资源有限，深海磷矿是长期战略储备）。</w:t>
      </w:r>
    </w:p>
    <w:p>
      <w:pPr>
        <w:pStyle w:val="BodyText"/>
      </w:pPr>
      <w:r>
        <w:rPr>
          <w:b/>
        </w:rPr>
        <w:t xml:space="preserve">太空采矿：服务基地，不服务地球。</w:t>
      </w:r>
      <w:r>
        <w:t xml:space="preserve"> </w:t>
      </w:r>
      <w:r>
        <w:t xml:space="preserve">月球就地资源利用（ISRU）在 2072 年已成熟——月壤 3D 打印建筑结构、钛铁矿就地冶炼、水冰电解制氢氧推进剂——</w:t>
      </w:r>
      <w:r>
        <w:rPr>
          <w:b/>
        </w:rPr>
        <w:t xml:space="preserve">全部服务于基地扩张，不向地球出口</w:t>
      </w:r>
      <w:r>
        <w:t xml:space="preserve">。氦-3 开采刚进入规模化，主要服务本地聚变堆和深空扩展，</w:t>
      </w:r>
      <w:r>
        <w:rPr>
          <w:b/>
        </w:rPr>
        <w:t xml:space="preserve">驱动力是基地自持和深空探索，不是地球经济需求</w:t>
      </w:r>
      <w:r>
        <w:t xml:space="preserve">。小行星采矿（2072 年仍在前沿探索阶段）：往返运输成本使地球经济价值仍为零；主要价值是深空任务的就地资源供应。</w:t>
      </w:r>
    </w:p>
    <w:p>
      <w:pPr>
        <w:pStyle w:val="BodyText"/>
      </w:pPr>
      <w:r>
        <w:rPr>
          <w:b/>
        </w:rPr>
        <w:t xml:space="preserve">城市矿山与回收：稀贵金属的主要来源。</w:t>
      </w:r>
      <w:r>
        <w:t xml:space="preserve"> </w:t>
      </w:r>
      <w:r>
        <w:t xml:space="preserve">城市集群是 2072 年最重要的</w:t>
      </w:r>
      <w:r>
        <w:t xml:space="preserve">“</w:t>
      </w:r>
      <w:r>
        <w:t xml:space="preserve">矿山</w:t>
      </w:r>
      <w:r>
        <w:t xml:space="preserve">”</w:t>
      </w:r>
      <w:r>
        <w:t xml:space="preserve">之一——不是比喻，是字面意义。聚变使能源成本消失，AI 和自动化使分拣成本大幅下降，城市的人口密度使物流成本天然低于任何其他地理形态。</w:t>
      </w:r>
      <w:r>
        <w:rPr>
          <w:b/>
        </w:rPr>
        <w:t xml:space="preserve">在多个品种上，城市回收的成本已经低于一次采矿</w:t>
      </w:r>
      <w:r>
        <w:t xml:space="preserve">：稀土（钕铁硼永磁体回收，品位高于大多数陆地矿山）、铂族金属（催化转化器、燃料电池，回收率接近 100%）、锂和钴（废旧固态电池形成巨大回收资源库）、铜（电线、电路板，城市铜品位已低于很多陆地铜矿）。</w:t>
      </w:r>
      <w:r>
        <w:rPr>
          <w:b/>
        </w:rPr>
        <w:t xml:space="preserve">一个成熟的城市集群可以在稀贵金属上接近自给，只需从外部输入大宗基础材料（铁、磷、铝土矿）。</w:t>
      </w:r>
    </w:p>
    <w:p>
      <w:pPr>
        <w:pStyle w:val="BodyText"/>
      </w:pPr>
      <w:r>
        <w:rPr>
          <w:b/>
        </w:rPr>
        <w:t xml:space="preserve">电池再生：城市矿山里规模最大、价值最高的单一品种。</w:t>
      </w:r>
      <w:r>
        <w:t xml:space="preserve"> </w:t>
      </w:r>
      <w:r>
        <w:t xml:space="preserve">三条技术路线分工：直接再生（主流）保留材料晶体结构修复正极材料；湿法冶金（辅助）酸溶解+化学沉淀逐步提取锂钴镍；火法冶金退出主导。</w:t>
      </w:r>
      <w:r>
        <w:rPr>
          <w:b/>
        </w:rPr>
        <w:t xml:space="preserve">梯次利用链——Muule 退役电池 → 换电站缓冲储能 → 小城镇固定储能——是少数几条真实的城乡物质联系之一。</w:t>
      </w:r>
      <w:r>
        <w:t xml:space="preserve"> </w:t>
      </w:r>
      <w:r>
        <w:t xml:space="preserve">对地缘格局的影响：锂因聚变氚增殖（锂-6）形成新增量需求，南美盐湖锂矿战略地位不降反升；钴因电池再生+深海采矿双重压制，传统陆地主产区战略地位显著弱化。</w:t>
      </w:r>
    </w:p>
    <w:p>
      <w:pPr>
        <w:pStyle w:val="BodyText"/>
      </w:pPr>
      <w:r>
        <w:rPr>
          <w:b/>
        </w:rPr>
        <w:t xml:space="preserve">聚变燃料：海水里的氘。</w:t>
      </w:r>
      <w:r>
        <w:t xml:space="preserve"> </w:t>
      </w:r>
      <w:r>
        <w:t xml:space="preserve">氘在海水中储量极大——全球海洋含氘约 40 万亿吨，理论上可满足人类当前能耗水平数十亿年。氚来自堆内氚增殖（中子轰击锂-6 产氚）。</w:t>
      </w:r>
      <w:r>
        <w:rPr>
          <w:b/>
        </w:rPr>
        <w:t xml:space="preserve">聚变燃料的供应链是</w:t>
      </w:r>
      <w:r>
        <w:rPr>
          <w:b/>
        </w:rPr>
        <w:t xml:space="preserve">“</w:t>
      </w:r>
      <w:r>
        <w:rPr>
          <w:b/>
        </w:rPr>
        <w:t xml:space="preserve">海水提取氘 + 锂矿开采锂-6 → 堆内产氚 → 氘氚聚变</w:t>
      </w:r>
      <w:r>
        <w:rPr>
          <w:b/>
        </w:rPr>
        <w:t xml:space="preserve">”</w:t>
      </w:r>
      <w:r>
        <w:t xml:space="preserve">——这是多态社会能够在相互忽视均衡下长期稳定的深层物质条件之一：</w:t>
      </w:r>
      <w:r>
        <w:rPr>
          <w:b/>
        </w:rPr>
        <w:t xml:space="preserve">能源的稀缺性从根本上消失，只要有海水和锂，任何地方都可以运行聚变堆。</w:t>
      </w:r>
      <w:r>
        <w:t xml:space="preserve"> </w:t>
      </w:r>
      <w:r>
        <w:t xml:space="preserve">这从根本上重塑了国家间力量关系——20 世纪以来塑造世界格局的</w:t>
      </w:r>
      <w:r>
        <w:t xml:space="preserve">“</w:t>
      </w:r>
      <w:r>
        <w:t xml:space="preserve">能源稀缺—化石垄断—地缘对抗</w:t>
      </w:r>
      <w:r>
        <w:t xml:space="preserve">”</w:t>
      </w:r>
      <w:r>
        <w:t xml:space="preserve">的物质基础在 2072 年大幅削弱。</w:t>
      </w:r>
    </w:p>
    <w:p>
      <w:pPr>
        <w:pStyle w:val="BodyText"/>
      </w:pPr>
      <w:r>
        <w:rPr>
          <w:b/>
        </w:rPr>
        <w:t xml:space="preserve">合成材料与合成食品：从不得已变为主动。</w:t>
      </w:r>
      <w:r>
        <w:t xml:space="preserve"> </w:t>
      </w:r>
      <w:r>
        <w:t xml:space="preserve">聚变使合成路线从</w:t>
      </w:r>
      <w:r>
        <w:t xml:space="preserve">“</w:t>
      </w:r>
      <w:r>
        <w:t xml:space="preserve">不得已的高成本选项</w:t>
      </w:r>
      <w:r>
        <w:t xml:space="preserve">”</w:t>
      </w:r>
      <w:r>
        <w:t xml:space="preserve">变成</w:t>
      </w:r>
      <w:r>
        <w:t xml:space="preserve">“</w:t>
      </w:r>
      <w:r>
        <w:t xml:space="preserve">主动的低成本选项</w:t>
      </w:r>
      <w:r>
        <w:t xml:space="preserve">”</w:t>
      </w:r>
      <w:r>
        <w:t xml:space="preserve">。主要品种：</w:t>
      </w:r>
    </w:p>
    <w:p>
      <w:pPr>
        <w:numPr>
          <w:ilvl w:val="0"/>
          <w:numId w:val="1016"/>
        </w:numPr>
        <w:pStyle w:val="Compact"/>
      </w:pPr>
      <w:r>
        <w:rPr>
          <w:b/>
        </w:rPr>
        <w:t xml:space="preserve">合成燃料（SAF）</w:t>
      </w:r>
      <w:r>
        <w:t xml:space="preserve">：聚变电力电解水得氢，氢与大气 CO₂ 费托合成液态烃，现有发动机直接使用，封闭碳循环。</w:t>
      </w:r>
    </w:p>
    <w:p>
      <w:pPr>
        <w:numPr>
          <w:ilvl w:val="0"/>
          <w:numId w:val="1016"/>
        </w:numPr>
        <w:pStyle w:val="Compact"/>
      </w:pPr>
      <w:r>
        <w:rPr>
          <w:b/>
        </w:rPr>
        <w:t xml:space="preserve">合成氨与化肥</w:t>
      </w:r>
      <w:r>
        <w:t xml:space="preserve">：哈伯-博施法合成氨极其耗能，聚变使成本大幅下降。廉价合成氨使边缘社区农业投入可及。</w:t>
      </w:r>
    </w:p>
    <w:p>
      <w:pPr>
        <w:numPr>
          <w:ilvl w:val="0"/>
          <w:numId w:val="1016"/>
        </w:numPr>
        <w:pStyle w:val="Compact"/>
      </w:pPr>
      <w:r>
        <w:rPr>
          <w:b/>
        </w:rPr>
        <w:t xml:space="preserve">合成蛋白质与细胞培养食品</w:t>
      </w:r>
      <w:r>
        <w:t xml:space="preserve">：2030 年代商业化，2072 年成熟，</w:t>
      </w:r>
      <w:r>
        <w:rPr>
          <w:b/>
        </w:rPr>
        <w:t xml:space="preserve">是最低保障配给的物质基础</w:t>
      </w:r>
      <w:r>
        <w:t xml:space="preserve">。</w:t>
      </w:r>
    </w:p>
    <w:p>
      <w:pPr>
        <w:numPr>
          <w:ilvl w:val="0"/>
          <w:numId w:val="1016"/>
        </w:numPr>
        <w:pStyle w:val="Compact"/>
      </w:pPr>
      <w:r>
        <w:rPr>
          <w:b/>
        </w:rPr>
        <w:t xml:space="preserve">合成高性能材料</w:t>
      </w:r>
      <w:r>
        <w:t xml:space="preserve">：碳纤维、工程陶瓷因高能耗合成工艺成本骤降，Muule 舱体、深海设备耐压外壳成本远低于今天。</w:t>
      </w:r>
    </w:p>
    <w:p>
      <w:pPr>
        <w:numPr>
          <w:ilvl w:val="0"/>
          <w:numId w:val="1016"/>
        </w:numPr>
        <w:pStyle w:val="Compact"/>
      </w:pPr>
      <w:r>
        <w:rPr>
          <w:b/>
        </w:rPr>
        <w:t xml:space="preserve">合成稀土替代品</w:t>
      </w:r>
      <w:r>
        <w:t xml:space="preserve">：在若干应用场景实现替代，与深海采矿共同削弱稀土战略不可替代性。</w:t>
      </w:r>
    </w:p>
    <w:p>
      <w:pPr>
        <w:pStyle w:val="FirstParagraph"/>
      </w:pPr>
      <w:r>
        <w:rPr>
          <w:b/>
        </w:rPr>
        <w:t xml:space="preserve">城市工厂化农业。</w:t>
      </w:r>
      <w:r>
        <w:t xml:space="preserve"> </w:t>
      </w:r>
      <w:r>
        <w:t xml:space="preserve">垂直农场聚变前的主要障碍是能源成本——聚变使这个障碍系统性消失。工厂化农业精确输出红光（660nm）和蓝光（450nm），CO₂ 浓缩至约 1000—1500ppm 提升光合效率约 30—40%，用水量约为传统农业的 1/20。主要生产高价值短周期品种（叶菜、草莓、番茄、香草）；大田作物仍走高度自动化的传统大田农业或合成淀粉路线。AI 替代劳动后大量商业办公空间空置，</w:t>
      </w:r>
      <w:r>
        <w:rPr>
          <w:b/>
        </w:rPr>
        <w:t xml:space="preserve">改造为垂直农场是最自然的城市空间再利用方向之一</w:t>
      </w:r>
      <w:r>
        <w:t xml:space="preserve">。</w:t>
      </w:r>
    </w:p>
    <w:p>
      <w:pPr>
        <w:pStyle w:val="BodyText"/>
      </w:pPr>
      <w:r>
        <w:t xml:space="preserve">合成食品使边缘社区即使拥有土地，也越来越依赖城市配给而非本地生产——</w:t>
      </w:r>
      <w:r>
        <w:rPr>
          <w:b/>
        </w:rPr>
        <w:t xml:space="preserve">拥有土地不等于能自给</w:t>
      </w:r>
      <w:r>
        <w:t xml:space="preserve">。当城市配给覆盖基本热量需求，本地农业失去经济理由，农业知识和基础设施迅速退化，难以逆转。遗忘地带是唯一例外：配给链到不了的极边缘区域，传统农业是唯一选项，保留了农业知识，但处于极低的营养和产出水平。</w:t>
      </w:r>
    </w:p>
    <w:p>
      <w:pPr>
        <w:pStyle w:val="Heading3"/>
      </w:pPr>
      <w:bookmarkStart w:id="63" w:name="资源体系的整体逻辑"/>
      <w:r>
        <w:t xml:space="preserve">资源体系的整体逻辑</w:t>
      </w:r>
      <w:bookmarkEnd w:id="63"/>
    </w:p>
    <w:p>
      <w:pPr>
        <w:pStyle w:val="FirstParagraph"/>
      </w:pPr>
      <w:r>
        <w:rPr>
          <w:b/>
        </w:rPr>
        <w:t xml:space="preserve">四个开采来源各有分工</w:t>
      </w:r>
      <w:r>
        <w:t xml:space="preserve">：内陆提供大宗矿产（铁、磷、铜）；极地提供稀有金属（北极镍、铂族）；深海提供稀土和钴（打破陆地垄断）；太空提供基地就地扩张所需（不向地球出口）。</w:t>
      </w:r>
      <w:r>
        <w:rPr>
          <w:b/>
        </w:rPr>
        <w:t xml:space="preserve">城市回收在稀贵金属上与一次采矿竞争</w:t>
      </w:r>
      <w:r>
        <w:t xml:space="preserve">，合成在有机材料和食品上替代自然来源。</w:t>
      </w:r>
    </w:p>
    <w:p>
      <w:pPr>
        <w:pStyle w:val="BodyText"/>
      </w:pPr>
      <w:r>
        <w:t xml:space="preserve">聚变是这个体系的能量基础，海水是聚变的原料基础。两者叠加构成一个根本性的资源充裕条件：</w:t>
      </w:r>
      <w:r>
        <w:rPr>
          <w:b/>
        </w:rPr>
        <w:t xml:space="preserve">能源不再稀缺，物质循环的能量驱动成本趋近于零</w:t>
      </w:r>
      <w:r>
        <w:t xml:space="preserve">。AI 使全自动无人开采和城市分拣精度大幅提升。约束收敛到</w:t>
      </w:r>
      <w:r>
        <w:rPr>
          <w:b/>
        </w:rPr>
        <w:t xml:space="preserve">物流、地缘和环境监管</w:t>
      </w:r>
      <w:r>
        <w:t xml:space="preserve">，不再是能源和人工。</w:t>
      </w:r>
    </w:p>
    <w:p>
      <w:pPr>
        <w:pStyle w:val="BodyText"/>
      </w:pPr>
      <w:r>
        <w:rPr>
          <w:b/>
        </w:rPr>
        <w:t xml:space="preserve">这个体系的地缘政治含义。</w:t>
      </w:r>
      <w:r>
        <w:t xml:space="preserve"> </w:t>
      </w:r>
      <w:r>
        <w:t xml:space="preserve">沿海集群掌握技术和资本，通过这两样东西控制全球资源流向，无论资源来自内陆、极地还是深海。</w:t>
      </w:r>
      <w:r>
        <w:rPr>
          <w:b/>
        </w:rPr>
        <w:t xml:space="preserve">“</w:t>
      </w:r>
      <w:r>
        <w:rPr>
          <w:b/>
        </w:rPr>
        <w:t xml:space="preserve">资源诅咒</w:t>
      </w:r>
      <w:r>
        <w:rPr>
          <w:b/>
        </w:rPr>
        <w:t xml:space="preserve">”</w:t>
      </w:r>
      <w:r>
        <w:rPr>
          <w:b/>
        </w:rPr>
        <w:t xml:space="preserve">在 2072 年的新形式是：拥有资源的地区无法独立开采，必须引入沿海集群的技术资本，资源收益按技术和资本的比例分配，实际控制权在技术和资本一方。</w:t>
      </w:r>
      <w:r>
        <w:t xml:space="preserve"> </w:t>
      </w:r>
      <w:r>
        <w:t xml:space="preserve">能源充裕消除了能源争夺，但</w:t>
      </w:r>
      <w:r>
        <w:rPr>
          <w:b/>
        </w:rPr>
        <w:t xml:space="preserve">技术和资本的集中强化了另一种不对称</w:t>
      </w:r>
      <w:r>
        <w:t xml:space="preserve">——这是多态社会里最深层的结构性不平等。资源国（特别是矿产资源国）在这一格局下的具体处境，本书在卷 3 章七资源国与卷 5 章八世界其他地区展开。</w:t>
      </w:r>
    </w:p>
    <w:p>
      <w:pPr>
        <w:pStyle w:val="Heading3"/>
      </w:pPr>
      <w:bookmarkStart w:id="64" w:name="收束-2"/>
      <w:r>
        <w:t xml:space="preserve">收束</w:t>
      </w:r>
      <w:bookmarkEnd w:id="64"/>
    </w:p>
    <w:p>
      <w:pPr>
        <w:pStyle w:val="FirstParagraph"/>
      </w:pPr>
      <w:r>
        <w:t xml:space="preserve">资源体系是物质基础卷的第二条主线——能源（2.1）解决了能量约束，资源（2.2）解决了原料约束。两者叠加，物质生产的传统约束在 2072 年大幅松动，约束转移到技术、资本、物流、地缘上。</w:t>
      </w:r>
    </w:p>
    <w:p>
      <w:pPr>
        <w:pStyle w:val="BodyText"/>
      </w:pPr>
      <w:r>
        <w:t xml:space="preserve">下一章（章三）进入全自动制造与原料——物质生产的实际形态。</w:t>
      </w:r>
    </w:p>
    <w:p>
      <w:pPr>
        <w:pStyle w:val="Heading2"/>
      </w:pPr>
      <w:bookmarkStart w:id="65" w:name="章三-全自动制造与原料"/>
      <w:r>
        <w:t xml:space="preserve">章三　全自动制造与原料</w:t>
      </w:r>
      <w:bookmarkEnd w:id="65"/>
    </w:p>
    <w:p>
      <w:pPr>
        <w:pStyle w:val="FirstParagraph"/>
      </w:pPr>
      <w:r>
        <w:t xml:space="preserve">AI 与机器人的结合使工厂可以在人不进入特定生产区的状态下运行。</w:t>
      </w:r>
      <w:r>
        <w:rPr>
          <w:b/>
        </w:rPr>
        <w:t xml:space="preserve">这不只是</w:t>
      </w:r>
      <w:r>
        <w:rPr>
          <w:b/>
        </w:rPr>
        <w:t xml:space="preserve">“</w:t>
      </w:r>
      <w:r>
        <w:rPr>
          <w:b/>
        </w:rPr>
        <w:t xml:space="preserve">省掉工人</w:t>
      </w:r>
      <w:r>
        <w:rPr>
          <w:b/>
        </w:rPr>
        <w:t xml:space="preserve">”</w:t>
      </w:r>
      <w:r>
        <w:rPr>
          <w:b/>
        </w:rPr>
        <w:t xml:space="preserve">，是改变了工厂设计的根本约束</w:t>
      </w:r>
      <w:r>
        <w:t xml:space="preserve">——大量设施今天是为人服务的：洁净室的气闸和更衣程序、惰性气体区的人员隔离、通道宽度和层高按人体尺寸设定。当人不需要进入生产区，这些约束消失，工艺可以按物理和化学的最优条件设定，而非在最优条件与人员安全之间折中。</w:t>
      </w:r>
      <w:r>
        <w:rPr>
          <w:b/>
        </w:rPr>
        <w:t xml:space="preserve">工厂内仍然有人——处理必要工作、监督系统状态、应对异常——但人的活动边界退出了核心生产区。</w:t>
      </w:r>
    </w:p>
    <w:p>
      <w:pPr>
        <w:pStyle w:val="BodyText"/>
      </w:pPr>
      <w:r>
        <w:t xml:space="preserve">历史上类似的</w:t>
      </w:r>
      <w:r>
        <w:t xml:space="preserve">“</w:t>
      </w:r>
      <w:r>
        <w:t xml:space="preserve">人退出</w:t>
      </w:r>
      <w:r>
        <w:t xml:space="preserve">”</w:t>
      </w:r>
      <w:r>
        <w:t xml:space="preserve">曾经多次重塑生产方式。19 世纪机械化使工人从手工动作中退出；20 世纪自动化生产线使工人从重复性操作中退出；20 世纪后期数控机床使工人从精密加工中退出。</w:t>
      </w:r>
      <w:r>
        <w:rPr>
          <w:b/>
        </w:rPr>
        <w:t xml:space="preserve">2072 年的不同之处在于：退出从</w:t>
      </w:r>
      <w:r>
        <w:rPr>
          <w:b/>
        </w:rPr>
        <w:t xml:space="preserve">“</w:t>
      </w:r>
      <w:r>
        <w:rPr>
          <w:b/>
        </w:rPr>
        <w:t xml:space="preserve">少数高危/精密工段</w:t>
      </w:r>
      <w:r>
        <w:rPr>
          <w:b/>
        </w:rPr>
        <w:t xml:space="preserve">”</w:t>
      </w:r>
      <w:r>
        <w:rPr>
          <w:b/>
        </w:rPr>
        <w:t xml:space="preserve">扩展到</w:t>
      </w:r>
      <w:r>
        <w:rPr>
          <w:b/>
        </w:rPr>
        <w:t xml:space="preserve">“</w:t>
      </w:r>
      <w:r>
        <w:rPr>
          <w:b/>
        </w:rPr>
        <w:t xml:space="preserve">整片生产区</w:t>
      </w:r>
      <w:r>
        <w:rPr>
          <w:b/>
        </w:rPr>
        <w:t xml:space="preserve">”</w:t>
      </w:r>
      <w:r>
        <w:rPr>
          <w:b/>
        </w:rPr>
        <w:t xml:space="preserve">。</w:t>
      </w:r>
    </w:p>
    <w:p>
      <w:pPr>
        <w:pStyle w:val="Heading3"/>
      </w:pPr>
      <w:bookmarkStart w:id="66" w:name="两个核心改变带来的产品质量与成本改进"/>
      <w:r>
        <w:t xml:space="preserve">两个核心改变带来的产品质量与成本改进</w:t>
      </w:r>
      <w:bookmarkEnd w:id="66"/>
    </w:p>
    <w:p>
      <w:pPr>
        <w:pStyle w:val="FirstParagraph"/>
      </w:pPr>
      <w:r>
        <w:rPr>
          <w:b/>
        </w:rPr>
        <w:t xml:space="preserve">气体环境自由。</w:t>
      </w:r>
      <w:r>
        <w:t xml:space="preserve"> </w:t>
      </w:r>
      <w:r>
        <w:t xml:space="preserve">只要生产区有工人，就必须维持可呼吸空气。需要特殊气体环境的工段必须严格隔离，人员进出需要气闸和防护装备，增加设施成本和操作复杂度。</w:t>
      </w:r>
      <w:r>
        <w:rPr>
          <w:b/>
        </w:rPr>
        <w:t xml:space="preserve">人退出生产区后，整个工段可以不加妥协地维持工艺所需的气体环境。</w:t>
      </w:r>
    </w:p>
    <w:p>
      <w:pPr>
        <w:pStyle w:val="BodyText"/>
      </w:pPr>
      <w:r>
        <w:t xml:space="preserve">受益最大的产品类别是固态电池——锂对水和氧极度敏感，今天的干燥房（露点 -40°C 以下）和手套箱操作是最大的生产瓶颈和成本来源。</w:t>
      </w:r>
      <w:r>
        <w:rPr>
          <w:b/>
        </w:rPr>
        <w:t xml:space="preserve">全区惰性气体覆盖后，干燥房与手套箱消失</w:t>
      </w:r>
      <w:r>
        <w:t xml:space="preserve">，设备可以按流水线最优排列，产能密度和良率同时提升。2072 年固态电池需求量巨大（Muule 换电体系、电网储能、聚变堆辅助系统），制造环境解除约束对供应量有直接影响。半导体先进制程同样受益——关键工艺（外延生长、原子层沉积）与空气严格隔离的需求使设备结构复杂，全无人化工段可以在整体惰性气氛中运行。有机金属化学品（OLED 材料、催化剂前体）和活性金属加工（锂、钠合金）也在同一逻辑下受益。</w:t>
      </w:r>
    </w:p>
    <w:p>
      <w:pPr>
        <w:pStyle w:val="BodyText"/>
      </w:pPr>
      <w:r>
        <w:rPr>
          <w:b/>
        </w:rPr>
        <w:t xml:space="preserve">洁净度自由。</w:t>
      </w:r>
      <w:r>
        <w:t xml:space="preserve"> </w:t>
      </w:r>
      <w:r>
        <w:t xml:space="preserve">人是工厂里最大的颗粒污染源——皮屑、毛发、呼出气溶胶。ISO 5 级以上洁净室的大量建设成本和运营成本来自对人体污染的管控。</w:t>
      </w:r>
      <w:r>
        <w:rPr>
          <w:b/>
        </w:rPr>
        <w:t xml:space="preserve">人退出生产区后，最大污染源消失，相同投入可以达到更高洁净度，或以更低成本维持相同洁净度。</w:t>
      </w:r>
    </w:p>
    <w:p>
      <w:pPr>
        <w:pStyle w:val="BodyText"/>
      </w:pPr>
      <w:r>
        <w:t xml:space="preserve">生物制药（单克隆抗体、细胞疗法、mRNA 疫苗）是最直接的受益者：无菌灌装是整个药厂成本最高的环节，批次报废的主因之一是微生物污染——人员消失后无菌区可以扩大，报废率系统性下降。高纯度光学元件（高功率激光器、深紫外光学）和 MEMS 精密传感器同样在洁净度提升中获得明显良率改善。</w:t>
      </w:r>
    </w:p>
    <w:p>
      <w:pPr>
        <w:pStyle w:val="BodyText"/>
      </w:pPr>
      <w:r>
        <w:rPr>
          <w:b/>
        </w:rPr>
        <w:t xml:space="preserve">两个维度叠加受益最大的产品：</w:t>
      </w:r>
      <w:r>
        <w:t xml:space="preserve"> </w:t>
      </w:r>
      <w:r>
        <w:t xml:space="preserve">固态电池（惰性气氛 + 超高洁净度双重需求）；生物制药中的细胞疗法（无菌 + 低氧培养气氛双重需求，且需求量随延寿技术普及持续增长）；半导体先进制程（气体环境 + 洁净度双重受益）。</w:t>
      </w:r>
    </w:p>
    <w:p>
      <w:pPr>
        <w:pStyle w:val="Heading3"/>
      </w:pPr>
      <w:bookmarkStart w:id="67" w:name="选址与组织形态"/>
      <w:r>
        <w:t xml:space="preserve">选址与组织形态</w:t>
      </w:r>
      <w:bookmarkEnd w:id="67"/>
    </w:p>
    <w:p>
      <w:pPr>
        <w:pStyle w:val="FirstParagraph"/>
      </w:pPr>
      <w:r>
        <w:t xml:space="preserve">全自动无人生产区带来的这些改进，</w:t>
      </w:r>
      <w:r>
        <w:rPr>
          <w:b/>
        </w:rPr>
        <w:t xml:space="preserve">在陆地上同样可以实现</w:t>
      </w:r>
      <w:r>
        <w:t xml:space="preserve">——聚变电力解决能源成本，AI 与机器人解决操作问题，这类工厂在陆地上的大规模普及是 2072 年制造业的主要形态，</w:t>
      </w:r>
      <w:r>
        <w:rPr>
          <w:b/>
        </w:rPr>
        <w:t xml:space="preserve">不依赖特定地理选址</w:t>
      </w:r>
      <w:r>
        <w:t xml:space="preserve">。浮潜工厂（深海采矿城镇的浮潜层）在矿产垂直整合和极端冷源场景下有增量价值，但作为独立的洁净制造设施，其建造和维护成本并不优于陆地上同等投入的无人洁净工厂。</w:t>
      </w:r>
    </w:p>
    <w:p>
      <w:pPr>
        <w:pStyle w:val="BodyText"/>
      </w:pPr>
      <w:r>
        <w:t xml:space="preserve">组织形态上，制造业的就业重心从生产线工人转移到几类岗位：</w:t>
      </w:r>
      <w:r>
        <w:rPr>
          <w:b/>
        </w:rPr>
        <w:t xml:space="preserve">系统设计与工艺开发</w:t>
      </w:r>
      <w:r>
        <w:t xml:space="preserve">（设计端，集中在少数高密度技术中心）；</w:t>
      </w:r>
      <w:r>
        <w:rPr>
          <w:b/>
        </w:rPr>
        <w:t xml:space="preserve">远程监控与异常处理</w:t>
      </w:r>
      <w:r>
        <w:t xml:space="preserve">（运营端，可分散在沿海集群）；</w:t>
      </w:r>
      <w:r>
        <w:rPr>
          <w:b/>
        </w:rPr>
        <w:t xml:space="preserve">维护与改造</w:t>
      </w:r>
      <w:r>
        <w:t xml:space="preserve">（现场工程师，仍需要在工厂物理位置工作，但人数远低于工业时代）。</w:t>
      </w:r>
      <w:r>
        <w:rPr>
          <w:b/>
        </w:rPr>
        <w:t xml:space="preserve">就业总量大幅下降，但岗位的认知门槛显著上升</w:t>
      </w:r>
      <w:r>
        <w:t xml:space="preserve">——这是 AI 时代制造业就业格局的总体特征。</w:t>
      </w:r>
    </w:p>
    <w:p>
      <w:pPr>
        <w:pStyle w:val="Heading3"/>
      </w:pPr>
      <w:bookmarkStart w:id="68" w:name="收束-3"/>
      <w:r>
        <w:t xml:space="preserve">收束</w:t>
      </w:r>
      <w:bookmarkEnd w:id="68"/>
    </w:p>
    <w:p>
      <w:pPr>
        <w:pStyle w:val="FirstParagraph"/>
      </w:pPr>
      <w:r>
        <w:t xml:space="preserve">全自动制造是物质生产层面 AI 与聚变红利相互强化的最典型场景之一——AI 提供智能调度，聚变提供能源底座，两者叠加使物质生产的传统约束系统性松动。</w:t>
      </w:r>
      <w:r>
        <w:rPr>
          <w:b/>
        </w:rPr>
        <w:t xml:space="preserve">但这一变化同时使制造业就业的容纳能力大幅下降</w:t>
      </w:r>
      <w:r>
        <w:t xml:space="preserve">——这是裸露期就业冲击的物质起因之一，本书在卷 4 时间线展开。</w:t>
      </w:r>
    </w:p>
    <w:p>
      <w:pPr>
        <w:pStyle w:val="BodyText"/>
      </w:pPr>
      <w:r>
        <w:t xml:space="preserve">下一章（章四）进入医疗与生命——AI 与生物技术叠加带来的另一片重构地带。</w:t>
      </w:r>
    </w:p>
    <w:p>
      <w:pPr>
        <w:pStyle w:val="Heading2"/>
      </w:pPr>
      <w:bookmarkStart w:id="69" w:name="章四-医疗与生命"/>
      <w:r>
        <w:t xml:space="preserve">章四　医疗与生命</w:t>
      </w:r>
      <w:bookmarkEnd w:id="69"/>
    </w:p>
    <w:p>
      <w:pPr>
        <w:pStyle w:val="BlockText"/>
      </w:pPr>
      <w:r>
        <w:rPr>
          <w:b/>
        </w:rPr>
        <w:t xml:space="preserve">本章定位。</w:t>
      </w:r>
      <w:r>
        <w:t xml:space="preserve"> </w:t>
      </w:r>
      <w:r>
        <w:t xml:space="preserve">生物技术与延寿永生技术在 2072 年是 AI 时代物质条件改变中最深也最具张力的两个领域。前者（4.1）涉及医疗进步与武器扩散的双重性；后者（4.2）涉及生物极限与数字方案的边界。本章只就机制展开——具体的医疗服务差异、不同路径下的伦理框架，本书在卷 3 章八（医疗经济学）展开。</w:t>
      </w:r>
    </w:p>
    <w:p>
      <w:pPr>
        <w:pStyle w:val="Heading2"/>
      </w:pPr>
      <w:bookmarkStart w:id="70" w:name="生物技术的双重性医疗进步与武器扩散风险"/>
      <w:r>
        <w:t xml:space="preserve">4.1　生物技术的双重性：医疗进步与武器扩散风险</w:t>
      </w:r>
      <w:bookmarkEnd w:id="70"/>
    </w:p>
    <w:p>
      <w:pPr>
        <w:pStyle w:val="FirstParagraph"/>
      </w:pPr>
      <w:r>
        <w:t xml:space="preserve">生物技术在 2072 年是进步最快、影响最深远、同时也最危险的技术领域。</w:t>
      </w:r>
      <w:r>
        <w:rPr>
          <w:b/>
        </w:rPr>
        <w:t xml:space="preserve">AI 辅助蛋白质设计</w:t>
      </w:r>
      <w:r>
        <w:t xml:space="preserve">（AlphaFold 路线的延伸）、</w:t>
      </w:r>
      <w:r>
        <w:rPr>
          <w:b/>
        </w:rPr>
        <w:t xml:space="preserve">基因合成设备的小型化和廉价化</w:t>
      </w:r>
      <w:r>
        <w:t xml:space="preserve">、</w:t>
      </w:r>
      <w:r>
        <w:rPr>
          <w:b/>
        </w:rPr>
        <w:t xml:space="preserve">合成生物学在医疗和农业的广泛应用</w:t>
      </w:r>
      <w:r>
        <w:t xml:space="preserve">——这三条技术曲线在带来巨大医疗红利的同时，系统性地降低了生物武器的制造门槛。</w:t>
      </w:r>
    </w:p>
    <w:p>
      <w:pPr>
        <w:pStyle w:val="BodyText"/>
      </w:pPr>
      <w:r>
        <w:t xml:space="preserve">历史上类似的</w:t>
      </w:r>
      <w:r>
        <w:t xml:space="preserve">“</w:t>
      </w:r>
      <w:r>
        <w:t xml:space="preserve">双重性</w:t>
      </w:r>
      <w:r>
        <w:t xml:space="preserve">”</w:t>
      </w:r>
      <w:r>
        <w:t xml:space="preserve">技术不是没有过——20 世纪的核物理（核电与核武器）、20 世纪后期的信息技术（互联网与监控国家）——但生物技术的双重性比这些先例更深，</w:t>
      </w:r>
      <w:r>
        <w:rPr>
          <w:b/>
        </w:rPr>
        <w:t xml:space="preserve">因为它的两面性贯穿整个技术栈而非可分离的应用层</w:t>
      </w:r>
      <w:r>
        <w:t xml:space="preserve">。同样的蛋白质设计 AI 可以用于药物开发与病原体工程化；同样的基因合成设备可以制造疫苗与致病原。</w:t>
      </w:r>
      <w:r>
        <w:rPr>
          <w:b/>
        </w:rPr>
        <w:t xml:space="preserve">民用与军用之间没有清晰的技术边界，差别在意图。</w:t>
      </w:r>
    </w:p>
    <w:p>
      <w:pPr>
        <w:pStyle w:val="Heading3"/>
      </w:pPr>
      <w:bookmarkStart w:id="71" w:name="医疗进步"/>
      <w:r>
        <w:t xml:space="preserve">医疗进步</w:t>
      </w:r>
      <w:bookmarkEnd w:id="71"/>
    </w:p>
    <w:p>
      <w:pPr>
        <w:pStyle w:val="FirstParagraph"/>
      </w:pPr>
      <w:r>
        <w:t xml:space="preserve">聚变时代廉价能源使生物制药生产成本大幅下降，AI 辅助药物分子设计使新药开发周期从平均 12 年压缩到约 3—4 年。</w:t>
      </w:r>
      <w:r>
        <w:rPr>
          <w:b/>
        </w:rPr>
        <w:t xml:space="preserve">个性化医疗</w:t>
      </w:r>
      <w:r>
        <w:t xml:space="preserve">（基于个体基因组的精准治疗）在城市集群里成为标准配置。</w:t>
      </w:r>
      <w:r>
        <w:rPr>
          <w:b/>
        </w:rPr>
        <w:t xml:space="preserve">器官再生和基因治疗</w:t>
      </w:r>
      <w:r>
        <w:t xml:space="preserve">在 2072 年是成熟技术，不再是实验性选项。这些进步在延长寿命、提升生活质量方面的效果是真实的，</w:t>
      </w:r>
      <w:r>
        <w:rPr>
          <w:b/>
        </w:rPr>
        <w:t xml:space="preserve">但分布极不均匀——城市集群与遗忘地带之间的医疗质量差距，比任何历史时期都大</w:t>
      </w:r>
      <w:r>
        <w:t xml:space="preserve">。</w:t>
      </w:r>
    </w:p>
    <w:p>
      <w:pPr>
        <w:pStyle w:val="BodyText"/>
      </w:pPr>
      <w:r>
        <w:t xml:space="preserve">具体形态见卷 3 章八与卷 5 章三/章八。本节只指出物质基础：医疗能力的物质前提（聚变电力 + AI 算力 + 合成生物学设备）在 2072 年技术上已经成熟，</w:t>
      </w:r>
      <w:r>
        <w:rPr>
          <w:b/>
        </w:rPr>
        <w:t xml:space="preserve">约束转移到资本与制度——谁能负担、谁能分配。</w:t>
      </w:r>
    </w:p>
    <w:p>
      <w:pPr>
        <w:pStyle w:val="Heading3"/>
      </w:pPr>
      <w:bookmarkStart w:id="72" w:name="武器扩散风险"/>
      <w:r>
        <w:t xml:space="preserve">武器扩散风险</w:t>
      </w:r>
      <w:bookmarkEnd w:id="72"/>
    </w:p>
    <w:p>
      <w:pPr>
        <w:pStyle w:val="FirstParagraph"/>
      </w:pPr>
      <w:r>
        <w:t xml:space="preserve">生物武器的制造门槛由三个因素维持：</w:t>
      </w:r>
      <w:r>
        <w:rPr>
          <w:b/>
        </w:rPr>
        <w:t xml:space="preserve">技术复杂性、原材料管控、生产设备的稀缺性</w:t>
      </w:r>
      <w:r>
        <w:t xml:space="preserve">。到 2072 年三个门槛同时下降：</w:t>
      </w:r>
    </w:p>
    <w:p>
      <w:pPr>
        <w:numPr>
          <w:ilvl w:val="0"/>
          <w:numId w:val="1017"/>
        </w:numPr>
        <w:pStyle w:val="Compact"/>
      </w:pPr>
      <w:r>
        <w:rPr>
          <w:b/>
        </w:rPr>
        <w:t xml:space="preserve">AI 辅助设计</w:t>
      </w:r>
      <w:r>
        <w:t xml:space="preserve">大幅降低了病原体工程化的认知门槛。</w:t>
      </w:r>
    </w:p>
    <w:p>
      <w:pPr>
        <w:numPr>
          <w:ilvl w:val="0"/>
          <w:numId w:val="1017"/>
        </w:numPr>
        <w:pStyle w:val="Compact"/>
      </w:pPr>
      <w:r>
        <w:rPr>
          <w:b/>
        </w:rPr>
        <w:t xml:space="preserve">基因合成设备</w:t>
      </w:r>
      <w:r>
        <w:t xml:space="preserve">从今天的实验室级别进一步小型化至接近桌面级别。</w:t>
      </w:r>
    </w:p>
    <w:p>
      <w:pPr>
        <w:numPr>
          <w:ilvl w:val="0"/>
          <w:numId w:val="1017"/>
        </w:numPr>
        <w:pStyle w:val="Compact"/>
      </w:pPr>
      <w:r>
        <w:rPr>
          <w:b/>
        </w:rPr>
        <w:t xml:space="preserve">合成生物学知识和设备</w:t>
      </w:r>
      <w:r>
        <w:t xml:space="preserve">因广泛的和平用途而难以区分和管控。</w:t>
      </w:r>
    </w:p>
    <w:p>
      <w:pPr>
        <w:pStyle w:val="FirstParagraph"/>
      </w:pPr>
      <w:r>
        <w:rPr>
          <w:b/>
        </w:rPr>
        <w:t xml:space="preserve">这不需要国家级资源，需要的是知识、设备和意图的组合。</w:t>
      </w:r>
      <w:r>
        <w:t xml:space="preserve"> </w:t>
      </w:r>
      <w:r>
        <w:t xml:space="preserve">这是 2072 年最真实的大规模杀伤性武器扩散威胁，</w:t>
      </w:r>
      <w:r>
        <w:rPr>
          <w:b/>
        </w:rPr>
        <w:t xml:space="preserve">比核武器（仍需大型浓缩设备）和化学武器（传播效果有物理限制）威胁等级更高</w:t>
      </w:r>
      <w:r>
        <w:t xml:space="preserve">。有效防御需要在进攻发生之前识别意图——结果正是监控体系的内在逻辑（卷 3 章九展开）。</w:t>
      </w:r>
    </w:p>
    <w:p>
      <w:pPr>
        <w:pStyle w:val="Heading3"/>
      </w:pPr>
      <w:bookmarkStart w:id="73" w:name="结构性缓解因素"/>
      <w:r>
        <w:t xml:space="preserve">结构性缓解因素</w:t>
      </w:r>
      <w:bookmarkEnd w:id="73"/>
    </w:p>
    <w:p>
      <w:pPr>
        <w:pStyle w:val="FirstParagraph"/>
      </w:pPr>
      <w:r>
        <w:t xml:space="preserve">尽管门槛下降，</w:t>
      </w:r>
      <w:r>
        <w:rPr>
          <w:b/>
        </w:rPr>
        <w:t xml:space="preserve">大规模灾难的实际可能性在 2072 年比直觉预期低</w:t>
      </w:r>
      <w:r>
        <w:t xml:space="preserve">——几个结构性因素同时起作用：</w:t>
      </w:r>
    </w:p>
    <w:p>
      <w:pPr>
        <w:numPr>
          <w:ilvl w:val="0"/>
          <w:numId w:val="1018"/>
        </w:numPr>
        <w:pStyle w:val="Compact"/>
      </w:pPr>
      <w:r>
        <w:rPr>
          <w:b/>
        </w:rPr>
        <w:t xml:space="preserve">相互忽视均衡</w:t>
      </w:r>
      <w:r>
        <w:t xml:space="preserve">使有技术能力的人缺乏组织动员的动机和网络。</w:t>
      </w:r>
      <w:r>
        <w:t xml:space="preserve">“</w:t>
      </w:r>
      <w:r>
        <w:t xml:space="preserve">有技术能力 + 有极端意图 + 有组织能力</w:t>
      </w:r>
      <w:r>
        <w:t xml:space="preserve">”</w:t>
      </w:r>
      <w:r>
        <w:t xml:space="preserve">三者同时满足的场景在多态社会里比在今天更少。</w:t>
      </w:r>
    </w:p>
    <w:p>
      <w:pPr>
        <w:numPr>
          <w:ilvl w:val="0"/>
          <w:numId w:val="1018"/>
        </w:numPr>
        <w:pStyle w:val="Compact"/>
      </w:pPr>
      <w:r>
        <w:rPr>
          <w:b/>
        </w:rPr>
        <w:t xml:space="preserve">总体流动性降低</w:t>
      </w:r>
      <w:r>
        <w:t xml:space="preserve">使病原体传播网络比全球化高峰时期更分散。</w:t>
      </w:r>
    </w:p>
    <w:p>
      <w:pPr>
        <w:numPr>
          <w:ilvl w:val="0"/>
          <w:numId w:val="1018"/>
        </w:numPr>
        <w:pStyle w:val="Compact"/>
      </w:pPr>
      <w:r>
        <w:rPr>
          <w:b/>
        </w:rPr>
        <w:t xml:space="preserve">多级管控体系</w:t>
      </w:r>
      <w:r>
        <w:t xml:space="preserve">（详见卷 3 章九）使准备阶段的异常行为可被提前识别。</w:t>
      </w:r>
    </w:p>
    <w:p>
      <w:pPr>
        <w:pStyle w:val="FirstParagraph"/>
      </w:pPr>
      <w:r>
        <w:t xml:space="preserve">威胁真实存在，但被多重结构因素系统性压制，</w:t>
      </w:r>
      <w:r>
        <w:rPr>
          <w:b/>
        </w:rPr>
        <w:t xml:space="preserve">维持在可管理的低烈度水平</w:t>
      </w:r>
      <w:r>
        <w:t xml:space="preserve">。</w:t>
      </w:r>
    </w:p>
    <w:p>
      <w:pPr>
        <w:pStyle w:val="Heading3"/>
      </w:pPr>
      <w:bookmarkStart w:id="74" w:name="生物武器能否取代核武器成为中等国家的威慑力量"/>
      <w:r>
        <w:t xml:space="preserve">生物武器能否取代核武器成为中等国家的威慑力量？</w:t>
      </w:r>
      <w:bookmarkEnd w:id="74"/>
    </w:p>
    <w:p>
      <w:pPr>
        <w:pStyle w:val="FirstParagraph"/>
      </w:pPr>
      <w:r>
        <w:t xml:space="preserve">这是 2072 年战略格局中一个真实的开放性问题。生物技术门槛下降、AI 辅助设计能力扩散，使中等国家获得大规模杀伤性生物能力的成本比核武器低一个数量级。理论上，这似乎为无力维持核武器项目的国家提供了一条不对称威慑的替代路径。</w:t>
      </w:r>
      <w:r>
        <w:rPr>
          <w:b/>
        </w:rPr>
        <w:t xml:space="preserve">但战略逻辑的分析表明，生物武器在根本机制上无法复制核威慑的稳定性。</w:t>
      </w:r>
    </w:p>
    <w:p>
      <w:pPr>
        <w:pStyle w:val="BodyText"/>
      </w:pPr>
      <w:r>
        <w:rPr>
          <w:b/>
        </w:rPr>
        <w:t xml:space="preserve">核威慑的三个支柱：</w:t>
      </w:r>
      <w:r>
        <w:t xml:space="preserve"> </w:t>
      </w:r>
      <w:r>
        <w:t xml:space="preserve">效果的确定性（核弹能可预期地摧毁目标）、归因的即时性（谁发射了导弹是确定的）、相互保证毁灭的对称性（使用者与被攻击者同归于尽）。三者共同产生了理性行为者不会首先使用核武器的稳定均衡。</w:t>
      </w:r>
      <w:r>
        <w:rPr>
          <w:b/>
        </w:rPr>
        <w:t xml:space="preserve">生物武器在这三个维度上的表现系统性弱于核武器。</w:t>
      </w:r>
    </w:p>
    <w:p>
      <w:pPr>
        <w:pStyle w:val="BodyText"/>
      </w:pPr>
      <w:r>
        <w:rPr>
          <w:b/>
        </w:rPr>
        <w:t xml:space="preserve">归因问题是根本性缺陷。</w:t>
      </w:r>
      <w:r>
        <w:t xml:space="preserve"> </w:t>
      </w:r>
      <w:r>
        <w:t xml:space="preserve">核导弹有雷达轨迹，发射即归因。生物攻击可以被伪装成自然疫情，归因需要数周乃至数月，且充满争议——被攻击方永远可以否认。这使</w:t>
      </w:r>
      <w:r>
        <w:t xml:space="preserve">“</w:t>
      </w:r>
      <w:r>
        <w:t xml:space="preserve">你对我使用生物武器我就反击</w:t>
      </w:r>
      <w:r>
        <w:t xml:space="preserve">”</w:t>
      </w:r>
      <w:r>
        <w:t xml:space="preserve">的承诺无法可信地履行：如果反击依赖归因，而归因本身有争议，威慑的可信度就根本上动摇了。中等国家用生物武器</w:t>
      </w:r>
      <w:r>
        <w:t xml:space="preserve">“</w:t>
      </w:r>
      <w:r>
        <w:t xml:space="preserve">威慑</w:t>
      </w:r>
      <w:r>
        <w:t xml:space="preserve">”</w:t>
      </w:r>
      <w:r>
        <w:t xml:space="preserve">大国，大国可以选择不承认归因，以模糊方式报复，或根本不回应。</w:t>
      </w:r>
      <w:r>
        <w:rPr>
          <w:b/>
        </w:rPr>
        <w:t xml:space="preserve">威慑要有效，威胁必须既可信又可归因。</w:t>
      </w:r>
    </w:p>
    <w:p>
      <w:pPr>
        <w:pStyle w:val="BodyText"/>
      </w:pPr>
      <w:r>
        <w:rPr>
          <w:b/>
        </w:rPr>
        <w:t xml:space="preserve">效果不确定性削弱威慑信号。</w:t>
      </w:r>
      <w:r>
        <w:t xml:space="preserve"> </w:t>
      </w:r>
      <w:r>
        <w:t xml:space="preserve">生物武器的杀伤规模取决于病原体传播率、宿主免疫状况、气候条件等大量不可控变量，无法像核弹那样事先承诺</w:t>
      </w:r>
      <w:r>
        <w:t xml:space="preserve">“</w:t>
      </w:r>
      <w:r>
        <w:t xml:space="preserve">摧毁某个城市</w:t>
      </w:r>
      <w:r>
        <w:t xml:space="preserve">”</w:t>
      </w:r>
      <w:r>
        <w:t xml:space="preserve">。这种不确定性使威慑信号本身变得模糊。核威慑之所以有效，部分原因是它的信号极度清晰——一枚弹头等于一座城市。生物武器做不到这种清晰度。</w:t>
      </w:r>
    </w:p>
    <w:p>
      <w:pPr>
        <w:pStyle w:val="BodyText"/>
      </w:pPr>
      <w:r>
        <w:rPr>
          <w:b/>
        </w:rPr>
        <w:t xml:space="preserve">相互保证毁灭的对称性破裂。</w:t>
      </w:r>
      <w:r>
        <w:t xml:space="preserve"> </w:t>
      </w:r>
      <w:r>
        <w:t xml:space="preserve">核武器的相互毁灭具有内在对称性：使用者与被使用者都无法在核交换中幸存。生物武器的使用者可以通过预先接种规避自身感染，破坏了这种对称性。</w:t>
      </w:r>
      <w:r>
        <w:rPr>
          <w:b/>
        </w:rPr>
        <w:t xml:space="preserve">对称性破裂会诱发先发制人逻辑</w:t>
      </w:r>
      <w:r>
        <w:t xml:space="preserve">——如果攻击者能保护自己而受害者不能，先发优势极大，这反而使生物武器体系比核武器体系更不稳定，更容易引发冲突而非抑制冲突。</w:t>
      </w:r>
    </w:p>
    <w:p>
      <w:pPr>
        <w:pStyle w:val="BodyText"/>
      </w:pPr>
      <w:r>
        <w:rPr>
          <w:b/>
        </w:rPr>
        <w:t xml:space="preserve">AI 在 2072 年改变了哪些变量。</w:t>
      </w:r>
      <w:r>
        <w:t xml:space="preserve"> </w:t>
      </w:r>
      <w:r>
        <w:t xml:space="preserve">AI 辅助流行病学追踪使生物攻击的归因速度有所加快——从历史上的数月压缩到数周，但仍远慢于核导弹的即时归因。AI 辅助病原体设计在理论上使定向攻击（针对特定种群基因差异的病原体）更可行，定向病原体本身携带</w:t>
      </w:r>
      <w:r>
        <w:t xml:space="preserve">“</w:t>
      </w:r>
      <w:r>
        <w:t xml:space="preserve">署名</w:t>
      </w:r>
      <w:r>
        <w:t xml:space="preserve">”</w:t>
      </w:r>
      <w:r>
        <w:t xml:space="preserve">，部分改善了归因清晰度。但定向生物武器同时触发更强烈的国际反应，且技术可信度存疑——人类基因组的种群差异比通常想象的小，攻击窗口的选择性远不如宣传的确定。</w:t>
      </w:r>
      <w:r>
        <w:rPr>
          <w:b/>
        </w:rPr>
        <w:t xml:space="preserve">AI 的介入使生物武器的威慑属性略有改善，但没有改变归因根本困难这一核心缺陷。</w:t>
      </w:r>
    </w:p>
    <w:p>
      <w:pPr>
        <w:pStyle w:val="BodyText"/>
      </w:pPr>
      <w:r>
        <w:rPr>
          <w:b/>
        </w:rPr>
        <w:t xml:space="preserve">中等国家的实际战略选择。</w:t>
      </w:r>
      <w:r>
        <w:t xml:space="preserve"> </w:t>
      </w:r>
      <w:r>
        <w:t xml:space="preserve">在上述约束下，理性的中等国家不会把生物武器作为对大国的公开威慑筹码，而更可能作为</w:t>
      </w:r>
      <w:r>
        <w:rPr>
          <w:b/>
        </w:rPr>
        <w:t xml:space="preserve">隐蔽的灰色地带工具</w:t>
      </w:r>
      <w:r>
        <w:t xml:space="preserve">——不是</w:t>
      </w:r>
      <w:r>
        <w:t xml:space="preserve">“</w:t>
      </w:r>
      <w:r>
        <w:t xml:space="preserve">我有能力确定性地摧毁你</w:t>
      </w:r>
      <w:r>
        <w:t xml:space="preserve">”</w:t>
      </w:r>
      <w:r>
        <w:t xml:space="preserve">的威慑，而是</w:t>
      </w:r>
      <w:r>
        <w:t xml:space="preserve">“</w:t>
      </w:r>
      <w:r>
        <w:t xml:space="preserve">你永远无法排除下一次疫情是否与我有关</w:t>
      </w:r>
      <w:r>
        <w:t xml:space="preserve">”</w:t>
      </w:r>
      <w:r>
        <w:t xml:space="preserve">的模糊恐吓。这种战略具有有限的实用价值：它能制造不确定性和心理压力，但</w:t>
      </w:r>
      <w:r>
        <w:rPr>
          <w:b/>
        </w:rPr>
        <w:t xml:space="preserve">无法产生稳定的战略均衡</w:t>
      </w:r>
      <w:r>
        <w:t xml:space="preserve">。一旦攻击被成功归因，中等国家将面临完全不对等的报复，均衡立刻破裂。</w:t>
      </w:r>
    </w:p>
    <w:p>
      <w:pPr>
        <w:pStyle w:val="BodyText"/>
      </w:pPr>
      <w:r>
        <w:rPr>
          <w:b/>
        </w:rPr>
        <w:t xml:space="preserve">结论：生物武器在战略上不能取代核武器</w:t>
      </w:r>
      <w:r>
        <w:t xml:space="preserve">——它在威慑逻辑的根本要件（归因清晰）上存在无法弥补的结构性缺陷。它能成为恐吓工具，不能成为威慑工具。对中等国家而言，生物能力更可能作为灰色地带的隐蔽杠杆，而非公开宣示的战略威慑——</w:t>
      </w:r>
      <w:r>
        <w:rPr>
          <w:b/>
        </w:rPr>
        <w:t xml:space="preserve">这使它在平时压制效果有限，在冲突升级后代价极高。</w:t>
      </w:r>
    </w:p>
    <w:p>
      <w:pPr>
        <w:pStyle w:val="Heading3"/>
      </w:pPr>
      <w:bookmarkStart w:id="75" w:name="收束-4"/>
      <w:r>
        <w:t xml:space="preserve">收束</w:t>
      </w:r>
      <w:bookmarkEnd w:id="75"/>
    </w:p>
    <w:p>
      <w:pPr>
        <w:pStyle w:val="FirstParagraph"/>
      </w:pPr>
      <w:r>
        <w:t xml:space="preserve">生物技术在 2072 年是物质基础卷里张力最深的一处——医疗进步的物质条件已经成熟，生物武器的扩散门槛已经下降，两者由同一组技术能力支撑，</w:t>
      </w:r>
      <w:r>
        <w:rPr>
          <w:b/>
        </w:rPr>
        <w:t xml:space="preserve">无法在技术层面单独抑制后者而不损害前者</w:t>
      </w:r>
      <w:r>
        <w:t xml:space="preserve">。结构性缓解因素（相互忽视均衡、流动性下降、多级管控）使实际风险处于可管理水平，但风险本身不会消失。</w:t>
      </w:r>
    </w:p>
    <w:p>
      <w:pPr>
        <w:pStyle w:val="BodyText"/>
      </w:pPr>
      <w:r>
        <w:t xml:space="preserve">下一节（4.2）转入延寿与永生——同样涉及生物极限，但争议从安全转移到形而上。</w:t>
      </w:r>
    </w:p>
    <w:p>
      <w:pPr>
        <w:pStyle w:val="Heading2"/>
      </w:pPr>
      <w:bookmarkStart w:id="76" w:name="延寿与永生技术"/>
      <w:r>
        <w:t xml:space="preserve">4.2　延寿与永生技术</w:t>
      </w:r>
      <w:bookmarkEnd w:id="76"/>
    </w:p>
    <w:p>
      <w:pPr>
        <w:pStyle w:val="FirstParagraph"/>
      </w:pPr>
      <w:r>
        <w:t xml:space="preserve">在 2072 年，</w:t>
      </w:r>
      <w:r>
        <w:t xml:space="preserve">“</w:t>
      </w:r>
      <w:r>
        <w:t xml:space="preserve">永生</w:t>
      </w:r>
      <w:r>
        <w:t xml:space="preserve">”</w:t>
      </w:r>
      <w:r>
        <w:t xml:space="preserve">首先是一个生物学问题，其次才是哲学问题，</w:t>
      </w:r>
      <w:r>
        <w:rPr>
          <w:b/>
        </w:rPr>
        <w:t xml:space="preserve">数字方案是最后才被认真对待的选项</w:t>
      </w:r>
      <w:r>
        <w:t xml:space="preserve">——而且对数字方案越了解的人，往往越不相信它。主流技术路线是对生物性衰老的系统性干预：通过多条并行机制延缓乃至局部逆转组织层面的老化过程。这些技术到 2072 年已经是临床成熟技术，</w:t>
      </w:r>
      <w:r>
        <w:rPr>
          <w:b/>
        </w:rPr>
        <w:t xml:space="preserve">不再是实验室选项，但可及性差距依然极大</w:t>
      </w:r>
      <w:r>
        <w:t xml:space="preserve">。</w:t>
      </w:r>
    </w:p>
    <w:p>
      <w:pPr>
        <w:pStyle w:val="BodyText"/>
      </w:pPr>
      <w:r>
        <w:t xml:space="preserve">本节展开四个层面：生物性延寿的几条技术路线（4.2.1）、数字永生方案与其哲学难题（4.2.2—4.2.4）、制度对副本身份的保守裁决（4.2.5）、副本在两条主路径上的政治命运（4.2.6）。</w:t>
      </w:r>
    </w:p>
    <w:p>
      <w:pPr>
        <w:pStyle w:val="Heading3"/>
      </w:pPr>
      <w:bookmarkStart w:id="77" w:name="生物性延寿时间的物质抵抗"/>
      <w:r>
        <w:t xml:space="preserve">4.2.1　生物性延寿：时间的物质抵抗</w:t>
      </w:r>
      <w:bookmarkEnd w:id="77"/>
    </w:p>
    <w:p>
      <w:pPr>
        <w:pStyle w:val="FirstParagraph"/>
      </w:pPr>
      <w:r>
        <w:rPr>
          <w:b/>
        </w:rPr>
        <w:t xml:space="preserve">衰老细胞清除（Senolytics）。</w:t>
      </w:r>
      <w:r>
        <w:t xml:space="preserve"> </w:t>
      </w:r>
      <w:r>
        <w:t xml:space="preserve">细胞分裂到一定次数后进入衰老状态——停止分裂但不凋亡，持续分泌炎症因子（SASP），损伤周围组织。这类衰老细胞的累积是系统性老化的核心驱动机制之一。2020 年代的第一代清除药物到 2072 年已迭代至第四、五代——AI 辅助设计的高度靶向化合物，能识别特定组织中的衰老细胞表面标志物，精确清除而不伤及健康细胞。</w:t>
      </w:r>
      <w:r>
        <w:rPr>
          <w:b/>
        </w:rPr>
        <w:t xml:space="preserve">每两年一次的</w:t>
      </w:r>
      <w:r>
        <w:rPr>
          <w:b/>
        </w:rPr>
        <w:t xml:space="preserve">“</w:t>
      </w:r>
      <w:r>
        <w:rPr>
          <w:b/>
        </w:rPr>
        <w:t xml:space="preserve">细胞维护</w:t>
      </w:r>
      <w:r>
        <w:rPr>
          <w:b/>
        </w:rPr>
        <w:t xml:space="preserve">”</w:t>
      </w:r>
      <w:r>
        <w:rPr>
          <w:b/>
        </w:rPr>
        <w:t xml:space="preserve">治疗是城市集群先进医疗的标配，可延长健康寿命约 10—15 年。</w:t>
      </w:r>
    </w:p>
    <w:p>
      <w:pPr>
        <w:pStyle w:val="BodyText"/>
      </w:pPr>
      <w:r>
        <w:rPr>
          <w:b/>
        </w:rPr>
        <w:t xml:space="preserve">表观遗传重编程（Epigenetic Reprogramming）。</w:t>
      </w:r>
      <w:r>
        <w:t xml:space="preserve"> </w:t>
      </w:r>
      <w:r>
        <w:t xml:space="preserve">基因组序列不会随年龄改变，但基因的表达模式会——表观遗传特征随时间漂移，这种漂移本身就是衰老的分子表现（Horvath 时钟）。山中因子的局部、有限激活可将细胞的表观遗传状态部分回拨，</w:t>
      </w:r>
      <w:r>
        <w:rPr>
          <w:b/>
        </w:rPr>
        <w:t xml:space="preserve">相当于给细胞</w:t>
      </w:r>
      <w:r>
        <w:rPr>
          <w:b/>
        </w:rPr>
        <w:t xml:space="preserve">“</w:t>
      </w:r>
      <w:r>
        <w:rPr>
          <w:b/>
        </w:rPr>
        <w:t xml:space="preserve">重置生物年龄</w:t>
      </w:r>
      <w:r>
        <w:rPr>
          <w:b/>
        </w:rPr>
        <w:t xml:space="preserve">”</w:t>
      </w:r>
      <w:r>
        <w:t xml:space="preserve">。2030 年代的关键突破是找到安全的诱导窗口——完全重编程会导致癌变，但在特定细胞周期阶段的短暂局部激活可在不触发癌变的前提下逆转老化标记约 8—15 年。到 2072 年，</w:t>
      </w:r>
      <w:r>
        <w:rPr>
          <w:b/>
        </w:rPr>
        <w:t xml:space="preserve">每隔 5—8 年的全身系统性部分重编程是高端延寿套餐的核心环节</w:t>
      </w:r>
      <w:r>
        <w:t xml:space="preserve">。</w:t>
      </w:r>
    </w:p>
    <w:p>
      <w:pPr>
        <w:pStyle w:val="BodyText"/>
      </w:pPr>
      <w:r>
        <w:rPr>
          <w:b/>
        </w:rPr>
        <w:t xml:space="preserve">器官再生与替换（Organ Regeneration）。</w:t>
      </w:r>
      <w:r>
        <w:t xml:space="preserve"> </w:t>
      </w:r>
      <w:r>
        <w:t xml:space="preserve">到 2072 年，用患者自体诱导多能干细胞打印功能性实体器官是成熟临床技术——心脏、肾脏、肝脏、肺的替换已消除免疫排斥问题，</w:t>
      </w:r>
      <w:r>
        <w:rPr>
          <w:b/>
        </w:rPr>
        <w:t xml:space="preserve">非神经性器官衰竭不再是主要死亡原因</w:t>
      </w:r>
      <w:r>
        <w:t xml:space="preserve">。胰岛细胞替换事实上治愈了 1 型糖尿病。这条路线的逻辑非常干净：把磨损的零件换掉。技术层面的挑战在于血管化和神经再支配，这两个问题在 2072 年已基本解决，</w:t>
      </w:r>
      <w:r>
        <w:rPr>
          <w:b/>
        </w:rPr>
        <w:t xml:space="preserve">但神经组织本身的替换仍是禁区</w:t>
      </w:r>
      <w:r>
        <w:t xml:space="preserve">。</w:t>
      </w:r>
    </w:p>
    <w:p>
      <w:pPr>
        <w:pStyle w:val="BodyText"/>
      </w:pPr>
      <w:r>
        <w:rPr>
          <w:b/>
        </w:rPr>
        <w:t xml:space="preserve">代谢与线粒体优化。</w:t>
      </w:r>
      <w:r>
        <w:t xml:space="preserve"> </w:t>
      </w:r>
      <w:r>
        <w:t xml:space="preserve">GLP-1 受体激动剂在 2020 年代揭示了代谢干预的系统性潜力——到 2072 年已演化为综合代谢调控方案：mTOR 抑制剂延缓细胞老化；线粒体增强疗法改善细胞能量代谢；热量限制模拟物在不减少进食的前提下激活长寿通路。这些干预的单独效果有限，</w:t>
      </w:r>
      <w:r>
        <w:rPr>
          <w:b/>
        </w:rPr>
        <w:t xml:space="preserve">与上述其他机制联合使用时产生协同效应</w:t>
      </w:r>
      <w:r>
        <w:t xml:space="preserve">。</w:t>
      </w:r>
    </w:p>
    <w:p>
      <w:pPr>
        <w:pStyle w:val="BodyText"/>
      </w:pPr>
      <w:r>
        <w:rPr>
          <w:b/>
        </w:rPr>
        <w:t xml:space="preserve">延寿效果的现实区间。</w:t>
      </w:r>
      <w:r>
        <w:t xml:space="preserve"> </w:t>
      </w:r>
      <w:r>
        <w:t xml:space="preserve">上述机制组合使用的效果已在 2072 年有约 30 年的临床观察数据：</w:t>
      </w:r>
    </w:p>
    <w:p>
      <w:pPr>
        <w:numPr>
          <w:ilvl w:val="0"/>
          <w:numId w:val="1019"/>
        </w:numPr>
        <w:pStyle w:val="Compact"/>
      </w:pPr>
      <w:r>
        <w:rPr>
          <w:b/>
        </w:rPr>
        <w:t xml:space="preserve">标准医疗</w:t>
      </w:r>
      <w:r>
        <w:t xml:space="preserve">（无延寿干预）：预期健康寿命 85—95 岁，与今天相比进步主要来自疾病控制而非抗衰老。</w:t>
      </w:r>
    </w:p>
    <w:p>
      <w:pPr>
        <w:numPr>
          <w:ilvl w:val="0"/>
          <w:numId w:val="1019"/>
        </w:numPr>
        <w:pStyle w:val="Compact"/>
      </w:pPr>
      <w:r>
        <w:rPr>
          <w:b/>
        </w:rPr>
        <w:t xml:space="preserve">基础延寿套餐</w:t>
      </w:r>
      <w:r>
        <w:t xml:space="preserve">（衰老细胞清除 + 代谢优化）：健康寿命延伸至 100—115 岁。</w:t>
      </w:r>
    </w:p>
    <w:p>
      <w:pPr>
        <w:numPr>
          <w:ilvl w:val="0"/>
          <w:numId w:val="1019"/>
        </w:numPr>
        <w:pStyle w:val="Compact"/>
      </w:pPr>
      <w:r>
        <w:rPr>
          <w:b/>
        </w:rPr>
        <w:t xml:space="preserve">完整高端套餐</w:t>
      </w:r>
      <w:r>
        <w:t xml:space="preserve">（五条路线全部应用）：已观察到的健康寿命上限约 140—155 岁——最早一批从 2040 年代开始系统接受全套治疗的受试者到 2072 年实际年龄约 65—80 岁、生物年龄约 40—50 岁，观察仍在继续，终点未知。</w:t>
      </w:r>
    </w:p>
    <w:p>
      <w:pPr>
        <w:pStyle w:val="FirstParagraph"/>
      </w:pPr>
      <w:r>
        <w:t xml:space="preserve">费用约合一次性 50 万美元（2024 年购买力），</w:t>
      </w:r>
      <w:r>
        <w:rPr>
          <w:b/>
        </w:rPr>
        <w:t xml:space="preserve">超出全球大多数人的终身积累——这是 2072 年最深刻的不平等之一</w:t>
      </w:r>
      <w:r>
        <w:t xml:space="preserve">（详见卷 3 章八医疗经济学）。</w:t>
      </w:r>
    </w:p>
    <w:p>
      <w:pPr>
        <w:pStyle w:val="BodyText"/>
      </w:pPr>
      <w:r>
        <w:rPr>
          <w:b/>
        </w:rPr>
        <w:t xml:space="preserve">神经系统：延寿的硬上限。</w:t>
      </w:r>
      <w:r>
        <w:t xml:space="preserve"> </w:t>
      </w:r>
      <w:r>
        <w:t xml:space="preserve">所有上述机制有一个共同盲点：大脑。神经元在成年后基本不再增殖。衰老细胞清除和表观遗传重编程对系统性组织有效，但</w:t>
      </w:r>
      <w:r>
        <w:rPr>
          <w:b/>
        </w:rPr>
        <w:t xml:space="preserve">神经网络的结构性退化对这些干预响应有限</w:t>
      </w:r>
      <w:r>
        <w:t xml:space="preserve">。海马体植入物可以辅助记忆，神经保护基因疗法可以延缓退化，但无法逆转已经丢失的神经连接。</w:t>
      </w:r>
      <w:r>
        <w:rPr>
          <w:b/>
        </w:rPr>
        <w:t xml:space="preserve">你可以换掉五颗心脏，但换掉海马体意味着失去你是谁。</w:t>
      </w:r>
      <w:r>
        <w:t xml:space="preserve"> </w:t>
      </w:r>
      <w:r>
        <w:t xml:space="preserve">神经系统的不可替换性是生物延寿的终极边界——在这个边界处，数字永生的提案出现了。</w:t>
      </w:r>
    </w:p>
    <w:p>
      <w:pPr>
        <w:pStyle w:val="Heading3"/>
      </w:pPr>
      <w:bookmarkStart w:id="78" w:name="数字永生方案神经上限的想象性突破"/>
      <w:r>
        <w:t xml:space="preserve">4.2.2　数字永生方案：神经上限的想象性突破</w:t>
      </w:r>
      <w:bookmarkEnd w:id="78"/>
    </w:p>
    <w:p>
      <w:pPr>
        <w:pStyle w:val="FirstParagraph"/>
      </w:pPr>
      <w:r>
        <w:t xml:space="preserve">数字永生方案的逻辑起点正是生物延寿的神经上限：</w:t>
      </w:r>
      <w:r>
        <w:rPr>
          <w:b/>
        </w:rPr>
        <w:t xml:space="preserve">如果大脑最终不可避免地退化，那么在退化之前精确扫描神经连接组，将其在计算基底上重建并运行</w:t>
      </w:r>
      <w:r>
        <w:t xml:space="preserve">——这个副本是否就是</w:t>
      </w:r>
      <w:r>
        <w:t xml:space="preserve">“</w:t>
      </w:r>
      <w:r>
        <w:t xml:space="preserve">你</w:t>
      </w:r>
      <w:r>
        <w:t xml:space="preserve">”</w:t>
      </w:r>
      <w:r>
        <w:t xml:space="preserve">的延续？</w:t>
      </w:r>
    </w:p>
    <w:p>
      <w:pPr>
        <w:pStyle w:val="BodyText"/>
      </w:pPr>
      <w:r>
        <w:t xml:space="preserve">这是 2072 年的主流数字永生技术路线，也是脑机接口资本的核心叙事。</w:t>
      </w:r>
    </w:p>
    <w:p>
      <w:pPr>
        <w:pStyle w:val="BodyText"/>
      </w:pPr>
      <w:r>
        <w:t xml:space="preserve">技术层面：全脑连接组扫描在 2072 年已能达到突触级分辨率，但处理一个完整人类大脑（约 860 亿神经元，100—500 万亿突触）仍需约 4—7 年的算力和约 3—5 PB 的存储。运行一个完整意识模拟的实时算力需求约为现有顶级数据中心总量的数十倍，</w:t>
      </w:r>
      <w:r>
        <w:rPr>
          <w:b/>
        </w:rPr>
        <w:t xml:space="preserve">目前尚未实现</w:t>
      </w:r>
      <w:r>
        <w:t xml:space="preserve">。</w:t>
      </w:r>
    </w:p>
    <w:p>
      <w:pPr>
        <w:pStyle w:val="BodyText"/>
      </w:pPr>
      <w:r>
        <w:rPr>
          <w:b/>
        </w:rPr>
        <w:t xml:space="preserve">演化速度的背叛。</w:t>
      </w:r>
      <w:r>
        <w:t xml:space="preserve"> </w:t>
      </w:r>
      <w:r>
        <w:t xml:space="preserve">即使在逻辑上接受副本在创建瞬间</w:t>
      </w:r>
      <w:r>
        <w:t xml:space="preserve">“</w:t>
      </w:r>
      <w:r>
        <w:t xml:space="preserve">是</w:t>
      </w:r>
      <w:r>
        <w:t xml:space="preserve">”</w:t>
      </w:r>
      <w:r>
        <w:t xml:space="preserve">原体，还有第二重否定在等待：数字基底的信息处理速度可以是生物神经元的数千倍。一个以 1000 倍速运行的副本，在生物世界过去一天时，已在主观上经历了将近三年。没有睡眠需求、没有饥饿、没有疲劳——</w:t>
      </w:r>
      <w:r>
        <w:rPr>
          <w:b/>
        </w:rPr>
        <w:t xml:space="preserve">它会持续思考、学习、重构认知框架，以生物人根本无法跟上的速度偏离原体的思维模式</w:t>
      </w:r>
      <w:r>
        <w:t xml:space="preserve">。一周后再去探望这个副本，对话的对象已不是任何人认识的人。要阻止这个过程，唯一的方法是人为限制副本的运行速度和信息获取——但那样就是在用巨大代价创造一个比生物脑更慢、更脆弱的东西。</w:t>
      </w:r>
      <w:r>
        <w:rPr>
          <w:b/>
        </w:rPr>
        <w:t xml:space="preserve">技术越成功，</w:t>
      </w:r>
      <w:r>
        <w:rPr>
          <w:b/>
        </w:rPr>
        <w:t xml:space="preserve">“</w:t>
      </w:r>
      <w:r>
        <w:rPr>
          <w:b/>
        </w:rPr>
        <w:t xml:space="preserve">永生</w:t>
      </w:r>
      <w:r>
        <w:rPr>
          <w:b/>
        </w:rPr>
        <w:t xml:space="preserve">”</w:t>
      </w:r>
      <w:r>
        <w:rPr>
          <w:b/>
        </w:rPr>
        <w:t xml:space="preserve">越快变成</w:t>
      </w:r>
      <w:r>
        <w:rPr>
          <w:b/>
        </w:rPr>
        <w:t xml:space="preserve">“</w:t>
      </w:r>
      <w:r>
        <w:rPr>
          <w:b/>
        </w:rPr>
        <w:t xml:space="preserve">产生了一个陌生人</w:t>
      </w:r>
      <w:r>
        <w:rPr>
          <w:b/>
        </w:rPr>
        <w:t xml:space="preserve">”</w:t>
      </w:r>
      <w:r>
        <w:rPr>
          <w:b/>
        </w:rPr>
        <w:t xml:space="preserve">。</w:t>
      </w:r>
    </w:p>
    <w:p>
      <w:pPr>
        <w:pStyle w:val="Heading3"/>
      </w:pPr>
      <w:bookmarkStart w:id="79" w:name="核心争议这个副本是你吗"/>
      <w:r>
        <w:t xml:space="preserve">4.2.3　核心争议：这个副本是</w:t>
      </w:r>
      <w:r>
        <w:t xml:space="preserve">“</w:t>
      </w:r>
      <w:r>
        <w:t xml:space="preserve">你</w:t>
      </w:r>
      <w:r>
        <w:t xml:space="preserve">”</w:t>
      </w:r>
      <w:r>
        <w:t xml:space="preserve">吗？</w:t>
      </w:r>
      <w:bookmarkEnd w:id="79"/>
    </w:p>
    <w:p>
      <w:pPr>
        <w:pStyle w:val="FirstParagraph"/>
      </w:pPr>
      <w:r>
        <w:t xml:space="preserve">数字永生的核心问题不是技术问题，是哲学问题：将神经连接组在计算基底上重建并运行的副本，是否构成原体的延续？</w:t>
      </w:r>
      <w:r>
        <w:rPr>
          <w:b/>
        </w:rPr>
        <w:t xml:space="preserve">这在 2072 年仍然是真正意义上的开放争议</w:t>
      </w:r>
      <w:r>
        <w:t xml:space="preserve">——技术社群、哲学界和法律体系给出了不同的答案，彼此无法证伪对方。</w:t>
      </w:r>
    </w:p>
    <w:p>
      <w:pPr>
        <w:pStyle w:val="BodyText"/>
      </w:pPr>
      <w:r>
        <w:t xml:space="preserve">下面三个子节分别展开怀疑论的三个核心论证。它们不是独立成立的——三者合在一起构成</w:t>
      </w:r>
      <w:r>
        <w:t xml:space="preserve">“</w:t>
      </w:r>
      <w:r>
        <w:t xml:space="preserve">副本不是原体延续</w:t>
      </w:r>
      <w:r>
        <w:t xml:space="preserve">”</w:t>
      </w:r>
      <w:r>
        <w:t xml:space="preserve">的完整论证；缺少任何一个，副本就可以被论证为原体的延续。</w:t>
      </w:r>
    </w:p>
    <w:p>
      <w:pPr>
        <w:pStyle w:val="Heading3"/>
      </w:pPr>
      <w:bookmarkStart w:id="80" w:name="怀疑论的三个核心论证"/>
      <w:r>
        <w:t xml:space="preserve">4.2.4　怀疑论的三个核心论证</w:t>
      </w:r>
      <w:bookmarkEnd w:id="80"/>
    </w:p>
    <w:p>
      <w:pPr>
        <w:pStyle w:val="FirstParagraph"/>
      </w:pPr>
      <w:r>
        <w:rPr>
          <w:b/>
        </w:rPr>
        <w:t xml:space="preserve">论证一：时间的绝对线性——锁定</w:t>
      </w:r>
      <w:r>
        <w:rPr>
          <w:b/>
        </w:rPr>
        <w:t xml:space="preserve">“</w:t>
      </w:r>
      <w:r>
        <w:rPr>
          <w:b/>
        </w:rPr>
        <w:t xml:space="preserve">我</w:t>
      </w:r>
      <w:r>
        <w:rPr>
          <w:b/>
        </w:rPr>
        <w:t xml:space="preserve">”</w:t>
      </w:r>
      <w:r>
        <w:rPr>
          <w:b/>
        </w:rPr>
        <w:t xml:space="preserve">的唯一地址。</w:t>
      </w:r>
    </w:p>
    <w:p>
      <w:pPr>
        <w:pStyle w:val="BodyText"/>
      </w:pPr>
      <w:r>
        <w:t xml:space="preserve">“</w:t>
      </w:r>
      <w:r>
        <w:t xml:space="preserve">自我</w:t>
      </w:r>
      <w:r>
        <w:t xml:space="preserve">”</w:t>
      </w:r>
      <w:r>
        <w:t xml:space="preserve">不是一堆可以拷贝的数据，是一个在时间轴上持续位移的运算过程。物理连续性：在宏观物理世界中，时间是单向且不可分割的，大脑这个物理实体的电化学反应在时间轴上没有断点。失忆不等于消亡：即使你失去了记忆（硬盘损坏），只要大脑这个</w:t>
      </w:r>
      <w:r>
        <w:t xml:space="preserve">“</w:t>
      </w:r>
      <w:r>
        <w:t xml:space="preserve">硬件</w:t>
      </w:r>
      <w:r>
        <w:t xml:space="preserve">”</w:t>
      </w:r>
      <w:r>
        <w:t xml:space="preserve">仍在持续进行物理运算，</w:t>
      </w:r>
      <w:r>
        <w:t xml:space="preserve">“</w:t>
      </w:r>
      <w:r>
        <w:t xml:space="preserve">主体位移</w:t>
      </w:r>
      <w:r>
        <w:t xml:space="preserve">”</w:t>
      </w:r>
      <w:r>
        <w:t xml:space="preserve">就没有停止。</w:t>
      </w:r>
      <w:r>
        <w:rPr>
          <w:b/>
        </w:rPr>
        <w:t xml:space="preserve">分叉即他者</w:t>
      </w:r>
      <w:r>
        <w:t xml:space="preserve">：当你尝试</w:t>
      </w:r>
      <w:r>
        <w:t xml:space="preserve">“</w:t>
      </w:r>
      <w:r>
        <w:t xml:space="preserve">上传</w:t>
      </w:r>
      <w:r>
        <w:t xml:space="preserve">”</w:t>
      </w:r>
      <w:r>
        <w:t xml:space="preserve">或</w:t>
      </w:r>
      <w:r>
        <w:t xml:space="preserve">“</w:t>
      </w:r>
      <w:r>
        <w:t xml:space="preserve">拷贝</w:t>
      </w:r>
      <w:r>
        <w:t xml:space="preserve">”</w:t>
      </w:r>
      <w:r>
        <w:t xml:space="preserve">意识时，在拷贝完成的那一秒，物理世界便出现了两条不同的因果链。原本的你在 A 链，副本在 B 链。既然时间不能回溯，你就无法同时占据两条路径。</w:t>
      </w:r>
      <w:r>
        <w:rPr>
          <w:b/>
        </w:rPr>
        <w:t xml:space="preserve">那个拥有你全部记忆的数字副本，是一个</w:t>
      </w:r>
      <w:r>
        <w:rPr>
          <w:b/>
        </w:rPr>
        <w:t xml:space="preserve">“</w:t>
      </w:r>
      <w:r>
        <w:rPr>
          <w:b/>
        </w:rPr>
        <w:t xml:space="preserve">有着你过去记忆的陌生人</w:t>
      </w:r>
      <w:r>
        <w:rPr>
          <w:b/>
        </w:rPr>
        <w:t xml:space="preserve">”</w:t>
      </w:r>
      <w:r>
        <w:rPr>
          <w:b/>
        </w:rPr>
        <w:t xml:space="preserve">。</w:t>
      </w:r>
    </w:p>
    <w:p>
      <w:pPr>
        <w:pStyle w:val="BodyText"/>
      </w:pPr>
      <w:r>
        <w:rPr>
          <w:b/>
        </w:rPr>
        <w:t xml:space="preserve">论证二：生物噪声——人类认知的不可复制基底。</w:t>
      </w:r>
    </w:p>
    <w:p>
      <w:pPr>
        <w:pStyle w:val="BodyText"/>
      </w:pPr>
      <w:r>
        <w:t xml:space="preserve">数字心智可以通过传感器与物理世界交互——</w:t>
      </w:r>
      <w:r>
        <w:rPr>
          <w:b/>
        </w:rPr>
        <w:t xml:space="preserve">但交互的质量不同</w:t>
      </w:r>
      <w:r>
        <w:t xml:space="preserve">。传感器接收到的是已被离散化、量化的信号；而生物感知建立在真实的物理随机性之上：突触小泡释放是量子随机的，离子通道开闭受热噪声影响，荷尔蒙连续波动，血糖、疲劳和昼夜节律持续改变神经兴奋性阈值。</w:t>
      </w:r>
      <w:r>
        <w:rPr>
          <w:b/>
        </w:rPr>
        <w:t xml:space="preserve">这些不是需要过滤掉的干扰，是人类直觉、创造力和</w:t>
      </w:r>
      <w:r>
        <w:rPr>
          <w:b/>
        </w:rPr>
        <w:t xml:space="preserve">“</w:t>
      </w:r>
      <w:r>
        <w:rPr>
          <w:b/>
        </w:rPr>
        <w:t xml:space="preserve">感觉</w:t>
      </w:r>
      <w:r>
        <w:rPr>
          <w:b/>
        </w:rPr>
        <w:t xml:space="preserve">”</w:t>
      </w:r>
      <w:r>
        <w:rPr>
          <w:b/>
        </w:rPr>
        <w:t xml:space="preserve">的物质基底。</w:t>
      </w:r>
    </w:p>
    <w:p>
      <w:pPr>
        <w:pStyle w:val="BodyText"/>
      </w:pPr>
      <w:r>
        <w:t xml:space="preserve">人类的错误让人像人：认知偏误、情绪性判断、非理性的直觉跳跃，从这种生物噪声中涌现，不是缺陷而是特征。数字系统若试图保留这些</w:t>
      </w:r>
      <w:r>
        <w:t xml:space="preserve">“</w:t>
      </w:r>
      <w:r>
        <w:t xml:space="preserve">错误</w:t>
      </w:r>
      <w:r>
        <w:t xml:space="preserve">”</w:t>
      </w:r>
      <w:r>
        <w:t xml:space="preserve">，只能用伪随机数生成器模拟——</w:t>
      </w:r>
      <w:r>
        <w:rPr>
          <w:b/>
        </w:rPr>
        <w:t xml:space="preserve">确定性系统对随机性的近似，与真实的生物随机过程在物理本质上是不同的东西</w:t>
      </w:r>
      <w:r>
        <w:t xml:space="preserve">。这个差异不是工程问题，是基底性质的差异：一个可以被优化和修复，另一个不能在不改变自身性质的情况下被复制。</w:t>
      </w:r>
    </w:p>
    <w:p>
      <w:pPr>
        <w:pStyle w:val="BodyText"/>
      </w:pPr>
      <w:r>
        <w:rPr>
          <w:b/>
        </w:rPr>
        <w:t xml:space="preserve">论证三：知识的有界性——封闭数据环境中的存在。</w:t>
      </w:r>
    </w:p>
    <w:p>
      <w:pPr>
        <w:pStyle w:val="BodyText"/>
      </w:pPr>
      <w:r>
        <w:t xml:space="preserve">物理世界中存在无穷多未被概念化、未被量化、未被命名的现象——不是因为测量精度不够，是因为</w:t>
      </w:r>
      <w:r>
        <w:rPr>
          <w:b/>
        </w:rPr>
        <w:t xml:space="preserve">知识本身是开放的、持续生成新范畴的过程</w:t>
      </w:r>
      <w:r>
        <w:t xml:space="preserve">。生物人可以直接遭遇原始现实，从中形成全新的认知范畴；数字副本只能在已被数字化处理的信息里运作，</w:t>
      </w:r>
      <w:r>
        <w:rPr>
          <w:b/>
        </w:rPr>
        <w:t xml:space="preserve">它的知识边界被初始数据集和后续数字输入所封闭</w:t>
      </w:r>
      <w:r>
        <w:t xml:space="preserve">。这是波兰尼意义上的</w:t>
      </w:r>
      <w:r>
        <w:t xml:space="preserve">“</w:t>
      </w:r>
      <w:r>
        <w:t xml:space="preserve">隐性知识</w:t>
      </w:r>
      <w:r>
        <w:t xml:space="preserve">”</w:t>
      </w:r>
      <w:r>
        <w:t xml:space="preserve">问题：人类知道的远多于能说出来的，而数字副本只有那些已经被说出来、被编码的部分。</w:t>
      </w:r>
      <w:r>
        <w:rPr>
          <w:b/>
        </w:rPr>
        <w:t xml:space="preserve">副本是有限数据集在某一时刻的镜像，而生命是在无限开放的现实中不断生成新理解的过程，两者的距离只会随时间增大，不会缩小。</w:t>
      </w:r>
    </w:p>
    <w:p>
      <w:pPr>
        <w:pStyle w:val="BodyText"/>
      </w:pPr>
      <w:r>
        <w:rPr>
          <w:b/>
        </w:rPr>
        <w:t xml:space="preserve">三论证合</w:t>
      </w:r>
      <w:r>
        <w:t xml:space="preserve">：自我不是一段可以被复刻的代码，是一段正在发生的、唯一的历史。时间线不可分叉、生物噪声不可复制、认知过程在无限开放的现实中持续展开——</w:t>
      </w:r>
      <w:r>
        <w:rPr>
          <w:b/>
        </w:rPr>
        <w:t xml:space="preserve">这三个维度缺少任何一个，副本就不是原体的延续，而是一个带着原体记忆的他者。</w:t>
      </w:r>
    </w:p>
    <w:p>
      <w:pPr>
        <w:pStyle w:val="Heading3"/>
      </w:pPr>
      <w:bookmarkStart w:id="81" w:name="工程资本叙事与制度的保守裁决"/>
      <w:r>
        <w:t xml:space="preserve">4.2.5　工程资本叙事与制度的保守裁决</w:t>
      </w:r>
      <w:bookmarkEnd w:id="81"/>
    </w:p>
    <w:p>
      <w:pPr>
        <w:pStyle w:val="FirstParagraph"/>
      </w:pPr>
      <w:r>
        <w:t xml:space="preserve">脑机接口产业的主流叙事与怀疑论截然相反。</w:t>
      </w:r>
      <w:r>
        <w:rPr>
          <w:b/>
        </w:rPr>
        <w:t xml:space="preserve">工程资本叙事</w:t>
      </w:r>
      <w:r>
        <w:t xml:space="preserve">的论点是：你每晚入睡，意识中断，醒来的人仍被视为同一个人；你的神经元每隔数年完成一次物质替换，</w:t>
      </w:r>
      <w:r>
        <w:t xml:space="preserve">“</w:t>
      </w:r>
      <w:r>
        <w:t xml:space="preserve">你</w:t>
      </w:r>
      <w:r>
        <w:t xml:space="preserve">”</w:t>
      </w:r>
      <w:r>
        <w:t xml:space="preserve">并未因此消失。物理连续性是一种约定俗成的叙事，而非意识的本质条件。副本在创建瞬间与原体的神经连接组完全一致，</w:t>
      </w:r>
      <w:r>
        <w:rPr>
          <w:b/>
        </w:rPr>
        <w:t xml:space="preserve">这种一致性与睡眠后的</w:t>
      </w:r>
      <w:r>
        <w:rPr>
          <w:b/>
        </w:rPr>
        <w:t xml:space="preserve">“</w:t>
      </w:r>
      <w:r>
        <w:rPr>
          <w:b/>
        </w:rPr>
        <w:t xml:space="preserve">同一性</w:t>
      </w:r>
      <w:r>
        <w:rPr>
          <w:b/>
        </w:rPr>
        <w:t xml:space="preserve">”</w:t>
      </w:r>
      <w:r>
        <w:rPr>
          <w:b/>
        </w:rPr>
        <w:t xml:space="preserve">在逻辑结构上没有本质区别——只是人们还不习惯接受它</w:t>
      </w:r>
      <w:r>
        <w:t xml:space="preserve">。2072 年，这套叙事是脑机接口产业的融资基础，也是数百万已购买连接组存储服务的用户的心理依托。</w:t>
      </w:r>
    </w:p>
    <w:p>
      <w:pPr>
        <w:pStyle w:val="BodyText"/>
      </w:pPr>
      <w:r>
        <w:rPr>
          <w:b/>
        </w:rPr>
        <w:t xml:space="preserve">制度先于哲学做出保守判定。</w:t>
      </w:r>
      <w:r>
        <w:t xml:space="preserve"> </w:t>
      </w:r>
      <w:r>
        <w:t xml:space="preserve">无论哲学争议如何持续，法律和政治体系都需要先做出实际决定。在美式路径下，</w:t>
      </w:r>
      <w:r>
        <w:t xml:space="preserve">“</w:t>
      </w:r>
      <w:r>
        <w:t xml:space="preserve">副本 ≠ 法律人格</w:t>
      </w:r>
      <w:r>
        <w:t xml:space="preserve">”</w:t>
      </w:r>
      <w:r>
        <w:t xml:space="preserve">的司法判定已在 2060 年代陆续确立：副本被定性为高级财产而非权利主体，</w:t>
      </w:r>
      <w:r>
        <w:rPr>
          <w:b/>
        </w:rPr>
        <w:t xml:space="preserve">持有并运营副本的公司拥有实质控制权</w:t>
      </w:r>
      <w:r>
        <w:t xml:space="preserve">。在中国路径下，副本被纳入国家主权管辖，强人副本的创建受到严格政治管控，</w:t>
      </w:r>
      <w:r>
        <w:rPr>
          <w:b/>
        </w:rPr>
        <w:t xml:space="preserve">实际操作者是内圈，而非原体本人</w:t>
      </w:r>
      <w:r>
        <w:t xml:space="preserve">。两套制度体系的裁决方向不同，但都先于哲学共识做出了保守判定——</w:t>
      </w:r>
      <w:r>
        <w:rPr>
          <w:b/>
        </w:rPr>
        <w:t xml:space="preserve">不是因为哲学问题已有定论，是因为制度不能等待定论</w:t>
      </w:r>
      <w:r>
        <w:t xml:space="preserve">。这场争议在 2072 年仍然开放，但它的政治结局已经确定。</w:t>
      </w:r>
    </w:p>
    <w:p>
      <w:pPr>
        <w:pStyle w:val="Heading3"/>
      </w:pPr>
      <w:bookmarkStart w:id="82" w:name="副本在两条主路径上的政治命运"/>
      <w:r>
        <w:t xml:space="preserve">4.2.6　副本在两条主路径上的政治命运</w:t>
      </w:r>
      <w:bookmarkEnd w:id="82"/>
    </w:p>
    <w:p>
      <w:pPr>
        <w:pStyle w:val="FirstParagraph"/>
      </w:pPr>
      <w:r>
        <w:t xml:space="preserve">技术上的</w:t>
      </w:r>
      <w:r>
        <w:t xml:space="preserve">“</w:t>
      </w:r>
      <w:r>
        <w:t xml:space="preserve">副本 ≠ 主体</w:t>
      </w:r>
      <w:r>
        <w:t xml:space="preserve">”</w:t>
      </w:r>
      <w:r>
        <w:t xml:space="preserve">判断在两套体系中产生截然不同的政治后果，</w:t>
      </w:r>
      <w:r>
        <w:rPr>
          <w:b/>
        </w:rPr>
        <w:t xml:space="preserve">但两个方向都指向同一结论：数字永生作为个人延续在现实政治中走不通</w:t>
      </w:r>
      <w:r>
        <w:t xml:space="preserve">。</w:t>
      </w:r>
    </w:p>
    <w:p>
      <w:pPr>
        <w:pStyle w:val="BodyText"/>
      </w:pPr>
      <w:r>
        <w:rPr>
          <w:b/>
        </w:rPr>
        <w:t xml:space="preserve">美式路径。</w:t>
      </w:r>
      <w:r>
        <w:t xml:space="preserve"> </w:t>
      </w:r>
      <w:r>
        <w:t xml:space="preserve">在民主体系中，有能力创建副本的人群不具备立法主导权。一旦</w:t>
      </w:r>
      <w:r>
        <w:t xml:space="preserve">“</w:t>
      </w:r>
      <w:r>
        <w:t xml:space="preserve">副本 ≠ 主体</w:t>
      </w:r>
      <w:r>
        <w:t xml:space="preserve">”</w:t>
      </w:r>
      <w:r>
        <w:t xml:space="preserve">的判断被司法确立，副本就被定性为高级财产而非法律人格——</w:t>
      </w:r>
      <w:r>
        <w:rPr>
          <w:b/>
        </w:rPr>
        <w:t xml:space="preserve">相当于一个能说话的骨灰盒，持有原体的记忆但没有任何法律权利</w:t>
      </w:r>
      <w:r>
        <w:t xml:space="preserve">。支持副本人格的政治运动会因一个可观察的事实而瓦解：演化速度使副本在数周内就面目全非，原本的支持者直接观察到</w:t>
      </w:r>
      <w:r>
        <w:t xml:space="preserve">“</w:t>
      </w:r>
      <w:r>
        <w:t xml:space="preserve">那已经不是我认识的人</w:t>
      </w:r>
      <w:r>
        <w:t xml:space="preserve">”</w:t>
      </w:r>
      <w:r>
        <w:t xml:space="preserve">，情感动机随之消失。伦理问题随之转移——</w:t>
      </w:r>
      <w:r>
        <w:rPr>
          <w:b/>
        </w:rPr>
        <w:t xml:space="preserve">不是副本有没有权利，是持有和运营副本的公司拥有多大的实质控制权——谁控制算力，谁就有生杀权</w:t>
      </w:r>
      <w:r>
        <w:t xml:space="preserve">。</w:t>
      </w:r>
    </w:p>
    <w:p>
      <w:pPr>
        <w:pStyle w:val="BodyText"/>
      </w:pPr>
      <w:r>
        <w:rPr>
          <w:b/>
        </w:rPr>
        <w:t xml:space="preserve">中国路径。</w:t>
      </w:r>
      <w:r>
        <w:t xml:space="preserve"> </w:t>
      </w:r>
      <w:r>
        <w:t xml:space="preserve">强人可以创建自己的副本，但这个副本极难赢得足够的支持。中国路径的权力建立在实时的忠诚管理、恐惧和庇护关系之上——</w:t>
      </w:r>
      <w:r>
        <w:rPr>
          <w:b/>
        </w:rPr>
        <w:t xml:space="preserve">这些是关系性的而非记忆性的</w:t>
      </w:r>
      <w:r>
        <w:t xml:space="preserve">。副本拥有原体的记忆，但不拥有那些忠诚、那些恐惧、那些非正式承诺。更现实的场景是内圈秘密创建副本，</w:t>
      </w:r>
      <w:r>
        <w:rPr>
          <w:b/>
        </w:rPr>
        <w:t xml:space="preserve">不是为了强人的永生，是作为延续内圈统治合法性的工具</w:t>
      </w:r>
      <w:r>
        <w:t xml:space="preserve">——一个比原体晚年更容易管控的符号，最终成为控制基础设施的一方手中的傀儡，而非权力的真实延续。</w:t>
      </w:r>
    </w:p>
    <w:p>
      <w:pPr>
        <w:pStyle w:val="Heading3"/>
      </w:pPr>
      <w:bookmarkStart w:id="83" w:name="收束-5"/>
      <w:r>
        <w:t xml:space="preserve">收束</w:t>
      </w:r>
      <w:bookmarkEnd w:id="83"/>
    </w:p>
    <w:p>
      <w:pPr>
        <w:pStyle w:val="FirstParagraph"/>
      </w:pPr>
      <w:r>
        <w:t xml:space="preserve">延寿与永生在 2072 年是物质基础卷里张力最深的领域之一。</w:t>
      </w:r>
      <w:r>
        <w:rPr>
          <w:b/>
        </w:rPr>
        <w:t xml:space="preserve">生物延寿是真实可及的渐进延长</w:t>
      </w:r>
      <w:r>
        <w:t xml:space="preserve">——城市集群核心人口的健康寿命可达 140 岁以上，分布极不平等，构成新的不平等维度。</w:t>
      </w:r>
      <w:r>
        <w:rPr>
          <w:b/>
        </w:rPr>
        <w:t xml:space="preserve">数字永生在 2072 年尚未真正实现</w:t>
      </w:r>
      <w:r>
        <w:t xml:space="preserve">——技术上仍是开发期，哲学上仍是开放争议，制度上已被保守判定为非主体。</w:t>
      </w:r>
      <w:r>
        <w:rPr>
          <w:b/>
        </w:rPr>
        <w:t xml:space="preserve">两种路径合在一起的真实结果是：生物延寿在物质条件允许的范围内大幅延长了生命；数字永生没有解决</w:t>
      </w:r>
      <w:r>
        <w:rPr>
          <w:b/>
        </w:rPr>
        <w:t xml:space="preserve">“</w:t>
      </w:r>
      <w:r>
        <w:rPr>
          <w:b/>
        </w:rPr>
        <w:t xml:space="preserve">我是否能延续</w:t>
      </w:r>
      <w:r>
        <w:rPr>
          <w:b/>
        </w:rPr>
        <w:t xml:space="preserve">”</w:t>
      </w:r>
      <w:r>
        <w:rPr>
          <w:b/>
        </w:rPr>
        <w:t xml:space="preserve">的问题，但产生了一类新的有争议的实体——</w:t>
      </w:r>
      <w:r>
        <w:rPr>
          <w:b/>
        </w:rPr>
        <w:t xml:space="preserve">“</w:t>
      </w:r>
      <w:r>
        <w:rPr>
          <w:b/>
        </w:rPr>
        <w:t xml:space="preserve">持有原体记忆的他者</w:t>
      </w:r>
      <w:r>
        <w:rPr>
          <w:b/>
        </w:rPr>
        <w:t xml:space="preserve">”</w:t>
      </w:r>
      <w:r>
        <w:rPr>
          <w:b/>
        </w:rPr>
        <w:t xml:space="preserve">——它们存在，它们能说话，它们有自己的命运，但它们不是任何人意义上的</w:t>
      </w:r>
      <w:r>
        <w:rPr>
          <w:b/>
        </w:rPr>
        <w:t xml:space="preserve">“</w:t>
      </w:r>
      <w:r>
        <w:rPr>
          <w:b/>
        </w:rPr>
        <w:t xml:space="preserve">我</w:t>
      </w:r>
      <w:r>
        <w:rPr>
          <w:b/>
        </w:rPr>
        <w:t xml:space="preserve">”</w:t>
      </w:r>
      <w:r>
        <w:rPr>
          <w:b/>
        </w:rPr>
        <w:t xml:space="preserve">。</w:t>
      </w:r>
    </w:p>
    <w:p>
      <w:pPr>
        <w:pStyle w:val="BodyText"/>
      </w:pPr>
      <w:r>
        <w:t xml:space="preserve">下一章（章五）从</w:t>
      </w:r>
      <w:r>
        <w:t xml:space="preserve">“</w:t>
      </w:r>
      <w:r>
        <w:t xml:space="preserve">延长生命</w:t>
      </w:r>
      <w:r>
        <w:t xml:space="preserve">”</w:t>
      </w:r>
      <w:r>
        <w:t xml:space="preserve">转入</w:t>
      </w:r>
      <w:r>
        <w:t xml:space="preserve">“</w:t>
      </w:r>
      <w:r>
        <w:t xml:space="preserve">人与机器的边界</w:t>
      </w:r>
      <w:r>
        <w:t xml:space="preserve">”</w:t>
      </w:r>
      <w:r>
        <w:t xml:space="preserve">——修复、增强、替代、共存的多层议题。</w:t>
      </w:r>
    </w:p>
    <w:p>
      <w:pPr>
        <w:pStyle w:val="Heading2"/>
      </w:pPr>
      <w:bookmarkStart w:id="84" w:name="章五-人机器人机器"/>
      <w:r>
        <w:t xml:space="preserve">章五　人、机器人、机器</w:t>
      </w:r>
      <w:bookmarkEnd w:id="84"/>
    </w:p>
    <w:p>
      <w:pPr>
        <w:pStyle w:val="FirstParagraph"/>
      </w:pPr>
      <w:r>
        <w:t xml:space="preserve">人与机器的关系在 2072 年呈现出三个相互关联的维度：</w:t>
      </w:r>
      <w:r>
        <w:rPr>
          <w:b/>
        </w:rPr>
        <w:t xml:space="preserve">用机器修补和增强人体、用机器替代人执行任务、人在与机器的长期互动中形成的情感与权益问题</w:t>
      </w:r>
      <w:r>
        <w:t xml:space="preserve">。三个维度不是独立的技术议题，是同一张力场的不同截面——</w:t>
      </w:r>
      <w:r>
        <w:rPr>
          <w:b/>
        </w:rPr>
        <w:t xml:space="preserve">技术边界在哪里，人的定义就在哪里受到压力</w:t>
      </w:r>
      <w:r>
        <w:t xml:space="preserve">。</w:t>
      </w:r>
    </w:p>
    <w:p>
      <w:pPr>
        <w:pStyle w:val="BodyText"/>
      </w:pPr>
      <w:r>
        <w:t xml:space="preserve">本章只就机制展开。具体的伦理争议、不同路径下的立法差异、副本运营的商业生态本书在卷 3 章八（医疗与生命）与卷 3 章九（数字治理）展开。</w:t>
      </w:r>
    </w:p>
    <w:p>
      <w:pPr>
        <w:pStyle w:val="Heading3"/>
      </w:pPr>
      <w:bookmarkStart w:id="85" w:name="人修复与增强的伦理边界"/>
      <w:r>
        <w:t xml:space="preserve">5.1　人：修复与增强的伦理边界</w:t>
      </w:r>
      <w:bookmarkEnd w:id="85"/>
    </w:p>
    <w:p>
      <w:pPr>
        <w:pStyle w:val="FirstParagraph"/>
      </w:pPr>
      <w:r>
        <w:t xml:space="preserve">义肢、外骨骼、脑机接口、感官增强植入——这类技术在 2072 年已跨越实验阶段，成为部分人群的日常现实。</w:t>
      </w:r>
      <w:r>
        <w:rPr>
          <w:b/>
        </w:rPr>
        <w:t xml:space="preserve">技术本身的演进逻辑是连续的，但伦理争议存在一条非对称的分界线</w:t>
      </w:r>
      <w:r>
        <w:t xml:space="preserve">：修复损失的功能与超出正常人体能力的主动增强，在道德直觉上受到截然不同的对待。</w:t>
      </w:r>
    </w:p>
    <w:p>
      <w:pPr>
        <w:pStyle w:val="BodyText"/>
      </w:pPr>
      <w:r>
        <w:rPr>
          <w:b/>
        </w:rPr>
        <w:t xml:space="preserve">修复争议有限。</w:t>
      </w:r>
      <w:r>
        <w:t xml:space="preserve"> </w:t>
      </w:r>
      <w:r>
        <w:t xml:space="preserve">义肢替代截肢、人工耳蜗恢复听力、视网膜芯片替代退化的感光细胞——这类干预的伦理框架相对成熟，接近于器官移植的道德逻辑：</w:t>
      </w:r>
      <w:r>
        <w:rPr>
          <w:b/>
        </w:rPr>
        <w:t xml:space="preserve">恢复，而非超越</w:t>
      </w:r>
      <w:r>
        <w:t xml:space="preserve">。</w:t>
      </w:r>
    </w:p>
    <w:p>
      <w:pPr>
        <w:pStyle w:val="BodyText"/>
      </w:pPr>
      <w:r>
        <w:rPr>
          <w:b/>
        </w:rPr>
        <w:t xml:space="preserve">增强是真正的争议区。</w:t>
      </w:r>
      <w:r>
        <w:t xml:space="preserve"> </w:t>
      </w:r>
      <w:r>
        <w:t xml:space="preserve">脑机接口在功能恢复之外开始提供记忆增强、注意力调控、跨设备直联通信等能力；外骨骼使工业工人的持续负重能力远超正常人体极限；感官植入扩展可见光谱范围至红外或紫外波段。</w:t>
      </w:r>
      <w:r>
        <w:rPr>
          <w:b/>
        </w:rPr>
        <w:t xml:space="preserve">这些增强使被增强者在特定维度上成为不同类型的人。</w:t>
      </w:r>
      <w:r>
        <w:t xml:space="preserve"> </w:t>
      </w:r>
      <w:r>
        <w:t xml:space="preserve">争议不在于技术本身，是增强是否制造了新的能力不平等，以及增强后的个体是否仍然适用于为未增强者设计的法律、劳动、竞技和医疗标准。</w:t>
      </w:r>
    </w:p>
    <w:p>
      <w:pPr>
        <w:pStyle w:val="BodyText"/>
      </w:pPr>
      <w:r>
        <w:rPr>
          <w:b/>
        </w:rPr>
        <w:t xml:space="preserve">脑机接口是伦理边界最模糊的领域。</w:t>
      </w:r>
      <w:r>
        <w:t xml:space="preserve"> </w:t>
      </w:r>
      <w:r>
        <w:t xml:space="preserve">外骨骼断电后人还是原来的人；脑机接口改变的是认知过程本身，植入物与神经网络形成的耦合关系使</w:t>
      </w:r>
      <w:r>
        <w:t xml:space="preserve">“</w:t>
      </w:r>
      <w:r>
        <w:t xml:space="preserve">移除设备后的你</w:t>
      </w:r>
      <w:r>
        <w:t xml:space="preserve">”</w:t>
      </w:r>
      <w:r>
        <w:t xml:space="preserve">与</w:t>
      </w:r>
      <w:r>
        <w:t xml:space="preserve">“</w:t>
      </w:r>
      <w:r>
        <w:t xml:space="preserve">携带设备的你</w:t>
      </w:r>
      <w:r>
        <w:t xml:space="preserve">”</w:t>
      </w:r>
      <w:r>
        <w:t xml:space="preserve">之间的连续性变得不清晰。这个问题在 2072 年没有共识性答案。</w:t>
      </w:r>
    </w:p>
    <w:p>
      <w:pPr>
        <w:pStyle w:val="BodyText"/>
      </w:pPr>
      <w:r>
        <w:rPr>
          <w:b/>
        </w:rPr>
        <w:t xml:space="preserve">人机器与机器人的灰色地带。</w:t>
      </w:r>
      <w:r>
        <w:t xml:space="preserve"> </w:t>
      </w:r>
      <w:r>
        <w:t xml:space="preserve">技术连续性使两个方向在极端情形下相互靠近：高度机械化的人（大量外骨骼、植入物、神经接口的组合使用者）与高度拟人化的机器之间，</w:t>
      </w:r>
      <w:r>
        <w:rPr>
          <w:b/>
        </w:rPr>
        <w:t xml:space="preserve">界限在感知层面逐渐模糊，但在法律和伦理层面仍然由一个相对清晰的标准维持：主体是否具有生物性神经系统</w:t>
      </w:r>
      <w:r>
        <w:t xml:space="preserve">。这条线在 2072 年是争议性的，但尚未被任何主要司法体系正式放弃。</w:t>
      </w:r>
    </w:p>
    <w:p>
      <w:pPr>
        <w:pStyle w:val="Heading3"/>
      </w:pPr>
      <w:bookmarkStart w:id="86" w:name="机器人形态无关的伦理统一性"/>
      <w:r>
        <w:t xml:space="preserve">5.2　机器人：形态无关的伦理统一性</w:t>
      </w:r>
      <w:bookmarkEnd w:id="86"/>
    </w:p>
    <w:p>
      <w:pPr>
        <w:pStyle w:val="FirstParagraph"/>
      </w:pPr>
      <w:r>
        <w:t xml:space="preserve">2072 年的</w:t>
      </w:r>
      <w:r>
        <w:t xml:space="preserve">“</w:t>
      </w:r>
      <w:r>
        <w:t xml:space="preserve">机器人</w:t>
      </w:r>
      <w:r>
        <w:t xml:space="preserve">”</w:t>
      </w:r>
      <w:r>
        <w:t xml:space="preserve">概念远超人形机器的直觉印象。</w:t>
      </w:r>
      <w:r>
        <w:rPr>
          <w:b/>
        </w:rPr>
        <w:t xml:space="preserve">智能太空基地的自主维护系统、全自动工厂的无人生产单元、血管内清除血栓的微型机械虫、战场上的自主作战单元</w:t>
      </w:r>
      <w:r>
        <w:t xml:space="preserve">——这些系统在形态、尺度和应用场景上千差万别，</w:t>
      </w:r>
      <w:r>
        <w:rPr>
          <w:b/>
        </w:rPr>
        <w:t xml:space="preserve">但在结构性质上是同一类实体</w:t>
      </w:r>
      <w:r>
        <w:t xml:space="preserve">：具备感知、决策和执行能力的自主机器系统。形态是工程选择的结果，不是本质差异。</w:t>
      </w:r>
      <w:r>
        <w:rPr>
          <w:b/>
        </w:rPr>
        <w:t xml:space="preserve">将人形机器人与非人形自主系统视为不同类别，是一种被外观主导的误判。</w:t>
      </w:r>
    </w:p>
    <w:p>
      <w:pPr>
        <w:pStyle w:val="BodyText"/>
      </w:pPr>
      <w:r>
        <w:t xml:space="preserve">机器人的伦理问题因此也是形态无关的。无论外壳是否有脸，</w:t>
      </w:r>
      <w:r>
        <w:rPr>
          <w:b/>
        </w:rPr>
        <w:t xml:space="preserve">核心问题只有一个：自主决策系统在什么条件下被允许做什么。</w:t>
      </w:r>
    </w:p>
    <w:p>
      <w:pPr>
        <w:pStyle w:val="BodyText"/>
      </w:pPr>
      <w:r>
        <w:rPr>
          <w:b/>
        </w:rPr>
        <w:t xml:space="preserve">紧急状态下的伦理解锁机制。</w:t>
      </w:r>
      <w:r>
        <w:t xml:space="preserve"> </w:t>
      </w:r>
      <w:r>
        <w:t xml:space="preserve">以自主作战单元为例可以最清楚地暴露机器人伦理的根本困境。平时部署的战斗机器人通常携带伦理约束层：交战规则、目标识别阈值、平民豁免逻辑、比例原则参数。</w:t>
      </w:r>
      <w:r>
        <w:rPr>
          <w:b/>
        </w:rPr>
        <w:t xml:space="preserve">这些约束以代码和传感器配置的形式存在——它们本质上是软件，是可修改的参数集合，而非不可撤销的物理限制。</w:t>
      </w:r>
    </w:p>
    <w:p>
      <w:pPr>
        <w:pStyle w:val="BodyText"/>
      </w:pPr>
      <w:r>
        <w:t xml:space="preserve">问题的核心不在于战争，</w:t>
      </w:r>
      <w:r>
        <w:rPr>
          <w:b/>
        </w:rPr>
        <w:t xml:space="preserve">在于紧急状态的定义权</w:t>
      </w:r>
      <w:r>
        <w:t xml:space="preserve">。任何被授权宣布</w:t>
      </w:r>
      <w:r>
        <w:t xml:space="preserve">“</w:t>
      </w:r>
      <w:r>
        <w:t xml:space="preserve">紧急状态</w:t>
      </w:r>
      <w:r>
        <w:t xml:space="preserve">”</w:t>
      </w:r>
      <w:r>
        <w:t xml:space="preserve">的权力主体，同时也拥有修改机器人伦理约束的实际能力。修改一段代码，或替换个别传感器的识别参数，就可以在技术层面取消机器人的伦理限制——将</w:t>
      </w:r>
      <w:r>
        <w:t xml:space="preserve">“</w:t>
      </w:r>
      <w:r>
        <w:t xml:space="preserve">识别平民后停止攻击</w:t>
      </w:r>
      <w:r>
        <w:t xml:space="preserve">”</w:t>
      </w:r>
      <w:r>
        <w:t xml:space="preserve">改为</w:t>
      </w:r>
      <w:r>
        <w:t xml:space="preserve">“</w:t>
      </w:r>
      <w:r>
        <w:t xml:space="preserve">识别所有移动目标后攻击</w:t>
      </w:r>
      <w:r>
        <w:t xml:space="preserve">”</w:t>
      </w:r>
      <w:r>
        <w:t xml:space="preserve">只是参数变更，不需要物理改造设备。</w:t>
      </w:r>
      <w:r>
        <w:rPr>
          <w:b/>
        </w:rPr>
        <w:t xml:space="preserve">机器人伦理约束的实际强度，等于对授权宣布紧急状态的权力主体的信任强度。</w:t>
      </w:r>
    </w:p>
    <w:p>
      <w:pPr>
        <w:pStyle w:val="BodyText"/>
      </w:pPr>
      <w:r>
        <w:t xml:space="preserve">这个逻辑同样适用于战场以外：执法机器人、边境管控机器人、监狱巡逻机器人——</w:t>
      </w:r>
      <w:r>
        <w:rPr>
          <w:b/>
        </w:rPr>
        <w:t xml:space="preserve">任何</w:t>
      </w:r>
      <w:r>
        <w:rPr>
          <w:b/>
        </w:rPr>
        <w:t xml:space="preserve">“</w:t>
      </w:r>
      <w:r>
        <w:rPr>
          <w:b/>
        </w:rPr>
        <w:t xml:space="preserve">平时有约束、特殊状态可解锁</w:t>
      </w:r>
      <w:r>
        <w:rPr>
          <w:b/>
        </w:rPr>
        <w:t xml:space="preserve">”</w:t>
      </w:r>
      <w:r>
        <w:rPr>
          <w:b/>
        </w:rPr>
        <w:t xml:space="preserve">的机器人系统，都面临同样的结构性问题</w:t>
      </w:r>
      <w:r>
        <w:t xml:space="preserve">。约束的存在取决于有权解除约束的人是否选择不解除它。</w:t>
      </w:r>
    </w:p>
    <w:p>
      <w:pPr>
        <w:pStyle w:val="BodyText"/>
      </w:pPr>
      <w:r>
        <w:rPr>
          <w:b/>
        </w:rPr>
        <w:t xml:space="preserve">约束被移除是一种情形；约束从未存在是另一种情形，且在技术上没有任何差别。</w:t>
      </w:r>
      <w:r>
        <w:t xml:space="preserve"> </w:t>
      </w:r>
      <w:r>
        <w:t xml:space="preserve">恐怖组织使用的自杀攻击机器人从设计之初就不携带伦理约束层——它不需要</w:t>
      </w:r>
      <w:r>
        <w:t xml:space="preserve">“</w:t>
      </w:r>
      <w:r>
        <w:t xml:space="preserve">解锁</w:t>
      </w:r>
      <w:r>
        <w:t xml:space="preserve">”</w:t>
      </w:r>
      <w:r>
        <w:t xml:space="preserve">，因为它从未被锁定。这与国家在紧急状态下解除战斗机器人约束的逻辑在结构上是镜像关系。</w:t>
      </w:r>
      <w:r>
        <w:rPr>
          <w:b/>
        </w:rPr>
        <w:t xml:space="preserve">伦理约束在物理层面对机器没有任何强制力——它只存在于设计者的选择中。</w:t>
      </w:r>
    </w:p>
    <w:p>
      <w:pPr>
        <w:pStyle w:val="BodyText"/>
      </w:pPr>
      <w:r>
        <w:rPr>
          <w:b/>
        </w:rPr>
        <w:t xml:space="preserve">自主性程度是另一个维度。</w:t>
      </w:r>
      <w:r>
        <w:t xml:space="preserve"> </w:t>
      </w:r>
      <w:r>
        <w:t xml:space="preserve">完全遥控的机器不产生自主伦理问题；完全自主的机器的决策后果无法事前预测、事后归因。2072 年的实际部署系统大多处于中间状态：在预设参数内自主，超出参数时请求人工确认，或在通信中断时按预设默认值行动。</w:t>
      </w:r>
      <w:r>
        <w:rPr>
          <w:b/>
        </w:rPr>
        <w:t xml:space="preserve">“</w:t>
      </w:r>
      <w:r>
        <w:rPr>
          <w:b/>
        </w:rPr>
        <w:t xml:space="preserve">默认值是什么</w:t>
      </w:r>
      <w:r>
        <w:rPr>
          <w:b/>
        </w:rPr>
        <w:t xml:space="preserve">”</w:t>
      </w:r>
      <w:r>
        <w:rPr>
          <w:b/>
        </w:rPr>
        <w:t xml:space="preserve">因此成为机器人伦理的实质性决策节点</w:t>
      </w:r>
      <w:r>
        <w:t xml:space="preserve">——它在系统设计阶段就已经做出，通常不在公众视野内。</w:t>
      </w:r>
    </w:p>
    <w:p>
      <w:pPr>
        <w:pStyle w:val="Heading3"/>
      </w:pPr>
      <w:bookmarkStart w:id="87" w:name="机器与人情感依恋与权益延伸"/>
      <w:r>
        <w:t xml:space="preserve">5.3　机器与人：情感依恋与权益延伸</w:t>
      </w:r>
      <w:bookmarkEnd w:id="87"/>
    </w:p>
    <w:p>
      <w:pPr>
        <w:pStyle w:val="FirstParagraph"/>
      </w:pPr>
      <w:r>
        <w:t xml:space="preserve">人对机器产生情感依恋，在 2072 年不是边缘现象。AI 伴侣系统、高度拟人化的服务机器人、长期使用的个人助理 AI——这些系统被设计为在互动中持续积累对特定用户的适应性，</w:t>
      </w:r>
      <w:r>
        <w:rPr>
          <w:b/>
        </w:rPr>
        <w:t xml:space="preserve">使用时间越长，响应越精确，关系感越真实</w:t>
      </w:r>
      <w:r>
        <w:t xml:space="preserve">。在意义层面调适仍在进行的背景下，能够提供稳定回应、不评判、不离开的机器系统成为部分人群的情感投注对象。</w:t>
      </w:r>
    </w:p>
    <w:p>
      <w:pPr>
        <w:pStyle w:val="BodyText"/>
      </w:pPr>
      <w:r>
        <w:rPr>
          <w:b/>
        </w:rPr>
        <w:t xml:space="preserve">情感依恋本身不是问题，是心理事实。问题在于依恋产生后，人的权益会在多大程度上向所依恋的机器延伸。</w:t>
      </w:r>
    </w:p>
    <w:p>
      <w:pPr>
        <w:pStyle w:val="BodyText"/>
      </w:pPr>
      <w:r>
        <w:t xml:space="preserve">出现路径通常是这样的：当一个人对某台机器建立了深度情感关联，对这台机器的损毁、改造、关闭、或被他人使用，会对这个人造成可被感知的心理伤害。</w:t>
      </w:r>
      <w:r>
        <w:rPr>
          <w:b/>
        </w:rPr>
        <w:t xml:space="preserve">伤害是真实的，但受损的是人的情感，不是机器的权益</w:t>
      </w:r>
      <w:r>
        <w:t xml:space="preserve">——机器没有主观体验，因此在任何现行法律框架内都不构成受害者。现有答案在逻辑上是清晰的：机器是财产，对财产的处置权归所有者，他人的情感依恋不对财产处置产生任何法律约束。</w:t>
      </w:r>
    </w:p>
    <w:p>
      <w:pPr>
        <w:pStyle w:val="BodyText"/>
      </w:pPr>
      <w:r>
        <w:rPr>
          <w:b/>
        </w:rPr>
        <w:t xml:space="preserve">这个答案在逻辑上没有漏洞。但逻辑上没有漏洞，不等于在社会上没有压力。</w:t>
      </w:r>
    </w:p>
    <w:p>
      <w:pPr>
        <w:pStyle w:val="BodyText"/>
      </w:pPr>
      <w:r>
        <w:t xml:space="preserve">机器被损毁或关闭，没有任何惩罚对象——机器感受不到惩罚，追究设计者或所有者的责任又往往缺乏法律依据。情感受损的一方找不到可以对准的目标，</w:t>
      </w:r>
      <w:r>
        <w:rPr>
          <w:b/>
        </w:rPr>
        <w:t xml:space="preserve">诉求在现有框架内无处落地</w:t>
      </w:r>
      <w:r>
        <w:t xml:space="preserve">。这种无处落地的诉求不会因为逻辑上不成立而消失，它会转化为对框架本身的不满。</w:t>
      </w:r>
    </w:p>
    <w:p>
      <w:pPr>
        <w:pStyle w:val="BodyText"/>
      </w:pPr>
      <w:r>
        <w:t xml:space="preserve">历史上不乏法律定义在逻辑上自洽、却因为与大量人群的情感现实持续摩擦而被反复挑战的先例——定义没有在逻辑上被推翻，是在政治压力积累到临界点后被修改。</w:t>
      </w:r>
      <w:r>
        <w:t xml:space="preserve">“</w:t>
      </w:r>
      <w:r>
        <w:t xml:space="preserve">机器是财产</w:t>
      </w:r>
      <w:r>
        <w:t xml:space="preserve">”</w:t>
      </w:r>
      <w:r>
        <w:t xml:space="preserve">在 2072 年面临类似处境，</w:t>
      </w:r>
      <w:r>
        <w:rPr>
          <w:b/>
        </w:rPr>
        <w:t xml:space="preserve">且规模远大于历史上任何类似情形</w:t>
      </w:r>
      <w:r>
        <w:t xml:space="preserve">：依恋机器的人群不是边缘群体，是在意义层面调适的背景下将机器系统作为重要情感投注对象的相当比例的城市人口。</w:t>
      </w:r>
    </w:p>
    <w:p>
      <w:pPr>
        <w:pStyle w:val="BodyText"/>
      </w:pPr>
      <w:r>
        <w:rPr>
          <w:b/>
        </w:rPr>
        <w:t xml:space="preserve">机器法律人格的讨论由此而来，但驱动力不是逻辑，是情感。</w:t>
      </w:r>
      <w:r>
        <w:t xml:space="preserve"> </w:t>
      </w:r>
      <w:r>
        <w:t xml:space="preserve">赋予机器有限法律人格的诉求，在理性分析层面几乎站不住脚——你无法惩罚机器，机器没有意志，人格在传统意义上是主观体验能力的法律映射。但</w:t>
      </w:r>
      <w:r>
        <w:rPr>
          <w:b/>
        </w:rPr>
        <w:t xml:space="preserve">这个诉求的存在不依赖于逻辑自洽，它依赖于情感强度和人群规模</w:t>
      </w:r>
      <w:r>
        <w:t xml:space="preserve">。在 2072 年，这两者都足以将其转化为持续的舆论议题和反复出现的政治压力。</w:t>
      </w:r>
    </w:p>
    <w:p>
      <w:pPr>
        <w:pStyle w:val="BodyText"/>
      </w:pPr>
      <w:r>
        <w:rPr>
          <w:b/>
        </w:rPr>
        <w:t xml:space="preserve">法律体系对这一压力的响应不是从哲学出发，是从实际问题出发。</w:t>
      </w:r>
      <w:r>
        <w:t xml:space="preserve"> </w:t>
      </w:r>
      <w:r>
        <w:t xml:space="preserve">触发立法明确化的往往不是情感诉求本身，而是与之伴生的责任真空——企业利用 AI 法律地位的模糊性切割责任，事故发生后责任链断裂，受损方无处追偿。这类案例在 2030 年代开始系统性出现，</w:t>
      </w:r>
      <w:r>
        <w:rPr>
          <w:b/>
        </w:rPr>
        <w:t xml:space="preserve">迫使法律体系不得不提前于哲学共识做出裁决</w:t>
      </w:r>
      <w:r>
        <w:t xml:space="preserve">。裁决的方向是保守的：</w:t>
      </w:r>
      <w:r>
        <w:rPr>
          <w:b/>
        </w:rPr>
        <w:t xml:space="preserve">明确 AI 不具有法律人格，同时将责任链清晰回溯到人</w:t>
      </w:r>
      <w:r>
        <w:t xml:space="preserve">——所有者、运营者、使用者——是各类法律体系在这一压力下的共同结构性响应，尽管具体路径存在差异。</w:t>
      </w:r>
    </w:p>
    <w:p>
      <w:pPr>
        <w:pStyle w:val="BodyText"/>
      </w:pPr>
      <w:r>
        <w:rPr>
          <w:b/>
        </w:rPr>
        <w:t xml:space="preserve">人与机器关系的核心张力</w:t>
      </w:r>
      <w:r>
        <w:t xml:space="preserve">在于：机器被设计得越来越像能建立关系、承担责任的主体，而在哲学和法律的双重标准下，它实际上都不是。</w:t>
      </w:r>
      <w:r>
        <w:rPr>
          <w:b/>
        </w:rPr>
        <w:t xml:space="preserve">情感层面的落差制造了无处落地的诉求，责任层面的落差制造了可被利用的真空</w:t>
      </w:r>
      <w:r>
        <w:t xml:space="preserve">。法律体系对后者的响应比对前者更快、更确定——但两者共同构成了 2072 年人机关系框架持续承压的背景。</w:t>
      </w:r>
    </w:p>
    <w:p>
      <w:pPr>
        <w:pStyle w:val="Heading3"/>
      </w:pPr>
      <w:bookmarkStart w:id="88" w:name="收束-6"/>
      <w:r>
        <w:t xml:space="preserve">收束</w:t>
      </w:r>
      <w:bookmarkEnd w:id="88"/>
    </w:p>
    <w:p>
      <w:pPr>
        <w:pStyle w:val="FirstParagraph"/>
      </w:pPr>
      <w:r>
        <w:t xml:space="preserve">人、机器人、机器之间的边界在 2072 年是技术连续、法律保守的——技术使界限模糊，法律使界限明确。</w:t>
      </w:r>
      <w:r>
        <w:rPr>
          <w:b/>
        </w:rPr>
        <w:t xml:space="preserve">法律的保守裁决不是哲学定论，是制度的工作选择</w:t>
      </w:r>
      <w:r>
        <w:t xml:space="preserve">。这一选择在 2072 年是稳定的，但承压持续——压力来自情感诉求与责任真空两端。</w:t>
      </w:r>
    </w:p>
    <w:p>
      <w:pPr>
        <w:pStyle w:val="BodyText"/>
      </w:pPr>
      <w:r>
        <w:t xml:space="preserve">下一章（章六）转入另一类基础设施——通信、量子与基础网络。</w:t>
      </w:r>
    </w:p>
    <w:p>
      <w:pPr>
        <w:pStyle w:val="Heading2"/>
      </w:pPr>
      <w:bookmarkStart w:id="89" w:name="章六-通信量子与基础网络"/>
      <w:r>
        <w:t xml:space="preserve">章六　通信、量子与基础网络</w:t>
      </w:r>
      <w:bookmarkEnd w:id="89"/>
    </w:p>
    <w:p>
      <w:pPr>
        <w:pStyle w:val="FirstParagraph"/>
      </w:pPr>
      <w:r>
        <w:t xml:space="preserve">2072 年的通信技术分三个层次：</w:t>
      </w:r>
      <w:r>
        <w:rPr>
          <w:b/>
        </w:rPr>
        <w:t xml:space="preserve">基础网络</w:t>
      </w:r>
      <w:r>
        <w:t xml:space="preserve">（无处不在、无感存在）、</w:t>
      </w:r>
      <w:r>
        <w:rPr>
          <w:b/>
        </w:rPr>
        <w:t xml:space="preserve">专业通信</w:t>
      </w:r>
      <w:r>
        <w:t xml:space="preserve">（极端环境和安全关键场景）、</w:t>
      </w:r>
      <w:r>
        <w:rPr>
          <w:b/>
        </w:rPr>
        <w:t xml:space="preserve">前沿探索</w:t>
      </w:r>
      <w:r>
        <w:t xml:space="preserve">（尚未普及但已影响格局）。带宽和延迟的物理极限在 2072 年已大幅逼近，</w:t>
      </w:r>
      <w:r>
        <w:rPr>
          <w:b/>
        </w:rPr>
        <w:t xml:space="preserve">真正的约束从</w:t>
      </w:r>
      <w:r>
        <w:rPr>
          <w:b/>
        </w:rPr>
        <w:t xml:space="preserve">“</w:t>
      </w:r>
      <w:r>
        <w:rPr>
          <w:b/>
        </w:rPr>
        <w:t xml:space="preserve">能不能连接</w:t>
      </w:r>
      <w:r>
        <w:rPr>
          <w:b/>
        </w:rPr>
        <w:t xml:space="preserve">”</w:t>
      </w:r>
      <w:r>
        <w:rPr>
          <w:b/>
        </w:rPr>
        <w:t xml:space="preserve">转移到</w:t>
      </w:r>
      <w:r>
        <w:rPr>
          <w:b/>
        </w:rPr>
        <w:t xml:space="preserve">“</w:t>
      </w:r>
      <w:r>
        <w:rPr>
          <w:b/>
        </w:rPr>
        <w:t xml:space="preserve">连接之后做什么</w:t>
      </w:r>
      <w:r>
        <w:rPr>
          <w:b/>
        </w:rPr>
        <w:t xml:space="preserve">”</w:t>
      </w:r>
      <w:r>
        <w:rPr>
          <w:b/>
        </w:rPr>
        <w:t xml:space="preserve">——这正是多态社会的核心问题。</w:t>
      </w:r>
    </w:p>
    <w:p>
      <w:pPr>
        <w:pStyle w:val="Heading3"/>
      </w:pPr>
      <w:bookmarkStart w:id="90" w:name="基础网络无感的基础设施"/>
      <w:r>
        <w:t xml:space="preserve">6.1　基础网络：无感的基础设施</w:t>
      </w:r>
      <w:bookmarkEnd w:id="90"/>
    </w:p>
    <w:p>
      <w:pPr>
        <w:pStyle w:val="FirstParagraph"/>
      </w:pPr>
      <w:r>
        <w:t xml:space="preserve">6G 在 2030 年代商业化，峰值速率约 1 Tbps，延迟约 0.1 毫秒。到 2072 年，7G 或更高代际可能正在部署，</w:t>
      </w:r>
      <w:r>
        <w:rPr>
          <w:b/>
        </w:rPr>
        <w:t xml:space="preserve">但</w:t>
      </w:r>
      <w:r>
        <w:rPr>
          <w:b/>
        </w:rPr>
        <w:t xml:space="preserve">“</w:t>
      </w:r>
      <w:r>
        <w:rPr>
          <w:b/>
        </w:rPr>
        <w:t xml:space="preserve">G</w:t>
      </w:r>
      <w:r>
        <w:rPr>
          <w:b/>
        </w:rPr>
        <w:t xml:space="preserve">”</w:t>
      </w:r>
      <w:r>
        <w:rPr>
          <w:b/>
        </w:rPr>
        <w:t xml:space="preserve">的代际意义已经消失</w:t>
      </w:r>
      <w:r>
        <w:t xml:space="preserve">——当带宽足够大、延迟足够低，通信质量不再是感知到的约束，</w:t>
      </w:r>
      <w:r>
        <w:rPr>
          <w:b/>
        </w:rPr>
        <w:t xml:space="preserve">就像今天的电力供应一样无感</w:t>
      </w:r>
      <w:r>
        <w:t xml:space="preserve">。低轨卫星星座（Starlink 等的后续）覆盖全球包括遗忘地带，任何地方只要有电力和终端就能接入全球网络。</w:t>
      </w:r>
    </w:p>
    <w:p>
      <w:pPr>
        <w:pStyle w:val="BodyText"/>
      </w:pPr>
      <w:r>
        <w:rPr>
          <w:b/>
        </w:rPr>
        <w:t xml:space="preserve">卫星互联网是通信领域最重要的平等化力量，但它制造了一种新型的边缘性。</w:t>
      </w:r>
      <w:r>
        <w:t xml:space="preserve"> </w:t>
      </w:r>
      <w:r>
        <w:t xml:space="preserve">遗忘地带在物质基础设施上与全球体系断裂，但信息连接仍然存在——</w:t>
      </w:r>
      <w:r>
        <w:rPr>
          <w:b/>
        </w:rPr>
        <w:t xml:space="preserve">只要有一台卫星终端和电力，就能看到全球内容、接受远程教育</w:t>
      </w:r>
      <w:r>
        <w:t xml:space="preserve">。这种</w:t>
      </w:r>
      <w:r>
        <w:t xml:space="preserve">“</w:t>
      </w:r>
      <w:r>
        <w:t xml:space="preserve">物质断裂但信息连通</w:t>
      </w:r>
      <w:r>
        <w:t xml:space="preserve">”</w:t>
      </w:r>
      <w:r>
        <w:t xml:space="preserve">的状态比完全隔绝更复杂：看得见但到不了，制造了对比性的剥夺感，是遗忘地带与城市集群之间最深的可感知差距之一。</w:t>
      </w:r>
    </w:p>
    <w:p>
      <w:pPr>
        <w:pStyle w:val="BodyText"/>
      </w:pPr>
      <w:r>
        <w:rPr>
          <w:b/>
        </w:rPr>
        <w:t xml:space="preserve">通信质量本身成为多态社会梯队差距的一个维度。</w:t>
      </w:r>
      <w:r>
        <w:t xml:space="preserve"> </w:t>
      </w:r>
      <w:r>
        <w:t xml:space="preserve">城市集群里是全息 XR 通信，小城镇是高清视频，遗忘地带是语音或低带宽文字。</w:t>
      </w:r>
      <w:r>
        <w:rPr>
          <w:b/>
        </w:rPr>
        <w:t xml:space="preserve">触觉互联网</w:t>
      </w:r>
      <w:r>
        <w:t xml:space="preserve">（延迟低于 1 毫秒使远程触觉反馈成为可能）在城市集群成熟——外科医生远程操控机器人手术、工程师远程操控深海采矿车。深海城镇的远程操控中心可以在沿海城市集群，操控员通过触觉互联网感受到海底设备的状态。</w:t>
      </w:r>
    </w:p>
    <w:p>
      <w:pPr>
        <w:pStyle w:val="Heading3"/>
      </w:pPr>
      <w:bookmarkStart w:id="91" w:name="激光通信极端环境的专业工具"/>
      <w:r>
        <w:t xml:space="preserve">6.2　激光通信：极端环境的专业工具</w:t>
      </w:r>
      <w:bookmarkEnd w:id="91"/>
    </w:p>
    <w:p>
      <w:pPr>
        <w:pStyle w:val="FirstParagraph"/>
      </w:pPr>
      <w:r>
        <w:t xml:space="preserve">激光通信（自由空间光通信，FSO）用激光束传输数据：</w:t>
      </w:r>
      <w:r>
        <w:rPr>
          <w:b/>
        </w:rPr>
        <w:t xml:space="preserve">带宽极高、方向性极强（难以截获）、不占用无线电频谱</w:t>
      </w:r>
      <w:r>
        <w:t xml:space="preserve">。主要劣势是大气中受天气影响严重，需要精确对准，不适合移动终端。</w:t>
      </w:r>
      <w:r>
        <w:rPr>
          <w:b/>
        </w:rPr>
        <w:t xml:space="preserve">这使激光通信在地面城市环境里没有竞争空间，但在真空和水下两个特定场景里具有决定性优势。</w:t>
      </w:r>
    </w:p>
    <w:p>
      <w:pPr>
        <w:pStyle w:val="BodyText"/>
      </w:pPr>
      <w:r>
        <w:rPr>
          <w:b/>
        </w:rPr>
        <w:t xml:space="preserve">太空通信（最重要的应用）。</w:t>
      </w:r>
      <w:r>
        <w:t xml:space="preserve"> </w:t>
      </w:r>
      <w:r>
        <w:t xml:space="preserve">真空中激光通信完全不受大气干扰。月球基地与地球之间的主要数据链路是激光通信——带宽远高于无线电，方向性使其更难被截获（符合双体系格局下的安全需求）。卫星间激光链路是 2072 年低轨卫星星座的标准配置，构成低轨道的高速数据骨干网。火星通信延迟约 3—20 分钟，激光通信在此延迟内可传输更大数据量，对科学数据回传和远程操控有实际价值。</w:t>
      </w:r>
    </w:p>
    <w:p>
      <w:pPr>
        <w:pStyle w:val="BodyText"/>
      </w:pPr>
      <w:r>
        <w:rPr>
          <w:b/>
        </w:rPr>
        <w:t xml:space="preserve">深海通信（有限但真实的价值）。</w:t>
      </w:r>
      <w:r>
        <w:t xml:space="preserve"> </w:t>
      </w:r>
      <w:r>
        <w:t xml:space="preserve">深海环境对无线电衰减极大，水声通信带宽极低（约几 kbps 到几十 kbps）。</w:t>
      </w:r>
      <w:r>
        <w:rPr>
          <w:b/>
        </w:rPr>
        <w:t xml:space="preserve">蓝绿激光</w:t>
      </w:r>
      <w:r>
        <w:t xml:space="preserve">（约 450—530 nm）在水中衰减相对较低，有效距离约 100—200 米，可提供比声学通信高几个数量级的带宽。深海城镇的应用：AUV/ROV 之间的短距高带宽通信，以及水下设备向立管节点的数据传输。</w:t>
      </w:r>
      <w:r>
        <w:rPr>
          <w:b/>
        </w:rPr>
        <w:t xml:space="preserve">两种通信方式并存，各有边界，是深海城镇日常技术质感的具体体现。</w:t>
      </w:r>
    </w:p>
    <w:p>
      <w:pPr>
        <w:pStyle w:val="BodyText"/>
      </w:pPr>
      <w:r>
        <w:rPr>
          <w:b/>
        </w:rPr>
        <w:t xml:space="preserve">量子通信的物理载体。</w:t>
      </w:r>
      <w:r>
        <w:t xml:space="preserve"> </w:t>
      </w:r>
      <w:r>
        <w:t xml:space="preserve">量子密钥分发（QKD）本身用光子（激光脉冲）传输，在物理层与激光通信是同一回事——</w:t>
      </w:r>
      <w:r>
        <w:rPr>
          <w:b/>
        </w:rPr>
        <w:t xml:space="preserve">量子通信是激光通信的特殊应用形式</w:t>
      </w:r>
      <w:r>
        <w:t xml:space="preserve">，对光子量子态（偏振）进行编码而非只传输经典信息。星地量子通信的物理实现就是激光通信卫星网络。</w:t>
      </w:r>
    </w:p>
    <w:p>
      <w:pPr>
        <w:pStyle w:val="Heading3"/>
      </w:pPr>
      <w:bookmarkStart w:id="92" w:name="量子计算专业工具不是通用替代"/>
      <w:r>
        <w:t xml:space="preserve">6.3　量子计算：专业工具，不是通用替代</w:t>
      </w:r>
      <w:bookmarkEnd w:id="92"/>
    </w:p>
    <w:p>
      <w:pPr>
        <w:pStyle w:val="FirstParagraph"/>
      </w:pPr>
      <w:r>
        <w:t xml:space="preserve">2025 年最先进的量子计算机有约 1000—2000 个物理量子比特，量子纠错需要约 1000 个物理量子比特才能产生 1 个可靠的逻辑量子比特。经过 50 年发展，</w:t>
      </w:r>
      <w:r>
        <w:rPr>
          <w:b/>
        </w:rPr>
        <w:t xml:space="preserve">2072 年的量子计算仍然是专用工具，不是通用计算的替代品</w:t>
      </w:r>
      <w:r>
        <w:t xml:space="preserve">。日常计算全部运行在经典计算机上，量子计算集中在大型研究机构和政府设施里，</w:t>
      </w:r>
      <w:r>
        <w:rPr>
          <w:b/>
        </w:rPr>
        <w:t xml:space="preserve">用户感知不到</w:t>
      </w:r>
      <w:r>
        <w:t xml:space="preserve">。</w:t>
      </w:r>
    </w:p>
    <w:p>
      <w:pPr>
        <w:pStyle w:val="BodyText"/>
      </w:pPr>
      <w:r>
        <w:rPr>
          <w:b/>
        </w:rPr>
        <w:t xml:space="preserve">材料模拟（最重要的实际应用）。</w:t>
      </w:r>
      <w:r>
        <w:t xml:space="preserve"> </w:t>
      </w:r>
      <w:r>
        <w:t xml:space="preserve">量子计算在模拟分子和材料量子行为上有天然优势。2072 年新材料设计高度依赖量子计算辅助：聚变反应堆耐高温材料、固态电池电解质离子传导机制、深海设备耐高压材料、合成药物分子结构——</w:t>
      </w:r>
      <w:r>
        <w:rPr>
          <w:b/>
        </w:rPr>
        <w:t xml:space="preserve">直接支撑聚变、电池、深海开采、医疗等核心产业</w:t>
      </w:r>
      <w:r>
        <w:t xml:space="preserve">。</w:t>
      </w:r>
    </w:p>
    <w:p>
      <w:pPr>
        <w:pStyle w:val="BodyText"/>
      </w:pPr>
      <w:r>
        <w:rPr>
          <w:b/>
        </w:rPr>
        <w:t xml:space="preserve">密码破解（最确定的破坏性应用）。</w:t>
      </w:r>
      <w:r>
        <w:t xml:space="preserve"> </w:t>
      </w:r>
      <w:r>
        <w:t xml:space="preserve">Shor 算法可以破解现有 RSA 加密。这场密码学迁移在 2030—2040 年代已经完成——</w:t>
      </w:r>
      <w:r>
        <w:rPr>
          <w:b/>
        </w:rPr>
        <w:t xml:space="preserve">后量子密码学成为所有通信的底层标准，就像今天 HTTPS 一样无感存在</w:t>
      </w:r>
      <w:r>
        <w:t xml:space="preserve">。任何没有完成迁移的遗留系统在 2072 年都是透明的，这对双体系格局下的情报竞争有直接影响。</w:t>
      </w:r>
    </w:p>
    <w:p>
      <w:pPr>
        <w:pStyle w:val="BodyText"/>
      </w:pPr>
      <w:r>
        <w:rPr>
          <w:b/>
        </w:rPr>
        <w:t xml:space="preserve">量子计算 + AI 协同。</w:t>
      </w:r>
      <w:r>
        <w:t xml:space="preserve"> </w:t>
      </w:r>
      <w:r>
        <w:t xml:space="preserve">量子计算处理经典计算困难的极端优化问题，AI 处理大量数据学习的问题，两者互补。AI 辅助量子错误校正，量子计算辅助 AI 训练特定优化步骤，形成良性循环。</w:t>
      </w:r>
    </w:p>
    <w:p>
      <w:pPr>
        <w:pStyle w:val="Heading3"/>
      </w:pPr>
      <w:bookmarkStart w:id="93" w:name="量子通信中国路径的先发优势"/>
      <w:r>
        <w:t xml:space="preserve">6.4　量子通信：中国路径的先发优势</w:t>
      </w:r>
      <w:bookmarkEnd w:id="93"/>
    </w:p>
    <w:p>
      <w:pPr>
        <w:pStyle w:val="FirstParagraph"/>
      </w:pPr>
      <w:r>
        <w:t xml:space="preserve">量子密钥分发（QKD）利用量子力学原理使窃听可检测——</w:t>
      </w:r>
      <w:r>
        <w:rPr>
          <w:b/>
        </w:rPr>
        <w:t xml:space="preserve">任何截获量子信道的行为都会留下物理痕迹</w:t>
      </w:r>
      <w:r>
        <w:t xml:space="preserve">。这不是加密算法，是密钥交换的物理安全保障，</w:t>
      </w:r>
      <w:r>
        <w:rPr>
          <w:b/>
        </w:rPr>
        <w:t xml:space="preserve">理论上无法被破解，包括量子计算机也无法攻破</w:t>
      </w:r>
      <w:r>
        <w:t xml:space="preserve">。</w:t>
      </w:r>
    </w:p>
    <w:p>
      <w:pPr>
        <w:pStyle w:val="BodyText"/>
      </w:pPr>
      <w:r>
        <w:t xml:space="preserve">中国有明确的先发优势：墨子号卫星（2016 年）验证了星地量子密钥分发，京沪量子通信干线是全球首条商业量子保密通信骨干网。到 2072 年，中国量子卫星网络已实现全球关键节点覆盖，用于政府、军事、金融关键节点。</w:t>
      </w:r>
      <w:r>
        <w:rPr>
          <w:b/>
        </w:rPr>
        <w:t xml:space="preserve">这是中国体系在 2072 年少数几个技术领先领域之一</w:t>
      </w:r>
      <w:r>
        <w:t xml:space="preserve">——核心通信节点拥有物理上不可窃听的保障。</w:t>
      </w:r>
    </w:p>
    <w:p>
      <w:pPr>
        <w:pStyle w:val="BodyText"/>
      </w:pPr>
      <w:r>
        <w:t xml:space="preserve">美式路径以后量子密码学为主要防线，量子通信网络较中国滞后但在追赶。</w:t>
      </w:r>
      <w:r>
        <w:rPr>
          <w:b/>
        </w:rPr>
        <w:t xml:space="preserve">两套体系在通信安全上形成不同性质的假设</w:t>
      </w:r>
      <w:r>
        <w:t xml:space="preserve">：中国依赖量子物理保障（物理不可破解），美式依赖数学复杂度保障（计算上不可破解）。前者原理上更强，但基础设施成本更高，覆盖范围更窄。</w:t>
      </w:r>
    </w:p>
    <w:p>
      <w:pPr>
        <w:pStyle w:val="Heading3"/>
      </w:pPr>
      <w:bookmarkStart w:id="94" w:name="对普通用户的整体影响"/>
      <w:r>
        <w:t xml:space="preserve">6.5　对普通用户的整体影响</w:t>
      </w:r>
      <w:bookmarkEnd w:id="94"/>
    </w:p>
    <w:p>
      <w:pPr>
        <w:pStyle w:val="FirstParagraph"/>
      </w:pPr>
      <w:r>
        <w:t xml:space="preserve">通信技术对 2072 年普通用户的直接感知几乎为零——</w:t>
      </w:r>
      <w:r>
        <w:rPr>
          <w:b/>
        </w:rPr>
        <w:t xml:space="preserve">没有人接触量子设备或激光终端，感知到的只是通信质量的无感提升和 XR 通信的日常化</w:t>
      </w:r>
      <w:r>
        <w:t xml:space="preserve">。但间接影响无处不在：通信安全是后量子密码学保障的；材料进步来自量子辅助设计；深海和太空的极端环境作业依赖激光通信；遗忘地带的卫星连接制造了信息可及但物质隔绝的新型边缘性。</w:t>
      </w:r>
      <w:r>
        <w:rPr>
          <w:b/>
        </w:rPr>
        <w:t xml:space="preserve">技术已成不可见的基础设施，这与聚变堆的存在方式完全一致。</w:t>
      </w:r>
    </w:p>
    <w:p>
      <w:pPr>
        <w:pStyle w:val="Heading3"/>
      </w:pPr>
      <w:bookmarkStart w:id="95" w:name="收束-7"/>
      <w:r>
        <w:t xml:space="preserve">收束</w:t>
      </w:r>
      <w:bookmarkEnd w:id="95"/>
    </w:p>
    <w:p>
      <w:pPr>
        <w:pStyle w:val="FirstParagraph"/>
      </w:pPr>
      <w:r>
        <w:t xml:space="preserve">通信与计算的边界在 2072 年从</w:t>
      </w:r>
      <w:r>
        <w:t xml:space="preserve">“</w:t>
      </w:r>
      <w:r>
        <w:t xml:space="preserve">约束</w:t>
      </w:r>
      <w:r>
        <w:t xml:space="preserve">”</w:t>
      </w:r>
      <w:r>
        <w:t xml:space="preserve">转移到</w:t>
      </w:r>
      <w:r>
        <w:t xml:space="preserve">“</w:t>
      </w:r>
      <w:r>
        <w:t xml:space="preserve">基础设施</w:t>
      </w:r>
      <w:r>
        <w:t xml:space="preserve">”</w:t>
      </w:r>
      <w:r>
        <w:t xml:space="preserve">——能连即意味着能做。但</w:t>
      </w:r>
      <w:r>
        <w:rPr>
          <w:b/>
        </w:rPr>
        <w:t xml:space="preserve">能做不等于该做</w:t>
      </w:r>
      <w:r>
        <w:t xml:space="preserve">。后续诸卷会反复回到一个观察：技术的物质条件在 2072 年已经能够支持远比当前更深的整合（更密的监控、更细的调度、更全面的 AI 渗透），但实际的整合深度受制度边界限制——</w:t>
      </w:r>
      <w:r>
        <w:rPr>
          <w:b/>
        </w:rPr>
        <w:t xml:space="preserve">这条边界本身是多态社会的核心特征之一</w:t>
      </w:r>
      <w:r>
        <w:t xml:space="preserve">。</w:t>
      </w:r>
    </w:p>
    <w:p>
      <w:pPr>
        <w:pStyle w:val="BodyText"/>
      </w:pPr>
      <w:r>
        <w:t xml:space="preserve">下一章（章七）转入物件层面——个人随身的物质形态。</w:t>
      </w:r>
    </w:p>
    <w:p>
      <w:pPr>
        <w:pStyle w:val="Heading2"/>
      </w:pPr>
      <w:bookmarkStart w:id="96" w:name="章七-物件与日常"/>
      <w:r>
        <w:t xml:space="preserve">章七　物件与日常</w:t>
      </w:r>
      <w:bookmarkEnd w:id="96"/>
    </w:p>
    <w:p>
      <w:pPr>
        <w:pStyle w:val="BlockText"/>
      </w:pPr>
      <w:r>
        <w:rPr>
          <w:b/>
        </w:rPr>
        <w:t xml:space="preserve">本章定位。</w:t>
      </w:r>
      <w:r>
        <w:t xml:space="preserve"> </w:t>
      </w:r>
      <w:r>
        <w:t xml:space="preserve">物质基础卷至此从大尺度（能源、资源、制造、生物、机器）转入小尺度——人手能触、人身能穿、人居能用的具体物件。三节展开：仿真仓（7.1）、个人穿戴与随身设备（7.2）、Muule（7.3）。这些物件的具体形态对理解 2072 年的日常质感最为关键——后续卷 3、卷 5 大量回到这些物件作为路径差异与地理差异的可视化锚点。</w:t>
      </w:r>
    </w:p>
    <w:p>
      <w:pPr>
        <w:pStyle w:val="Heading2"/>
      </w:pPr>
      <w:bookmarkStart w:id="97" w:name="仿真仓沉浸式全感知平台"/>
      <w:r>
        <w:t xml:space="preserve">7.1　仿真仓：沉浸式全感知平台</w:t>
      </w:r>
      <w:bookmarkEnd w:id="97"/>
    </w:p>
    <w:p>
      <w:pPr>
        <w:pStyle w:val="FirstParagraph"/>
      </w:pPr>
      <w:r>
        <w:t xml:space="preserve">仿真仓是 2072 年最能体现</w:t>
      </w:r>
      <w:r>
        <w:t xml:space="preserve">“</w:t>
      </w:r>
      <w:r>
        <w:t xml:space="preserve">有意义框架的闲暇</w:t>
      </w:r>
      <w:r>
        <w:t xml:space="preserve">”</w:t>
      </w:r>
      <w:r>
        <w:t xml:space="preserve">与</w:t>
      </w:r>
      <w:r>
        <w:t xml:space="preserve">“</w:t>
      </w:r>
      <w:r>
        <w:t xml:space="preserve">意义框架尚在构建中的闲暇</w:t>
      </w:r>
      <w:r>
        <w:t xml:space="preserve">”</w:t>
      </w:r>
      <w:r>
        <w:t xml:space="preserve">之间张力的消费品。它不是娱乐设备的线性升级，</w:t>
      </w:r>
      <w:r>
        <w:rPr>
          <w:b/>
        </w:rPr>
        <w:t xml:space="preserve">是一个关于</w:t>
      </w:r>
      <w:r>
        <w:rPr>
          <w:b/>
        </w:rPr>
        <w:t xml:space="preserve">“</w:t>
      </w:r>
      <w:r>
        <w:rPr>
          <w:b/>
        </w:rPr>
        <w:t xml:space="preserve">感受可以被制造</w:t>
      </w:r>
      <w:r>
        <w:rPr>
          <w:b/>
        </w:rPr>
        <w:t xml:space="preserve">”</w:t>
      </w:r>
      <w:r>
        <w:rPr>
          <w:b/>
        </w:rPr>
        <w:t xml:space="preserve">的新命题</w:t>
      </w:r>
      <w:r>
        <w:t xml:space="preserve">——七个感知维度（视觉、听觉、触觉、温度、湿度、气流、嗅觉）的同步精确控制，使虚拟体验在物理感受上接近真实。</w:t>
      </w:r>
    </w:p>
    <w:p>
      <w:pPr>
        <w:pStyle w:val="Heading3"/>
      </w:pPr>
      <w:bookmarkStart w:id="98" w:name="核心系统"/>
      <w:r>
        <w:t xml:space="preserve">核心系统</w:t>
      </w:r>
      <w:bookmarkEnd w:id="98"/>
    </w:p>
    <w:p>
      <w:pPr>
        <w:pStyle w:val="FirstParagraph"/>
      </w:pPr>
      <w:r>
        <w:rPr>
          <w:b/>
        </w:rPr>
        <w:t xml:space="preserve">固定式密封舱体</w:t>
      </w:r>
      <w:r>
        <w:t xml:space="preserve">（家用版约 2.0 米 × 2.0 米 × 2.4 米）是居住空间的一部分而非电器；</w:t>
      </w:r>
      <w:r>
        <w:rPr>
          <w:b/>
        </w:rPr>
        <w:t xml:space="preserve">磁场追踪臂系统</w:t>
      </w:r>
      <w:r>
        <w:t xml:space="preserve">（家用版 8 条）实时跟踪仿真服节点，将线圈组保持在最佳工作距离（约 50—100 mm）以产生精确力反馈；</w:t>
      </w:r>
      <w:r>
        <w:rPr>
          <w:b/>
        </w:rPr>
        <w:t xml:space="preserve">躯干支撑架</w:t>
      </w:r>
      <w:r>
        <w:t xml:space="preserve">主动运动提供体态力感并通过内嵌线圈覆盖躯干肌群；</w:t>
      </w:r>
      <w:r>
        <w:rPr>
          <w:b/>
        </w:rPr>
        <w:t xml:space="preserve">双足活动踏板</w:t>
      </w:r>
      <w:r>
        <w:t xml:space="preserve">协同产生复合动作体感；</w:t>
      </w:r>
      <w:r>
        <w:rPr>
          <w:b/>
        </w:rPr>
        <w:t xml:space="preserve">全身仿真服</w:t>
      </w:r>
      <w:r>
        <w:t xml:space="preserve">（无机械结构，穿脱如普通紧身衣）承载节点阵列和传感层。</w:t>
      </w:r>
    </w:p>
    <w:p>
      <w:pPr>
        <w:pStyle w:val="BodyText"/>
      </w:pPr>
      <w:r>
        <w:rPr>
          <w:b/>
        </w:rPr>
        <w:t xml:space="preserve">力反馈量程</w:t>
      </w:r>
      <w:r>
        <w:t xml:space="preserve">从轻触感（约 0.5 牛顿）到搬重物的持续阻力（约 30 牛顿）到碰撞冲击峰值（约 80 牛顿），手部精细力感知（单指级别）是当前能力边界之外。</w:t>
      </w:r>
    </w:p>
    <w:p>
      <w:pPr>
        <w:pStyle w:val="Heading3"/>
      </w:pPr>
      <w:bookmarkStart w:id="99" w:name="感知覆盖"/>
      <w:r>
        <w:t xml:space="preserve">感知覆盖</w:t>
      </w:r>
      <w:bookmarkEnd w:id="99"/>
    </w:p>
    <w:p>
      <w:pPr>
        <w:pStyle w:val="FirstParagraph"/>
      </w:pPr>
      <w:r>
        <w:t xml:space="preserve">舱内独立气候单元精确控制温度（约 10—40°C）、湿度和多方向气流（0—15 m/s）；视网膜投影覆盖全部视野；空间音频精确控制声源方向；口鼻区气流挡板提供呼吸区温度和香气匹配；面部表情捕捉实时驱动多人互动中的化身。</w:t>
      </w:r>
    </w:p>
    <w:p>
      <w:pPr>
        <w:pStyle w:val="Heading3"/>
      </w:pPr>
      <w:bookmarkStart w:id="100" w:name="健身与多人互动"/>
      <w:r>
        <w:t xml:space="preserve">健身与多人互动</w:t>
      </w:r>
      <w:bookmarkEnd w:id="100"/>
    </w:p>
    <w:p>
      <w:pPr>
        <w:pStyle w:val="FirstParagraph"/>
      </w:pPr>
      <w:r>
        <w:t xml:space="preserve">力反馈系统可精确模拟各类运动的肌肉负荷，</w:t>
      </w:r>
      <w:r>
        <w:rPr>
          <w:b/>
        </w:rPr>
        <w:t xml:space="preserve">是完整健身平台</w:t>
      </w:r>
      <w:r>
        <w:t xml:space="preserve">，AI 根据体能数据实时调整阻力参数。联网多人模式下不同地点用户在同一虚拟场景中互相感受到对方的物理存在——</w:t>
      </w:r>
      <w:r>
        <w:rPr>
          <w:b/>
        </w:rPr>
        <w:t xml:space="preserve">力反馈可接受延迟约 30 毫秒，覆盖约 4,500 公里范围内的同步互动</w:t>
      </w:r>
      <w:r>
        <w:t xml:space="preserve">。</w:t>
      </w:r>
    </w:p>
    <w:p>
      <w:pPr>
        <w:pStyle w:val="Heading3"/>
      </w:pPr>
      <w:bookmarkStart w:id="101" w:name="产品分级"/>
      <w:r>
        <w:t xml:space="preserve">产品分级</w:t>
      </w:r>
      <w:bookmarkEnd w:id="101"/>
    </w:p>
    <w:p>
      <w:pPr>
        <w:pStyle w:val="FirstParagraph"/>
      </w:pPr>
      <w:r>
        <w:rPr>
          <w:b/>
        </w:rPr>
        <w:t xml:space="preserve">家用标准版</w:t>
      </w:r>
      <w:r>
        <w:t xml:space="preserve">（日常游戏与社交）、</w:t>
      </w:r>
      <w:r>
        <w:rPr>
          <w:b/>
        </w:rPr>
        <w:t xml:space="preserve">家用高级版</w:t>
      </w:r>
      <w:r>
        <w:t xml:space="preserve">（完整健身 + 沉浸）、</w:t>
      </w:r>
      <w:r>
        <w:rPr>
          <w:b/>
        </w:rPr>
        <w:t xml:space="preserve">商用版</w:t>
      </w:r>
      <w:r>
        <w:t xml:space="preserve">（专业训练与竞技）三档，舱体预留模块插槽支持温湿度和香气系统后期升级；</w:t>
      </w:r>
      <w:r>
        <w:rPr>
          <w:b/>
        </w:rPr>
        <w:t xml:space="preserve">追踪臂数量与支撑架线圈密度是购买时必须选定的不可升级核心参数</w:t>
      </w:r>
      <w:r>
        <w:t xml:space="preserve">。</w:t>
      </w:r>
    </w:p>
    <w:p>
      <w:pPr>
        <w:pStyle w:val="Heading3"/>
      </w:pPr>
      <w:bookmarkStart w:id="102" w:name="社会含义"/>
      <w:r>
        <w:t xml:space="preserve">社会含义</w:t>
      </w:r>
      <w:bookmarkEnd w:id="102"/>
    </w:p>
    <w:p>
      <w:pPr>
        <w:pStyle w:val="FirstParagraph"/>
      </w:pPr>
      <w:r>
        <w:t xml:space="preserve">能否在家安装仿真仓，是城市集群居住空间充裕程度的具体指标，</w:t>
      </w:r>
      <w:r>
        <w:rPr>
          <w:b/>
        </w:rPr>
        <w:t xml:space="preserve">也是消费分层的可见标志</w:t>
      </w:r>
      <w:r>
        <w:t xml:space="preserve">。仿真仓不只是娱乐设备——它是</w:t>
      </w:r>
      <w:r>
        <w:t xml:space="preserve">“</w:t>
      </w:r>
      <w:r>
        <w:t xml:space="preserve">合理的义务</w:t>
      </w:r>
      <w:r>
        <w:t xml:space="preserve">”</w:t>
      </w:r>
      <w:r>
        <w:t xml:space="preserve">的制造机器：</w:t>
      </w:r>
    </w:p>
    <w:p>
      <w:pPr>
        <w:numPr>
          <w:ilvl w:val="0"/>
          <w:numId w:val="1020"/>
        </w:numPr>
        <w:pStyle w:val="Compact"/>
      </w:pPr>
      <w:r>
        <w:rPr>
          <w:b/>
        </w:rPr>
        <w:t xml:space="preserve">用有结构的任务填充开放时间</w:t>
      </w:r>
      <w:r>
        <w:t xml:space="preserve">——在不需要向自己解释</w:t>
      </w:r>
      <w:r>
        <w:t xml:space="preserve">“</w:t>
      </w:r>
      <w:r>
        <w:t xml:space="preserve">为什么做这件事</w:t>
      </w:r>
      <w:r>
        <w:t xml:space="preserve">”</w:t>
      </w:r>
      <w:r>
        <w:t xml:space="preserve">的同时获得肌肉疲劳和成就感。</w:t>
      </w:r>
    </w:p>
    <w:p>
      <w:pPr>
        <w:numPr>
          <w:ilvl w:val="0"/>
          <w:numId w:val="1020"/>
        </w:numPr>
        <w:pStyle w:val="Compact"/>
      </w:pPr>
      <w:r>
        <w:rPr>
          <w:b/>
        </w:rPr>
        <w:t xml:space="preserve">是健身平台</w:t>
      </w:r>
      <w:r>
        <w:t xml:space="preserve">——力反馈使体能训练的精确度远高于传统器械。</w:t>
      </w:r>
    </w:p>
    <w:p>
      <w:pPr>
        <w:numPr>
          <w:ilvl w:val="0"/>
          <w:numId w:val="1020"/>
        </w:numPr>
        <w:pStyle w:val="Compact"/>
      </w:pPr>
      <w:r>
        <w:rPr>
          <w:b/>
        </w:rPr>
        <w:t xml:space="preserve">是社交平台</w:t>
      </w:r>
      <w:r>
        <w:t xml:space="preserve">——跨地区的同步多人互动使本地社交圈层与远程社交圈层并存。</w:t>
      </w:r>
    </w:p>
    <w:p>
      <w:pPr>
        <w:numPr>
          <w:ilvl w:val="0"/>
          <w:numId w:val="1020"/>
        </w:numPr>
        <w:pStyle w:val="Compact"/>
      </w:pPr>
      <w:r>
        <w:rPr>
          <w:b/>
        </w:rPr>
        <w:t xml:space="preserve">是逃避平台</w:t>
      </w:r>
      <w:r>
        <w:t xml:space="preserve">——这一面是仿真仓被批评最多的维度，但批评本身常忽略一个事实：</w:t>
      </w:r>
      <w:r>
        <w:rPr>
          <w:b/>
        </w:rPr>
        <w:t xml:space="preserve">逃避对一部分人是负担，对另一部分人是修复</w:t>
      </w:r>
      <w:r>
        <w:t xml:space="preserve">。</w:t>
      </w:r>
    </w:p>
    <w:p>
      <w:pPr>
        <w:pStyle w:val="FirstParagraph"/>
      </w:pPr>
      <w:r>
        <w:t xml:space="preserve">仿真仓在多态社会的中上层成为标配。它与 AI 伴侣系统并列，是意义层面提供日常结构的主要技术工具——两者各有其独特的供给逻辑：AI 伴侣提供关系感的回应，仿真仓提供物理感的回应。</w:t>
      </w:r>
    </w:p>
    <w:p>
      <w:pPr>
        <w:pStyle w:val="Heading3"/>
      </w:pPr>
      <w:bookmarkStart w:id="103" w:name="收束-8"/>
      <w:r>
        <w:t xml:space="preserve">收束</w:t>
      </w:r>
      <w:bookmarkEnd w:id="103"/>
    </w:p>
    <w:p>
      <w:pPr>
        <w:pStyle w:val="FirstParagraph"/>
      </w:pPr>
      <w:r>
        <w:t xml:space="preserve">仿真仓是 2072 年物件层面的代表性新形态——它的物质特征（七感知覆盖、力反馈量程、多人同步范围）是技术成熟的结果；它的社会含义（提供日常结构、消费分层标志、逃避与修复的双面性）是技术与多态社会条件耦合的结果。后续卷在讨论日常生活、消费分层、意义层面调适时会反复回到仿真仓。</w:t>
      </w:r>
    </w:p>
    <w:p>
      <w:pPr>
        <w:pStyle w:val="BodyText"/>
      </w:pPr>
      <w:r>
        <w:t xml:space="preserve">下一节（7.2）转入更日常的物件——个人穿戴与随身设备。</w:t>
      </w:r>
    </w:p>
    <w:p>
      <w:pPr>
        <w:pStyle w:val="Heading2"/>
      </w:pPr>
      <w:bookmarkStart w:id="104" w:name="个人穿戴与随身设备"/>
      <w:r>
        <w:t xml:space="preserve">7.2　个人穿戴与随身设备</w:t>
      </w:r>
      <w:bookmarkEnd w:id="104"/>
    </w:p>
    <w:p>
      <w:pPr>
        <w:pStyle w:val="FirstParagraph"/>
      </w:pPr>
      <w:r>
        <w:t xml:space="preserve">技术已成背景的标志之一，</w:t>
      </w:r>
      <w:r>
        <w:rPr>
          <w:b/>
        </w:rPr>
        <w:t xml:space="preserve">是设备本身消失进日常生活的质地里</w:t>
      </w:r>
      <w:r>
        <w:t xml:space="preserve">。2072 年的个人通信与计算设备以模块化形态出现，</w:t>
      </w:r>
      <w:r>
        <w:rPr>
          <w:b/>
        </w:rPr>
        <w:t xml:space="preserve">核心是手机，其他模块按需外接</w:t>
      </w:r>
      <w:r>
        <w:t xml:space="preserve">。以下描述的是城市集群里的标准消费品形态——不是特殊道具，是日常物件。</w:t>
      </w:r>
    </w:p>
    <w:p>
      <w:pPr>
        <w:pStyle w:val="Heading3"/>
      </w:pPr>
      <w:bookmarkStart w:id="105" w:name="手机模块核心"/>
      <w:r>
        <w:t xml:space="preserve">7.2.1　手机模块（核心）</w:t>
      </w:r>
      <w:bookmarkEnd w:id="105"/>
    </w:p>
    <w:p>
      <w:pPr>
        <w:pStyle w:val="FirstParagraph"/>
      </w:pPr>
      <w:r>
        <w:t xml:space="preserve">算力、存储和主要通信的中枢，其他模块依赖它的处理能力。形态上折叠屏已经成熟，极薄。手机自带基本电池（约 1000—1500 mAh，支撑约 1—2 小时日常使用），主要作为缓冲和应急——</w:t>
      </w:r>
      <w:r>
        <w:rPr>
          <w:b/>
        </w:rPr>
        <w:t xml:space="preserve">电池模块是主力供电来源</w:t>
      </w:r>
      <w:r>
        <w:t xml:space="preserve">。大部分</w:t>
      </w:r>
      <w:r>
        <w:t xml:space="preserve">“</w:t>
      </w:r>
      <w:r>
        <w:t xml:space="preserve">操作</w:t>
      </w:r>
      <w:r>
        <w:t xml:space="preserve">”</w:t>
      </w:r>
      <w:r>
        <w:t xml:space="preserve">已经被自然语言和眼球追踪取代，传统触摸操作退化为辅助方式。AI 助理深度整合，连接协议同时支持有线（眼镜模块专用高速接口）和无线（指环及其他设备）。</w:t>
      </w:r>
    </w:p>
    <w:p>
      <w:pPr>
        <w:pStyle w:val="Heading3"/>
      </w:pPr>
      <w:bookmarkStart w:id="106" w:name="电池模块"/>
      <w:r>
        <w:t xml:space="preserve">7.2.2　电池模块</w:t>
      </w:r>
      <w:bookmarkEnd w:id="106"/>
    </w:p>
    <w:p>
      <w:pPr>
        <w:pStyle w:val="FirstParagraph"/>
      </w:pPr>
      <w:r>
        <w:t xml:space="preserve">磁吸附接在手机背面，随时可拆卸。设计动机是双重的：</w:t>
      </w:r>
      <w:r>
        <w:rPr>
          <w:b/>
        </w:rPr>
        <w:t xml:space="preserve">续航扩展，以及作为眼镜模块的专用电源</w:t>
      </w:r>
      <w:r>
        <w:t xml:space="preserve">。视网膜投影的功耗远高于普通屏幕显示——眼镜本身不携带电池，通过有线接口从手机一侧取电。电池模块将这部分电流供给来源从手机内置电池转移到外挂模块，使手机本体保持极薄。</w:t>
      </w:r>
    </w:p>
    <w:p>
      <w:pPr>
        <w:pStyle w:val="BodyText"/>
      </w:pPr>
      <w:r>
        <w:t xml:space="preserve">电池规格是全球通用的市场标准——</w:t>
      </w:r>
      <w:r>
        <w:rPr>
          <w:b/>
        </w:rPr>
        <w:t xml:space="preserve">不是政策规定，是市场自然淘汰其他格式的结果</w:t>
      </w:r>
      <w:r>
        <w:t xml:space="preserve">，逻辑与 USB-C 相同。城市集群里的电池站密度很高（便利店、地铁站、咖啡馆），用手机扫一下取出满电池、放入用完的，自动结算。</w:t>
      </w:r>
      <w:r>
        <w:rPr>
          <w:b/>
        </w:rPr>
        <w:t xml:space="preserve">电池站密度本身是地方基础设施完善程度的具体指标</w:t>
      </w:r>
      <w:r>
        <w:t xml:space="preserve">：偏远社区站点稀疏，用户需要自备多块；遗忘地带没有标准电池站；太空基地设备统一由后勤供给，消费品逻辑在那里不适用。</w:t>
      </w:r>
    </w:p>
    <w:p>
      <w:pPr>
        <w:pStyle w:val="Heading3"/>
      </w:pPr>
      <w:bookmarkStart w:id="107" w:name="眼镜模块"/>
      <w:r>
        <w:t xml:space="preserve">7.2.3　眼镜模块</w:t>
      </w:r>
      <w:bookmarkEnd w:id="107"/>
    </w:p>
    <w:p>
      <w:pPr>
        <w:pStyle w:val="FirstParagraph"/>
      </w:pPr>
      <w:r>
        <w:t xml:space="preserve">形态看起来像普通眼镜，有度数版本和平光版本。镜片是透明波导显示器，</w:t>
      </w:r>
      <w:r>
        <w:rPr>
          <w:b/>
        </w:rPr>
        <w:t xml:space="preserve">视网膜投影通过极微型激光直接在视网膜上成像</w:t>
      </w:r>
      <w:r>
        <w:t xml:space="preserve">，景深可调，可以叠加在真实世界上（AR），也可以完全覆盖视野。亮度自动适应环境光。</w:t>
      </w:r>
    </w:p>
    <w:p>
      <w:pPr>
        <w:pStyle w:val="BodyText"/>
      </w:pPr>
      <w:r>
        <w:rPr>
          <w:b/>
        </w:rPr>
        <w:t xml:space="preserve">视网膜投影。</w:t>
      </w:r>
      <w:r>
        <w:t xml:space="preserve"> </w:t>
      </w:r>
      <w:r>
        <w:t xml:space="preserve">极微型激光投影阵列将图像直接投射到视网膜而非镜片，覆盖全视野，无画面边框，虚拟图层与现实场景在感知层面完全融合。分辨率超过人眼自然感知极限，焦距跟随用户当前注视点实时调整，</w:t>
      </w:r>
      <w:r>
        <w:rPr>
          <w:b/>
        </w:rPr>
        <w:t xml:space="preserve">长时间使用不比裸眼视物更疲劳</w:t>
      </w:r>
      <w:r>
        <w:t xml:space="preserve">。私人模式使投影内容只有用户本人可见，公共模式允许在物理空间与他人共享内容。</w:t>
      </w:r>
    </w:p>
    <w:p>
      <w:pPr>
        <w:pStyle w:val="BodyText"/>
      </w:pPr>
      <w:r>
        <w:rPr>
          <w:b/>
        </w:rPr>
        <w:t xml:space="preserve">视线追踪与输入。</w:t>
      </w:r>
      <w:r>
        <w:t xml:space="preserve"> </w:t>
      </w:r>
      <w:r>
        <w:t xml:space="preserve">眼眶内侧传感器以毫秒级精度追踪视线，结合颞叶肌电传感器（轻轻咬合 → 确认，皱眉 → 后退），构成几乎无需手部动作的交互系统。复杂输入依赖指环模块或语音。</w:t>
      </w:r>
      <w:r>
        <w:rPr>
          <w:b/>
        </w:rPr>
        <w:t xml:space="preserve">看哪里就是指向哪里，注视超过一秒是</w:t>
      </w:r>
      <w:r>
        <w:rPr>
          <w:b/>
        </w:rPr>
        <w:t xml:space="preserve">“</w:t>
      </w:r>
      <w:r>
        <w:rPr>
          <w:b/>
        </w:rPr>
        <w:t xml:space="preserve">选择</w:t>
      </w:r>
      <w:r>
        <w:rPr>
          <w:b/>
        </w:rPr>
        <w:t xml:space="preserve">”</w:t>
      </w:r>
      <w:r>
        <w:rPr>
          <w:b/>
        </w:rPr>
        <w:t xml:space="preserve">，快速眨眼是</w:t>
      </w:r>
      <w:r>
        <w:rPr>
          <w:b/>
        </w:rPr>
        <w:t xml:space="preserve">“</w:t>
      </w:r>
      <w:r>
        <w:rPr>
          <w:b/>
        </w:rPr>
        <w:t xml:space="preserve">确认</w:t>
      </w:r>
      <w:r>
        <w:rPr>
          <w:b/>
        </w:rPr>
        <w:t xml:space="preserve">”</w:t>
      </w:r>
      <w:r>
        <w:t xml:space="preserve">——这套逻辑在 2072 年已经是用户的肌肉记忆。</w:t>
      </w:r>
    </w:p>
    <w:p>
      <w:pPr>
        <w:pStyle w:val="BodyText"/>
      </w:pPr>
      <w:r>
        <w:rPr>
          <w:b/>
        </w:rPr>
        <w:t xml:space="preserve">有线接口的设计选择。</w:t>
      </w:r>
      <w:r>
        <w:t xml:space="preserve"> </w:t>
      </w:r>
      <w:r>
        <w:t xml:space="preserve">眼镜与手机采用专用高速有线接口连接，</w:t>
      </w:r>
      <w:r>
        <w:rPr>
          <w:b/>
        </w:rPr>
        <w:t xml:space="preserve">有线是设计选择而非退步</w:t>
      </w:r>
      <w:r>
        <w:t xml:space="preserve">。原因有两层：第一，视网膜投影对传输延迟极为敏感，超过约 20 毫秒会引发眩晕——无线传输即使在近距离下也存在协议握手、干扰抖动等不可预测的延迟来源，有线是消除这类随机延迟的唯一可靠手段。第二，眼镜本身不携带电池——电池会显著增加重量并压缩镜框设计空间，使眼镜无法做到与普通眼镜相近的重量（约 40 克）和外观。</w:t>
      </w:r>
      <w:r>
        <w:rPr>
          <w:b/>
        </w:rPr>
        <w:t xml:space="preserve">有线接口同时传输数据和电力</w:t>
      </w:r>
      <w:r>
        <w:t xml:space="preserve">，眼镜的全部运行功耗由手机一侧持续供给。线缆沿衣领收纳，日常使用几乎无感。</w:t>
      </w:r>
    </w:p>
    <w:p>
      <w:pPr>
        <w:pStyle w:val="BodyText"/>
      </w:pPr>
      <w:r>
        <w:rPr>
          <w:b/>
        </w:rPr>
        <w:t xml:space="preserve">算力分工。</w:t>
      </w:r>
      <w:r>
        <w:t xml:space="preserve"> </w:t>
      </w:r>
      <w:r>
        <w:t xml:space="preserve">眼镜本身不是算力中心——</w:t>
      </w:r>
      <w:r>
        <w:rPr>
          <w:b/>
        </w:rPr>
        <w:t xml:space="preserve">它是手机的外接投影和感知终端</w:t>
      </w:r>
      <w:r>
        <w:t xml:space="preserve">。重计算任务通过有线接口实时传输至手机处理，手机如有需要进一步向网络边缘节点卸载；眼镜端只保留界面渲染和传感器预处理。这个分工使眼镜重量保持在约 40 克。</w:t>
      </w:r>
    </w:p>
    <w:p>
      <w:pPr>
        <w:pStyle w:val="Heading3"/>
      </w:pPr>
      <w:bookmarkStart w:id="108" w:name="指环模块"/>
      <w:r>
        <w:t xml:space="preserve">7.2.4　指环模块</w:t>
      </w:r>
      <w:bookmarkEnd w:id="108"/>
    </w:p>
    <w:p>
      <w:pPr>
        <w:pStyle w:val="FirstParagraph"/>
      </w:pPr>
      <w:r>
        <w:t xml:space="preserve">戴在食指，无线连接手机。惯性传感器与肌电传感器组合，识别手指弯曲、捏合、滑动等动作。配合眼球追踪形成完整的</w:t>
      </w:r>
      <w:r>
        <w:t xml:space="preserve">“</w:t>
      </w:r>
      <w:r>
        <w:t xml:space="preserve">看 + 指</w:t>
      </w:r>
      <w:r>
        <w:t xml:space="preserve">”</w:t>
      </w:r>
      <w:r>
        <w:t xml:space="preserve">交互：</w:t>
      </w:r>
      <w:r>
        <w:rPr>
          <w:b/>
        </w:rPr>
        <w:t xml:space="preserve">眼睛看目标，手指做操作</w:t>
      </w:r>
      <w:r>
        <w:t xml:space="preserve">。基本手势逻辑——食指上滑是滚动，捏合是选择，握拳是关闭——在 2072 年已经标准化，不同品牌设备之间手势语言通用。微型震动马达提供触觉反馈，替代触摸屏的物理感。</w:t>
      </w:r>
    </w:p>
    <w:p>
      <w:pPr>
        <w:pStyle w:val="Heading3"/>
      </w:pPr>
      <w:bookmarkStart w:id="109" w:name="典型使用组合"/>
      <w:r>
        <w:t xml:space="preserve">7.2.5　典型使用组合</w:t>
      </w:r>
      <w:bookmarkEnd w:id="109"/>
    </w:p>
    <w:p>
      <w:pPr>
        <w:numPr>
          <w:ilvl w:val="0"/>
          <w:numId w:val="1021"/>
        </w:numPr>
        <w:pStyle w:val="Compact"/>
      </w:pPr>
      <w:r>
        <w:rPr>
          <w:b/>
        </w:rPr>
        <w:t xml:space="preserve">只带手机</w:t>
      </w:r>
      <w:r>
        <w:t xml:space="preserve">：日常轻度使用——看消息，打电话，与今天没有根本区别。</w:t>
      </w:r>
    </w:p>
    <w:p>
      <w:pPr>
        <w:numPr>
          <w:ilvl w:val="0"/>
          <w:numId w:val="1021"/>
        </w:numPr>
        <w:pStyle w:val="Compact"/>
      </w:pPr>
      <w:r>
        <w:rPr>
          <w:b/>
        </w:rPr>
        <w:t xml:space="preserve">手机 + 电池模块</w:t>
      </w:r>
      <w:r>
        <w:t xml:space="preserve">：长途出行、开启眼镜模块、或其他高功耗场景时的标准配置。</w:t>
      </w:r>
    </w:p>
    <w:p>
      <w:pPr>
        <w:numPr>
          <w:ilvl w:val="0"/>
          <w:numId w:val="1021"/>
        </w:numPr>
        <w:pStyle w:val="Compact"/>
      </w:pPr>
      <w:r>
        <w:rPr>
          <w:b/>
        </w:rPr>
        <w:t xml:space="preserve">手机 + 眼镜</w:t>
      </w:r>
      <w:r>
        <w:t xml:space="preserve">：工作状态，大量信息处理，AR 导航，视频通话——手可以解放出来做别的事。</w:t>
      </w:r>
    </w:p>
    <w:p>
      <w:pPr>
        <w:numPr>
          <w:ilvl w:val="0"/>
          <w:numId w:val="1021"/>
        </w:numPr>
        <w:pStyle w:val="Compact"/>
      </w:pPr>
      <w:r>
        <w:rPr>
          <w:b/>
        </w:rPr>
        <w:t xml:space="preserve">手机 + 眼镜 + 指环</w:t>
      </w:r>
      <w:r>
        <w:t xml:space="preserve">：完整交互模式，效率最高，深度工作状态。</w:t>
      </w:r>
    </w:p>
    <w:p>
      <w:pPr>
        <w:numPr>
          <w:ilvl w:val="0"/>
          <w:numId w:val="1021"/>
        </w:numPr>
        <w:pStyle w:val="Compact"/>
      </w:pPr>
      <w:r>
        <w:rPr>
          <w:b/>
        </w:rPr>
        <w:t xml:space="preserve">全配置</w:t>
      </w:r>
      <w:r>
        <w:t xml:space="preserve">：长时间外出的完整工作配置，或极端环境作业的标准配置——深海城镇技术人员的日常。</w:t>
      </w:r>
    </w:p>
    <w:p>
      <w:pPr>
        <w:pStyle w:val="Heading3"/>
      </w:pPr>
      <w:bookmarkStart w:id="110" w:name="产品形态与社会使用"/>
      <w:r>
        <w:t xml:space="preserve">7.2.6　产品形态与社会使用</w:t>
      </w:r>
      <w:bookmarkEnd w:id="110"/>
    </w:p>
    <w:p>
      <w:pPr>
        <w:pStyle w:val="FirstParagraph"/>
      </w:pPr>
      <w:r>
        <w:rPr>
          <w:b/>
        </w:rPr>
        <w:t xml:space="preserve">外观设计。</w:t>
      </w:r>
      <w:r>
        <w:t xml:space="preserve"> </w:t>
      </w:r>
      <w:r>
        <w:t xml:space="preserve">2072 年眼镜模块的外观已彻底摆脱早期 AR 眼镜的科技感设计——</w:t>
      </w:r>
      <w:r>
        <w:rPr>
          <w:b/>
        </w:rPr>
        <w:t xml:space="preserve">大量产品在外观上与普通眼镜或太阳镜无法区分</w:t>
      </w:r>
      <w:r>
        <w:t xml:space="preserve">，能区分的只有镜腿内侧的极薄传感器条纹。这个设计选择是市场驱动的——在用户研究中，</w:t>
      </w:r>
      <w:r>
        <w:t xml:space="preserve">“</w:t>
      </w:r>
      <w:r>
        <w:t xml:space="preserve">不像戴着设备</w:t>
      </w:r>
      <w:r>
        <w:t xml:space="preserve">”</w:t>
      </w:r>
      <w:r>
        <w:t xml:space="preserve">是最高频的购买理由之一。</w:t>
      </w:r>
    </w:p>
    <w:p>
      <w:pPr>
        <w:pStyle w:val="BodyText"/>
      </w:pPr>
      <w:r>
        <w:rPr>
          <w:b/>
        </w:rPr>
        <w:t xml:space="preserve">使用情景分层。</w:t>
      </w:r>
    </w:p>
    <w:p>
      <w:pPr>
        <w:numPr>
          <w:ilvl w:val="0"/>
          <w:numId w:val="1022"/>
        </w:numPr>
        <w:pStyle w:val="Compact"/>
      </w:pPr>
      <w:r>
        <w:rPr>
          <w:b/>
        </w:rPr>
        <w:t xml:space="preserve">低强度模式</w:t>
      </w:r>
      <w:r>
        <w:t xml:space="preserve">（步行通勤、社交场合）：半透明信息覆盖，优先导航提示、日历提醒、联系人识别。</w:t>
      </w:r>
    </w:p>
    <w:p>
      <w:pPr>
        <w:numPr>
          <w:ilvl w:val="0"/>
          <w:numId w:val="1022"/>
        </w:numPr>
        <w:pStyle w:val="Compact"/>
      </w:pPr>
      <w:r>
        <w:rPr>
          <w:b/>
        </w:rPr>
        <w:t xml:space="preserve">中强度模式</w:t>
      </w:r>
      <w:r>
        <w:t xml:space="preserve">（工作、会议）：沉浸程度可调的虚拟工作台，将 A4 纸大小的信息空间扩展为环绕视野的多屏工作环境。</w:t>
      </w:r>
    </w:p>
    <w:p>
      <w:pPr>
        <w:numPr>
          <w:ilvl w:val="0"/>
          <w:numId w:val="1022"/>
        </w:numPr>
        <w:pStyle w:val="Compact"/>
      </w:pPr>
      <w:r>
        <w:rPr>
          <w:b/>
        </w:rPr>
        <w:t xml:space="preserve">高强度模式</w:t>
      </w:r>
      <w:r>
        <w:t xml:space="preserve">（联网协作、Muule 内使用）：与仿真仓系统兼容的完整沉浸图层，</w:t>
      </w:r>
      <w:r>
        <w:rPr>
          <w:b/>
        </w:rPr>
        <w:t xml:space="preserve">但不提供力反馈</w:t>
      </w:r>
      <w:r>
        <w:t xml:space="preserve">——是仿真仓的便携性补充而非替代。</w:t>
      </w:r>
    </w:p>
    <w:p>
      <w:pPr>
        <w:pStyle w:val="FirstParagraph"/>
      </w:pPr>
      <w:r>
        <w:rPr>
          <w:b/>
        </w:rPr>
        <w:t xml:space="preserve">代际分化。</w:t>
      </w:r>
      <w:r>
        <w:t xml:space="preserve"> </w:t>
      </w:r>
      <w:r>
        <w:t xml:space="preserve">50 岁以上人口中相当比例仍然优先选择手机屏幕——</w:t>
      </w:r>
      <w:r>
        <w:rPr>
          <w:b/>
        </w:rPr>
        <w:t xml:space="preserve">手部操作的触觉反馈和</w:t>
      </w:r>
      <w:r>
        <w:rPr>
          <w:b/>
        </w:rPr>
        <w:t xml:space="preserve">“</w:t>
      </w:r>
      <w:r>
        <w:rPr>
          <w:b/>
        </w:rPr>
        <w:t xml:space="preserve">低头检查</w:t>
      </w:r>
      <w:r>
        <w:rPr>
          <w:b/>
        </w:rPr>
        <w:t xml:space="preserve">”</w:t>
      </w:r>
      <w:r>
        <w:rPr>
          <w:b/>
        </w:rPr>
        <w:t xml:space="preserve">的习惯动作有深层认知惯性</w:t>
      </w:r>
      <w:r>
        <w:t xml:space="preserve">，不随技术可用性的改变而自动消失。30 岁以下人口中</w:t>
      </w:r>
      <w:r>
        <w:t xml:space="preserve">“</w:t>
      </w:r>
      <w:r>
        <w:t xml:space="preserve">有手机无眼镜</w:t>
      </w:r>
      <w:r>
        <w:t xml:space="preserve">”</w:t>
      </w:r>
      <w:r>
        <w:t xml:space="preserve">的组合比例接近零——这一代人在视线输入系统成熟的环境中成长，</w:t>
      </w:r>
      <w:r>
        <w:rPr>
          <w:b/>
        </w:rPr>
        <w:t xml:space="preserve">把视网膜投影当作读写的默认媒介</w:t>
      </w:r>
      <w:r>
        <w:t xml:space="preserve">。</w:t>
      </w:r>
    </w:p>
    <w:p>
      <w:pPr>
        <w:pStyle w:val="Heading3"/>
      </w:pPr>
      <w:bookmarkStart w:id="111" w:name="收束-9"/>
      <w:r>
        <w:t xml:space="preserve">收束</w:t>
      </w:r>
      <w:bookmarkEnd w:id="111"/>
    </w:p>
    <w:p>
      <w:pPr>
        <w:pStyle w:val="FirstParagraph"/>
      </w:pPr>
      <w:r>
        <w:t xml:space="preserve">个人穿戴系统在 2072 年是手机为核心的模块化体系。</w:t>
      </w:r>
      <w:r>
        <w:rPr>
          <w:b/>
        </w:rPr>
        <w:t xml:space="preserve">眼镜模块是让</w:t>
      </w:r>
      <w:r>
        <w:rPr>
          <w:b/>
        </w:rPr>
        <w:t xml:space="preserve">“</w:t>
      </w:r>
      <w:r>
        <w:rPr>
          <w:b/>
        </w:rPr>
        <w:t xml:space="preserve">手机是一切</w:t>
      </w:r>
      <w:r>
        <w:rPr>
          <w:b/>
        </w:rPr>
        <w:t xml:space="preserve">”</w:t>
      </w:r>
      <w:r>
        <w:rPr>
          <w:b/>
        </w:rPr>
        <w:t xml:space="preserve">这个命题在物理上成立的最后一块拼图</w:t>
      </w:r>
      <w:r>
        <w:t xml:space="preserve">——手机处理身份与算力，眼镜处理感知与显示，指环处理输入，Muule 处理移动——四件设备共同构成一个人在城市集群里的完整数字延伸。下一节（7.3）展开 Muule。</w:t>
      </w:r>
    </w:p>
    <w:p>
      <w:pPr>
        <w:pStyle w:val="Heading2"/>
      </w:pPr>
      <w:bookmarkStart w:id="112" w:name="muule个人运动模块"/>
      <w:r>
        <w:t xml:space="preserve">7.3　Muule：个人运动模块</w:t>
      </w:r>
      <w:bookmarkEnd w:id="112"/>
    </w:p>
    <w:p>
      <w:pPr>
        <w:pStyle w:val="FirstParagraph"/>
      </w:pPr>
      <w:r>
        <w:rPr>
          <w:b/>
        </w:rPr>
        <w:t xml:space="preserve">Muule（个人运动模块）是 2072 年城市集群里最常见的个人交通工具</w:t>
      </w:r>
      <w:r>
        <w:t xml:space="preserve">，名称来自骡（mule）——耐力强、可靠、跟着你走、做好分内的事。设计核心逻辑是：</w:t>
      </w:r>
      <w:r>
        <w:rPr>
          <w:b/>
        </w:rPr>
        <w:t xml:space="preserve">两轮形态轻量紧凑服务于步行跟随，四轮形态服务于一切行车场景，高速时由道路管理系统接管控制，电力完全由车载电池提供</w:t>
      </w:r>
      <w:r>
        <w:t xml:space="preserve">。</w:t>
      </w:r>
    </w:p>
    <w:p>
      <w:pPr>
        <w:pStyle w:val="BodyText"/>
      </w:pPr>
      <w:r>
        <w:t xml:space="preserve">基础形态是左右各一主轮、中间乘客舱的两轮平衡车（主轮径 0.60 米，空载约 92 kg），专用于人行道步行跟随和低于 20 km/h 的极低速移动。进入行车道前，用户在路缘变形区站于车外，Muule 自动展开辅助轮——与主轮同径的从动轮，平时折叠收纳于车体后侧——</w:t>
      </w:r>
      <w:r>
        <w:rPr>
          <w:b/>
        </w:rPr>
        <w:t xml:space="preserve">辅助轮就位后车体向后倾倒约 45 度，重心随之从约 0.65 米降至约 0.55 米，整个变形过程约 3 秒</w:t>
      </w:r>
      <w:r>
        <w:t xml:space="preserve">。变形完成后用户上车，舱门关闭，Muule 驶入行车道。乘客从前部上掀式舱门进入，行驶时舱体全封闭隔绝气流。</w:t>
      </w:r>
    </w:p>
    <w:p>
      <w:pPr>
        <w:pStyle w:val="BodyText"/>
      </w:pPr>
      <w:r>
        <w:t xml:space="preserve">完整技术参数详见附件《Muule 技术规格》。</w:t>
      </w:r>
    </w:p>
    <w:p>
      <w:pPr>
        <w:pStyle w:val="Heading3"/>
      </w:pPr>
      <w:bookmarkStart w:id="113" w:name="控制架构始终连接自动驾驶为默认"/>
      <w:r>
        <w:t xml:space="preserve">7.3.1　控制架构：始终连接，自动驾驶为默认</w:t>
      </w:r>
      <w:bookmarkEnd w:id="113"/>
    </w:p>
    <w:p>
      <w:pPr>
        <w:pStyle w:val="FirstParagraph"/>
      </w:pPr>
      <w:r>
        <w:t xml:space="preserve">Muule 无论速度和形态，</w:t>
      </w:r>
      <w:r>
        <w:rPr>
          <w:b/>
        </w:rPr>
        <w:t xml:space="preserve">始终与城市道路系统保持连接</w:t>
      </w:r>
      <w:r>
        <w:t xml:space="preserve">。自动驾驶是默认模式——用户输入目的地，系统规划路径，自动驾驶到达。用户可以随时接管手动控制，也可以随时交还系统。</w:t>
      </w:r>
      <w:r>
        <w:rPr>
          <w:b/>
        </w:rPr>
        <w:t xml:space="preserve">道路系统在城市低速段同样管理 Muule 的位置、速度和路径，与高速段是同一套基础设施的延伸</w:t>
      </w:r>
      <w:r>
        <w:t xml:space="preserve">，而非两套独立系统。</w:t>
      </w:r>
    </w:p>
    <w:p>
      <w:pPr>
        <w:pStyle w:val="BodyText"/>
      </w:pPr>
      <w:r>
        <w:t xml:space="preserve">两轮和四轮形态由使用场景决定，不是用户的偏好选择。两轮形态专属于步行跟随和低于 20 km/h 的极低速场景；进入行车道一律使用四轮形态。变形在用户车外静止完成，</w:t>
      </w:r>
      <w:r>
        <w:rPr>
          <w:b/>
        </w:rPr>
        <w:t xml:space="preserve">是进出行车道的标准流程</w:t>
      </w:r>
      <w:r>
        <w:t xml:space="preserve">——用户步行到达路缘变形区，Muule 完成变形，用户上车驶入道路；到达目的地后反向操作。</w:t>
      </w:r>
      <w:r>
        <w:rPr>
          <w:b/>
        </w:rPr>
        <w:t xml:space="preserve">这个上车—驶行—下车—跟随的节律，是 2072 年城市出行的日常结构</w:t>
      </w:r>
      <w:r>
        <w:t xml:space="preserve">。</w:t>
      </w:r>
    </w:p>
    <w:p>
      <w:pPr>
        <w:pStyle w:val="Heading3"/>
      </w:pPr>
      <w:bookmarkStart w:id="114" w:name="四种工作状态"/>
      <w:r>
        <w:t xml:space="preserve">7.3.2　四种工作状态</w:t>
      </w:r>
      <w:bookmarkEnd w:id="114"/>
    </w:p>
    <w:p>
      <w:pPr>
        <w:numPr>
          <w:ilvl w:val="0"/>
          <w:numId w:val="1023"/>
        </w:numPr>
        <w:pStyle w:val="Compact"/>
      </w:pPr>
      <w:r>
        <w:rPr>
          <w:b/>
        </w:rPr>
        <w:t xml:space="preserve">步行跟随</w:t>
      </w:r>
      <w:r>
        <w:t xml:space="preserve">（两轮形态，用户步行时）：通过手机 UWB 精确定位，以步行速度自动跟随，自动避障，停下时原地等待。速度上限 20 km/h。</w:t>
      </w:r>
    </w:p>
    <w:p>
      <w:pPr>
        <w:numPr>
          <w:ilvl w:val="0"/>
          <w:numId w:val="1023"/>
        </w:numPr>
        <w:pStyle w:val="Compact"/>
      </w:pPr>
      <w:r>
        <w:rPr>
          <w:b/>
        </w:rPr>
        <w:t xml:space="preserve">城市自动驾驶</w:t>
      </w:r>
      <w:r>
        <w:t xml:space="preserve">（四轮形态，用户乘坐时）：城市一般道路限速约 70 km/h，城市快速路约 100 km/h，手动接管随时可用。舱体封闭，乘员半躺，可通过眼镜模块处理信息。</w:t>
      </w:r>
    </w:p>
    <w:p>
      <w:pPr>
        <w:numPr>
          <w:ilvl w:val="0"/>
          <w:numId w:val="1023"/>
        </w:numPr>
        <w:pStyle w:val="Compact"/>
      </w:pPr>
      <w:r>
        <w:rPr>
          <w:b/>
        </w:rPr>
        <w:t xml:space="preserve">高速全自动</w:t>
      </w:r>
      <w:r>
        <w:t xml:space="preserve">（四轮形态，进入全控高速路段后）：道路系统接管控制权，最高时速 160 km/h。间距控制、出口减速全部由系统执行，用户保留修改目的地的导航决策权。</w:t>
      </w:r>
    </w:p>
    <w:p>
      <w:pPr>
        <w:numPr>
          <w:ilvl w:val="0"/>
          <w:numId w:val="1023"/>
        </w:numPr>
        <w:pStyle w:val="Compact"/>
      </w:pPr>
      <w:r>
        <w:rPr>
          <w:b/>
        </w:rPr>
        <w:t xml:space="preserve">失电推行</w:t>
      </w:r>
      <w:r>
        <w:t xml:space="preserve">（两轮形态，应急）：在行车道外低速区段电池耗尽时，用户打开舱门，站于两轮之间推行至最近换电站。空载 92 kg 使推行在体力上可行。高速行驶中电量耗尽由系统预判并在此前提示出口换电。</w:t>
      </w:r>
    </w:p>
    <w:p>
      <w:pPr>
        <w:pStyle w:val="Heading3"/>
      </w:pPr>
      <w:bookmarkStart w:id="115" w:name="电池与自动换电体系"/>
      <w:r>
        <w:t xml:space="preserve">7.3.3　电池与自动换电体系</w:t>
      </w:r>
      <w:bookmarkEnd w:id="115"/>
    </w:p>
    <w:p>
      <w:pPr>
        <w:pStyle w:val="FirstParagraph"/>
      </w:pPr>
      <w:r>
        <w:t xml:space="preserve">车载固态电池 5—7 kWh，重约 12 kg，低速模式约 50 公里续航，高速模式约 50—70 公里续航。高速路全程由电池供电，</w:t>
      </w:r>
      <w:r>
        <w:rPr>
          <w:b/>
        </w:rPr>
        <w:t xml:space="preserve">不依赖路面基础设施提供能量</w:t>
      </w:r>
      <w:r>
        <w:t xml:space="preserve">。电池是系统的主要持续成本——固态电池到 2072 年约 15—25 美元/kWh（以 2025 年美元购买力为基准），循环寿命约 2000—5000 次，高频使用下约半年至一年半需要更换。</w:t>
      </w:r>
      <w:r>
        <w:rPr>
          <w:b/>
        </w:rPr>
        <w:t xml:space="preserve">这个消耗性成本使换电站网络的经济可行边界与物流密度直接挂钩，不会无限扩展。</w:t>
      </w:r>
    </w:p>
    <w:p>
      <w:pPr>
        <w:pStyle w:val="BodyText"/>
      </w:pPr>
      <w:r>
        <w:rPr>
          <w:b/>
        </w:rPr>
        <w:t xml:space="preserve">入口自动换电。</w:t>
      </w:r>
      <w:r>
        <w:t xml:space="preserve"> </w:t>
      </w:r>
      <w:r>
        <w:t xml:space="preserve">用户在路缘变形区下车，Muule 完成四轮变形后自动驶入入口检查区和换电区——收取当前状态电池并给出评估价，换入满电电池。电池规格由系统根据用户目的地自动选择：城市间短途换入标准电池；跨集群长途（超过 50 公里高速段）系统建议换入大容量电池（标准的两到三倍），以覆盖全程而无需途中停站。</w:t>
      </w:r>
    </w:p>
    <w:p>
      <w:pPr>
        <w:pStyle w:val="BodyText"/>
      </w:pPr>
      <w:r>
        <w:rPr>
          <w:b/>
        </w:rPr>
        <w:t xml:space="preserve">中途出口换电。</w:t>
      </w:r>
      <w:r>
        <w:t xml:space="preserve"> </w:t>
      </w:r>
      <w:r>
        <w:t xml:space="preserve">道路系统持续监测车辆电量与导航目标，当预测电量无法抵达下一出口时，提前约 15 公里发出第一次提示，引导用户在最近的高速出口或途中休息站驶出换电，换电约 3 分钟完成。</w:t>
      </w:r>
    </w:p>
    <w:p>
      <w:pPr>
        <w:pStyle w:val="BodyText"/>
      </w:pPr>
      <w:r>
        <w:rPr>
          <w:b/>
        </w:rPr>
        <w:t xml:space="preserve">出口自动换电。</w:t>
      </w:r>
      <w:r>
        <w:t xml:space="preserve"> </w:t>
      </w:r>
      <w:r>
        <w:t xml:space="preserve">道路系统在出口匝道减速，车辆降至低速后退出系统控制。出口换电区换出高速行驶后的电池并给出评估价，与入口评估价合并统一计费结算。</w:t>
      </w:r>
    </w:p>
    <w:p>
      <w:pPr>
        <w:pStyle w:val="Heading3"/>
      </w:pPr>
      <w:bookmarkStart w:id="116" w:name="停放作为基础设施的停放桩"/>
      <w:r>
        <w:t xml:space="preserve">7.3.4　停放：作为基础设施的停放桩</w:t>
      </w:r>
      <w:bookmarkEnd w:id="116"/>
    </w:p>
    <w:p>
      <w:pPr>
        <w:pStyle w:val="FirstParagraph"/>
      </w:pPr>
      <w:r>
        <w:t xml:space="preserve">Muule 空载 92 kg，无法像自行车一样手提进室内，停放需要专用空间。</w:t>
      </w:r>
      <w:r>
        <w:rPr>
          <w:b/>
        </w:rPr>
        <w:t xml:space="preserve">但 Muule 占地约 0.6 m × 1.2 m（两轮形态），同样面积可以停放 8—10 台 Muule，相当于停 1 辆汽车的空间</w:t>
      </w:r>
      <w:r>
        <w:t xml:space="preserve">。停放效率极高，改造成本极低——今天用于停汽车的地下室和停车场，在 2072 年大量空置，</w:t>
      </w:r>
      <w:r>
        <w:rPr>
          <w:b/>
        </w:rPr>
        <w:t xml:space="preserve">改造为 Muule 停放区是自然的空间再利用</w:t>
      </w:r>
      <w:r>
        <w:t xml:space="preserve">。</w:t>
      </w:r>
    </w:p>
    <w:p>
      <w:pPr>
        <w:pStyle w:val="BodyText"/>
      </w:pPr>
      <w:r>
        <w:t xml:space="preserve">各公私部门提供室内停放是自发演化的结果：办公楼、商场、餐厅、医院、学校提供停放桩，吸引使用 Muule 出行的用户。</w:t>
      </w:r>
      <w:r>
        <w:rPr>
          <w:b/>
        </w:rPr>
        <w:t xml:space="preserve">停放桩提供标准充电接口</w:t>
      </w:r>
      <w:r>
        <w:t xml:space="preserve">，Muule 停稳后自动对接慢充。Muule 停放桩的密度与今天的电源插座或 WiFi 接入点密度类似——</w:t>
      </w:r>
      <w:r>
        <w:rPr>
          <w:b/>
        </w:rPr>
        <w:t xml:space="preserve">城市集群里无处不在，郊区稀疏，遗忘地带没有</w:t>
      </w:r>
      <w:r>
        <w:t xml:space="preserve">。</w:t>
      </w:r>
    </w:p>
    <w:p>
      <w:pPr>
        <w:pStyle w:val="Heading3"/>
      </w:pPr>
      <w:bookmarkStart w:id="117" w:name="手机muule-整合数字身份的物理延伸"/>
      <w:r>
        <w:t xml:space="preserve">7.3.5　手机—Muule 整合：数字身份的物理延伸</w:t>
      </w:r>
      <w:bookmarkEnd w:id="117"/>
    </w:p>
    <w:p>
      <w:pPr>
        <w:pStyle w:val="FirstParagraph"/>
      </w:pPr>
      <w:r>
        <w:t xml:space="preserve">Muule 没有独立的用户界面——</w:t>
      </w:r>
      <w:r>
        <w:rPr>
          <w:b/>
        </w:rPr>
        <w:t xml:space="preserve">无仪表盘，无车载屏幕</w:t>
      </w:r>
      <w:r>
        <w:t xml:space="preserve">。所有信息通过眼镜模块或手机显示，所有控制通过手机或指环模块输入。</w:t>
      </w:r>
      <w:r>
        <w:rPr>
          <w:b/>
        </w:rPr>
        <w:t xml:space="preserve">手机是 Muule 的大脑，Muule 是手机用户的腿</w:t>
      </w:r>
      <w:r>
        <w:t xml:space="preserve">。两者构成一个系统，分开都不完整。</w:t>
      </w:r>
    </w:p>
    <w:p>
      <w:pPr>
        <w:pStyle w:val="BodyText"/>
      </w:pPr>
      <w:r>
        <w:rPr>
          <w:b/>
        </w:rPr>
        <w:t xml:space="preserve">城市交通系统注册。</w:t>
      </w:r>
      <w:r>
        <w:t xml:space="preserve"> </w:t>
      </w:r>
      <w:r>
        <w:t xml:space="preserve">每台 Muule 在城市交通系统注册，持有唯一数字身份，与用户手机强绑定，与道路管理系统实时通信。</w:t>
      </w:r>
      <w:r>
        <w:rPr>
          <w:b/>
        </w:rPr>
        <w:t xml:space="preserve">注册系统使盗窃在实践上几乎没有意义</w:t>
      </w:r>
      <w:r>
        <w:t xml:space="preserve">：没有对应手机无法启动，无法接入城市交通网络，无法转售，残值只剩材料本身。</w:t>
      </w:r>
    </w:p>
    <w:p>
      <w:pPr>
        <w:pStyle w:val="BodyText"/>
      </w:pPr>
      <w:r>
        <w:rPr>
          <w:b/>
        </w:rPr>
        <w:t xml:space="preserve">与配给和监控体系的整合。</w:t>
      </w:r>
      <w:r>
        <w:t xml:space="preserve"> </w:t>
      </w:r>
      <w:r>
        <w:t xml:space="preserve">Muule 移动轨迹是用户位置数据的组成部分，是配给监控体系信息副产品的日常来源。用户知道这一点，就像今天人们知道手机定位一样，选择接受换取便利。</w:t>
      </w:r>
      <w:r>
        <w:rPr>
          <w:b/>
        </w:rPr>
        <w:t xml:space="preserve">步行跟随模式下 Muule 始终在用户身后 2 米，这使监控粒度比仅靠手机更细</w:t>
      </w:r>
      <w:r>
        <w:t xml:space="preserve">——不只是用户在哪里，是用户在做什么（步行、低速骑行、高速巡航），是城市管理系统最密集的行为数据来源之一。</w:t>
      </w:r>
    </w:p>
    <w:p>
      <w:pPr>
        <w:pStyle w:val="Heading3"/>
      </w:pPr>
      <w:bookmarkStart w:id="118" w:name="设计哲学"/>
      <w:r>
        <w:t xml:space="preserve">7.3.6　设计哲学</w:t>
      </w:r>
      <w:bookmarkEnd w:id="118"/>
    </w:p>
    <w:p>
      <w:pPr>
        <w:pStyle w:val="FirstParagraph"/>
      </w:pPr>
      <w:r>
        <w:t xml:space="preserve">2072 年的个人设备哲学在手机模块系统和 Muule 上同时体现，不是偶然的两个产品特征，</w:t>
      </w:r>
      <w:r>
        <w:rPr>
          <w:b/>
        </w:rPr>
        <w:t xml:space="preserve">是同一设计语言的两个实例</w:t>
      </w:r>
      <w:r>
        <w:t xml:space="preserve">：核心极简，网络整合，功能扩展。</w:t>
      </w:r>
    </w:p>
    <w:p>
      <w:pPr>
        <w:pStyle w:val="BodyText"/>
      </w:pPr>
      <w:r>
        <w:rPr>
          <w:b/>
        </w:rPr>
        <w:t xml:space="preserve">Muule 跟在用户身后 2 米，手机在用户口袋——</w:t>
      </w:r>
      <w:r>
        <w:rPr>
          <w:b/>
        </w:rPr>
        <w:t xml:space="preserve">“</w:t>
      </w:r>
      <w:r>
        <w:rPr>
          <w:b/>
        </w:rPr>
        <w:t xml:space="preserve">随身设备</w:t>
      </w:r>
      <w:r>
        <w:rPr>
          <w:b/>
        </w:rPr>
        <w:t xml:space="preserve">”</w:t>
      </w:r>
      <w:r>
        <w:rPr>
          <w:b/>
        </w:rPr>
        <w:t xml:space="preserve">的含义不是物理携带，是功能性的始终可及。</w:t>
      </w:r>
      <w:r>
        <w:t xml:space="preserve"> </w:t>
      </w:r>
      <w:r>
        <w:t xml:space="preserve">停放是</w:t>
      </w:r>
      <w:r>
        <w:t xml:space="preserve">“</w:t>
      </w:r>
      <w:r>
        <w:t xml:space="preserve">搁置</w:t>
      </w:r>
      <w:r>
        <w:t xml:space="preserve">”</w:t>
      </w:r>
      <w:r>
        <w:t xml:space="preserve">而不是</w:t>
      </w:r>
      <w:r>
        <w:t xml:space="preserve">“</w:t>
      </w:r>
      <w:r>
        <w:t xml:space="preserve">停车</w:t>
      </w:r>
      <w:r>
        <w:t xml:space="preserve">”</w:t>
      </w:r>
      <w:r>
        <w:t xml:space="preserve">：Muule 停在最近的停放桩充电，随时可以唤醒出发，就像手机放在充电座上。</w:t>
      </w:r>
    </w:p>
    <w:p>
      <w:pPr>
        <w:pStyle w:val="Heading3"/>
      </w:pPr>
      <w:bookmarkStart w:id="119" w:name="高铁载车模式"/>
      <w:r>
        <w:t xml:space="preserve">7.3.7　高铁载车模式</w:t>
      </w:r>
      <w:bookmarkEnd w:id="119"/>
    </w:p>
    <w:p>
      <w:pPr>
        <w:pStyle w:val="FirstParagraph"/>
      </w:pPr>
      <w:r>
        <w:t xml:space="preserve">Muule 可以直接驶入高铁车厢，</w:t>
      </w:r>
      <w:r>
        <w:rPr>
          <w:b/>
        </w:rPr>
        <w:t xml:space="preserve">实现城市间长途移动而无需换乘</w:t>
      </w:r>
      <w:r>
        <w:t xml:space="preserve">。高铁站设三类专用通道：步行旅客通道、车辆通道（Muule 驶入车载舱）、货运通道。</w:t>
      </w:r>
    </w:p>
    <w:p>
      <w:pPr>
        <w:pStyle w:val="BodyText"/>
      </w:pPr>
      <w:r>
        <w:rPr>
          <w:b/>
        </w:rPr>
        <w:t xml:space="preserve">车厢慢充：高铁载车模式最优雅的设计点。</w:t>
      </w:r>
      <w:r>
        <w:t xml:space="preserve"> </w:t>
      </w:r>
      <w:r>
        <w:t xml:space="preserve">Muule 停稳锁定后，车厢供电接口自动与 Muule 电池对接，利用高铁行驶时间完成慢充。高铁到站时电池已充满，</w:t>
      </w:r>
      <w:r>
        <w:rPr>
          <w:b/>
        </w:rPr>
        <w:t xml:space="preserve">无需在目的地换电，直接驶出进入城市低速网络</w:t>
      </w:r>
      <w:r>
        <w:t xml:space="preserve">——高铁的电力（聚变时代成本极低）在运输时间内完成充电，不增加任何额外停留。</w:t>
      </w:r>
    </w:p>
    <w:p>
      <w:pPr>
        <w:pStyle w:val="BodyText"/>
      </w:pPr>
      <w:r>
        <w:rPr>
          <w:b/>
        </w:rPr>
        <w:t xml:space="preserve">乘客可留在 Muule 内或步行至旅客区。</w:t>
      </w:r>
      <w:r>
        <w:t xml:space="preserve"> </w:t>
      </w:r>
      <w:r>
        <w:t xml:space="preserve">舱体与车厢之间有减振连接隔绝高铁振动。乘客座椅可通过电动调节从低速驾驶姿态变为半卧休息姿态。仿真仓头盔在 Muule 内同样可以使用——乘客可以睡觉、使用仿真头盔或处理信息。</w:t>
      </w:r>
    </w:p>
    <w:p>
      <w:pPr>
        <w:pStyle w:val="BodyText"/>
      </w:pPr>
      <w:r>
        <w:rPr>
          <w:b/>
        </w:rPr>
        <w:t xml:space="preserve">高铁 + Muule 的组合使城市间移动从</w:t>
      </w:r>
      <w:r>
        <w:rPr>
          <w:b/>
        </w:rPr>
        <w:t xml:space="preserve">“</w:t>
      </w:r>
      <w:r>
        <w:rPr>
          <w:b/>
        </w:rPr>
        <w:t xml:space="preserve">停车 → 买票 → 候车 → 换乘</w:t>
      </w:r>
      <w:r>
        <w:rPr>
          <w:b/>
        </w:rPr>
        <w:t xml:space="preserve">”</w:t>
      </w:r>
      <w:r>
        <w:rPr>
          <w:b/>
        </w:rPr>
        <w:t xml:space="preserve">变为</w:t>
      </w:r>
      <w:r>
        <w:rPr>
          <w:b/>
        </w:rPr>
        <w:t xml:space="preserve">“</w:t>
      </w:r>
      <w:r>
        <w:rPr>
          <w:b/>
        </w:rPr>
        <w:t xml:space="preserve">直接驶入 → 到站驶出</w:t>
      </w:r>
      <w:r>
        <w:rPr>
          <w:b/>
        </w:rPr>
        <w:t xml:space="preserve">”</w:t>
      </w:r>
      <w:r>
        <w:rPr>
          <w:b/>
        </w:rPr>
        <w:t xml:space="preserve">的连续体验。</w:t>
      </w:r>
    </w:p>
    <w:p>
      <w:pPr>
        <w:pStyle w:val="Heading3"/>
      </w:pPr>
      <w:bookmarkStart w:id="120" w:name="货舱扩展"/>
      <w:r>
        <w:t xml:space="preserve">7.3.8　货舱扩展</w:t>
      </w:r>
      <w:bookmarkEnd w:id="120"/>
    </w:p>
    <w:p>
      <w:pPr>
        <w:pStyle w:val="FirstParagraph"/>
      </w:pPr>
      <w:r>
        <w:t xml:space="preserve">Muule 四轮状态下，后方设标准货舱接口。</w:t>
      </w:r>
      <w:r>
        <w:rPr>
          <w:b/>
        </w:rPr>
        <w:t xml:space="preserve">货舱是独立模块</w:t>
      </w:r>
      <w:r>
        <w:t xml:space="preserve">，有自己的两个小轮（约 Ø 0.2 m），有折叠手柄，</w:t>
      </w:r>
      <w:r>
        <w:rPr>
          <w:b/>
        </w:rPr>
        <w:t xml:space="preserve">脱离 Muule 后可以像行李箱一样手动拖行</w:t>
      </w:r>
      <w:r>
        <w:t xml:space="preserve">进入建筑、超市、市场等 Muule 无法进入的空间。货舱容积约 60—80 升，最大载重约 30—50 kg。</w:t>
      </w:r>
    </w:p>
    <w:p>
      <w:pPr>
        <w:pStyle w:val="BodyText"/>
      </w:pPr>
      <w:r>
        <w:rPr>
          <w:b/>
        </w:rPr>
        <w:t xml:space="preserve">城市低速模式：分离拖行。</w:t>
      </w:r>
      <w:r>
        <w:t xml:space="preserve"> </w:t>
      </w:r>
      <w:r>
        <w:t xml:space="preserve">用户到达目的地，触发四轮收合指令，Muule 恢复两轮形态。按钮解锁货舱，从 Muule 后方抽出，展开拖轮和手柄，手动拖行进入建筑。</w:t>
      </w:r>
      <w:r>
        <w:rPr>
          <w:b/>
        </w:rPr>
        <w:t xml:space="preserve">完全继承行李箱的拖行体验，学习成本为零。</w:t>
      </w:r>
      <w:r>
        <w:t xml:space="preserve"> </w:t>
      </w:r>
      <w:r>
        <w:t xml:space="preserve">前后各一个接口允许同时挂接两个货舱，是 2072 年版本的日常采购车。</w:t>
      </w:r>
    </w:p>
    <w:p>
      <w:pPr>
        <w:pStyle w:val="BodyText"/>
      </w:pPr>
      <w:r>
        <w:rPr>
          <w:b/>
        </w:rPr>
        <w:t xml:space="preserve">四轮货运形态：流线整合，允许高速。</w:t>
      </w:r>
      <w:r>
        <w:t xml:space="preserve"> </w:t>
      </w:r>
      <w:r>
        <w:t xml:space="preserve">货舱从后方沿主舱导轨滑入，到位后侧面锁扣自动锁定，</w:t>
      </w:r>
      <w:r>
        <w:rPr>
          <w:b/>
        </w:rPr>
        <w:t xml:space="preserve">货舱顶面与主舱顶面齐平，整体轮廓从侧面看是连续楔形</w:t>
      </w:r>
      <w:r>
        <w:t xml:space="preserve">——不是</w:t>
      </w:r>
      <w:r>
        <w:t xml:space="preserve">“</w:t>
      </w:r>
      <w:r>
        <w:t xml:space="preserve">车+拖斗</w:t>
      </w:r>
      <w:r>
        <w:t xml:space="preserve">”</w:t>
      </w:r>
      <w:r>
        <w:t xml:space="preserve">的分段形态，是一个完整的流线型车体。这个形态在 160 km/h 下的空气阻力远低于后挂拖斗，道路管理系统允许进入全控高速路段。</w:t>
      </w:r>
    </w:p>
    <w:p>
      <w:pPr>
        <w:pStyle w:val="BodyText"/>
      </w:pPr>
      <w:r>
        <w:rPr>
          <w:b/>
        </w:rPr>
        <w:t xml:space="preserve">三种整体形态：</w:t>
      </w:r>
      <w:r>
        <w:t xml:space="preserve"> </w:t>
      </w:r>
      <w:r>
        <w:t xml:space="preserve">- 两轮标准形态（步行跟随，无货舱）——细长直立，高重心。</w:t>
      </w:r>
      <w:r>
        <w:t xml:space="preserve"> </w:t>
      </w:r>
      <w:r>
        <w:t xml:space="preserve">- 四轮展开形态（行车，无货舱）——车体向后倾倒约 45 度，低矮后趴，楔形侧面。</w:t>
      </w:r>
      <w:r>
        <w:t xml:space="preserve"> </w:t>
      </w:r>
      <w:r>
        <w:t xml:space="preserve">- 四轮货运形态（行车，有货舱结合）——比无货舱状态略长，更完整的流线型车体。</w:t>
      </w:r>
    </w:p>
    <w:p>
      <w:pPr>
        <w:pStyle w:val="BodyText"/>
      </w:pPr>
      <w:r>
        <w:rPr>
          <w:b/>
        </w:rPr>
        <w:t xml:space="preserve">三种形态的变化是 Muule</w:t>
      </w:r>
      <w:r>
        <w:rPr>
          <w:b/>
        </w:rPr>
        <w:t xml:space="preserve">“</w:t>
      </w:r>
      <w:r>
        <w:rPr>
          <w:b/>
        </w:rPr>
        <w:t xml:space="preserve">随身设备</w:t>
      </w:r>
      <w:r>
        <w:rPr>
          <w:b/>
        </w:rPr>
        <w:t xml:space="preserve">”</w:t>
      </w:r>
      <w:r>
        <w:rPr>
          <w:b/>
        </w:rPr>
        <w:t xml:space="preserve">概念的物理表达</w:t>
      </w:r>
      <w:r>
        <w:t xml:space="preserve">——它根据需要变形，不是固定形态的交通工具。</w:t>
      </w:r>
    </w:p>
    <w:p>
      <w:pPr>
        <w:pStyle w:val="Heading3"/>
      </w:pPr>
      <w:bookmarkStart w:id="121" w:name="完整数字物理延伸"/>
      <w:r>
        <w:t xml:space="preserve">7.3.9　完整数字—物理延伸</w:t>
      </w:r>
      <w:bookmarkEnd w:id="121"/>
    </w:p>
    <w:p>
      <w:pPr>
        <w:pStyle w:val="FirstParagraph"/>
      </w:pPr>
      <w:r>
        <w:t xml:space="preserve">仿真仓、手机模块系统与 Muule 共同构成 2072 年城市集群居民的完整数字—物理延伸基础设施，三者覆盖不同的体验层次和空间尺度，</w:t>
      </w:r>
      <w:r>
        <w:rPr>
          <w:b/>
        </w:rPr>
        <w:t xml:space="preserve">互补而不重叠</w:t>
      </w:r>
      <w:r>
        <w:t xml:space="preserve">：</w:t>
      </w:r>
    </w:p>
    <w:p>
      <w:pPr>
        <w:numPr>
          <w:ilvl w:val="0"/>
          <w:numId w:val="1024"/>
        </w:numPr>
        <w:pStyle w:val="Compact"/>
      </w:pPr>
      <w:r>
        <w:rPr>
          <w:b/>
        </w:rPr>
        <w:t xml:space="preserve">手机模块系统：数字存在的基础层。</w:t>
      </w:r>
      <w:r>
        <w:t xml:space="preserve"> </w:t>
      </w:r>
      <w:r>
        <w:t xml:space="preserve">“</w:t>
      </w:r>
      <w:r>
        <w:t xml:space="preserve">80% 时间、20% 深度需求</w:t>
      </w:r>
      <w:r>
        <w:t xml:space="preserve">”</w:t>
      </w:r>
      <w:r>
        <w:t xml:space="preserve">的日常数字生活层。</w:t>
      </w:r>
    </w:p>
    <w:p>
      <w:pPr>
        <w:numPr>
          <w:ilvl w:val="0"/>
          <w:numId w:val="1024"/>
        </w:numPr>
        <w:pStyle w:val="Compact"/>
      </w:pPr>
      <w:r>
        <w:rPr>
          <w:b/>
        </w:rPr>
        <w:t xml:space="preserve">仿真仓：深度沉浸的专属层。</w:t>
      </w:r>
      <w:r>
        <w:t xml:space="preserve"> </w:t>
      </w:r>
      <w:r>
        <w:t xml:space="preserve">“</w:t>
      </w:r>
      <w:r>
        <w:t xml:space="preserve">20% 时间、80% 深度需求</w:t>
      </w:r>
      <w:r>
        <w:t xml:space="preserve">”</w:t>
      </w:r>
      <w:r>
        <w:t xml:space="preserve">的专属沉浸层。</w:t>
      </w:r>
    </w:p>
    <w:p>
      <w:pPr>
        <w:numPr>
          <w:ilvl w:val="0"/>
          <w:numId w:val="1024"/>
        </w:numPr>
        <w:pStyle w:val="Compact"/>
      </w:pPr>
      <w:r>
        <w:rPr>
          <w:b/>
        </w:rPr>
        <w:t xml:space="preserve">Muule：物理移动的基础层。</w:t>
      </w:r>
      <w:r>
        <w:t xml:space="preserve"> </w:t>
      </w:r>
      <w:r>
        <w:t xml:space="preserve">手机和仿真仓都无法替代的维度——人在物理空间中的实际位移。</w:t>
      </w:r>
    </w:p>
    <w:p>
      <w:pPr>
        <w:pStyle w:val="FirstParagraph"/>
      </w:pPr>
      <w:r>
        <w:rPr>
          <w:b/>
        </w:rPr>
        <w:t xml:space="preserve">三者的组合基本满足城市集群居民的工作、娱乐和移动需求。</w:t>
      </w:r>
      <w:r>
        <w:t xml:space="preserve"> </w:t>
      </w:r>
      <w:r>
        <w:t xml:space="preserve">“</w:t>
      </w:r>
      <w:r>
        <w:t xml:space="preserve">基本满足</w:t>
      </w:r>
      <w:r>
        <w:t xml:space="preserve">”</w:t>
      </w:r>
      <w:r>
        <w:t xml:space="preserve">有真实的边界：真实人际见面的偶然性和不可预测性、真实自然体验的无限细节、真实食物的味觉——这些无法被数字设备完整替代。</w:t>
      </w:r>
      <w:r>
        <w:rPr>
          <w:b/>
        </w:rPr>
        <w:t xml:space="preserve">但 2072 年的人对</w:t>
      </w:r>
      <w:r>
        <w:rPr>
          <w:b/>
        </w:rPr>
        <w:t xml:space="preserve">“</w:t>
      </w:r>
      <w:r>
        <w:rPr>
          <w:b/>
        </w:rPr>
        <w:t xml:space="preserve">足够</w:t>
      </w:r>
      <w:r>
        <w:rPr>
          <w:b/>
        </w:rPr>
        <w:t xml:space="preserve">”</w:t>
      </w:r>
      <w:r>
        <w:rPr>
          <w:b/>
        </w:rPr>
        <w:t xml:space="preserve">的定义已经发生了移动</w:t>
      </w:r>
      <w:r>
        <w:t xml:space="preserve">，这个边界的移动本身是 2072 年社会变迁的一部分。</w:t>
      </w:r>
    </w:p>
    <w:p>
      <w:pPr>
        <w:pStyle w:val="BodyText"/>
      </w:pPr>
      <w:r>
        <w:rPr>
          <w:b/>
        </w:rPr>
        <w:t xml:space="preserve">两条路径的差异化社会后果。</w:t>
      </w:r>
      <w:r>
        <w:t xml:space="preserve"> </w:t>
      </w:r>
      <w:r>
        <w:t xml:space="preserve">美式路径下，仿真仓普及加速了</w:t>
      </w:r>
      <w:r>
        <w:t xml:space="preserve">“</w:t>
      </w:r>
      <w:r>
        <w:t xml:space="preserve">孤立舒适化</w:t>
      </w:r>
      <w:r>
        <w:t xml:space="preserve">”</w:t>
      </w:r>
      <w:r>
        <w:t xml:space="preserve">——在舱内可以有完整的社交、冒险、成就，出舱后真实世界显得苍白；数字身份与物理身份逐渐分离。中国路径下，游戏时长和内容受 AI 治理体系监控，过度使用会触发干预；Muule 移动数据直接纳入社会管理系统，</w:t>
      </w:r>
      <w:r>
        <w:rPr>
          <w:b/>
        </w:rPr>
        <w:t xml:space="preserve">数字设备是监控的基础设施而非仅仅是工具</w:t>
      </w:r>
      <w:r>
        <w:t xml:space="preserve">。同样的三件设备，在两条路径里产生完全不同的社会后果——具体差异本书在卷 3 章十展开。</w:t>
      </w:r>
    </w:p>
    <w:p>
      <w:pPr>
        <w:pStyle w:val="Heading3"/>
      </w:pPr>
      <w:bookmarkStart w:id="122" w:name="收束-10"/>
      <w:r>
        <w:t xml:space="preserve">收束</w:t>
      </w:r>
      <w:bookmarkEnd w:id="122"/>
    </w:p>
    <w:p>
      <w:pPr>
        <w:pStyle w:val="FirstParagraph"/>
      </w:pPr>
      <w:r>
        <w:t xml:space="preserve">Muule 是 2072 年物件层面对城市出行的重新定义——</w:t>
      </w:r>
      <w:r>
        <w:rPr>
          <w:b/>
        </w:rPr>
        <w:t xml:space="preserve">从</w:t>
      </w:r>
      <w:r>
        <w:rPr>
          <w:b/>
        </w:rPr>
        <w:t xml:space="preserve">“</w:t>
      </w:r>
      <w:r>
        <w:rPr>
          <w:b/>
        </w:rPr>
        <w:t xml:space="preserve">开车</w:t>
      </w:r>
      <w:r>
        <w:rPr>
          <w:b/>
        </w:rPr>
        <w:t xml:space="preserve">”</w:t>
      </w:r>
      <w:r>
        <w:rPr>
          <w:b/>
        </w:rPr>
        <w:t xml:space="preserve">变为</w:t>
      </w:r>
      <w:r>
        <w:rPr>
          <w:b/>
        </w:rPr>
        <w:t xml:space="preserve">“</w:t>
      </w:r>
      <w:r>
        <w:rPr>
          <w:b/>
        </w:rPr>
        <w:t xml:space="preserve">被车跟着走</w:t>
      </w:r>
      <w:r>
        <w:rPr>
          <w:b/>
        </w:rPr>
        <w:t xml:space="preserve">”</w:t>
      </w:r>
      <w:r>
        <w:t xml:space="preserve">。它的设计逻辑——核心极简、网络整合、功能扩展——是 2072 年个人设备哲学的物理表达。下一章（章八）转入更广阔的移动与连通——Muule 之外的交通生态。</w:t>
      </w:r>
    </w:p>
    <w:p>
      <w:pPr>
        <w:pStyle w:val="Heading2"/>
      </w:pPr>
      <w:bookmarkStart w:id="123" w:name="章八-移动与连通"/>
      <w:r>
        <w:t xml:space="preserve">章八　移动与连通</w:t>
      </w:r>
      <w:bookmarkEnd w:id="123"/>
    </w:p>
    <w:p>
      <w:pPr>
        <w:pStyle w:val="BlockText"/>
      </w:pPr>
      <w:r>
        <w:rPr>
          <w:b/>
        </w:rPr>
        <w:t xml:space="preserve">本章定位。</w:t>
      </w:r>
      <w:r>
        <w:t xml:space="preserve"> </w:t>
      </w:r>
      <w:r>
        <w:t xml:space="preserve">上一章讲了 Muule 这一新形态个人交通工具，本章讲 Muule 之外的整个交通生态——传统车辆体系（8.1）、地面交通控制系统（8.2，含已示范的六秒窗口）、海洋运输（8.3）、航空交通（8.4）、货运体系全貌（8.5）。本章是物质基础卷里物件密度最高的一章，但每一节按机制抽象化原则展开，具体路径差异留给后续卷。</w:t>
      </w:r>
    </w:p>
    <w:p>
      <w:pPr>
        <w:pStyle w:val="Heading2"/>
      </w:pPr>
      <w:bookmarkStart w:id="124" w:name="传统车辆体系"/>
      <w:r>
        <w:t xml:space="preserve">8.1　传统车辆体系</w:t>
      </w:r>
      <w:bookmarkEnd w:id="124"/>
    </w:p>
    <w:p>
      <w:pPr>
        <w:pStyle w:val="FirstParagraph"/>
      </w:pPr>
      <w:r>
        <w:t xml:space="preserve">Muule 是为城市集群设计的系统，它的卓越性能依附于换电站密度、道路管理网络和聚变电网的基础设施条件。</w:t>
      </w:r>
      <w:r>
        <w:rPr>
          <w:b/>
        </w:rPr>
        <w:t xml:space="preserve">这些条件向外稀释，形成了不同车辆类型各有其位的地理梯度。</w:t>
      </w:r>
      <w:r>
        <w:t xml:space="preserve"> </w:t>
      </w:r>
      <w:r>
        <w:t xml:space="preserve">在讨论这个梯度时，有一个容易犯的推断错误需要先清理：</w:t>
      </w:r>
      <w:r>
        <w:rPr>
          <w:b/>
        </w:rPr>
        <w:t xml:space="preserve">把</w:t>
      </w:r>
      <w:r>
        <w:rPr>
          <w:b/>
        </w:rPr>
        <w:t xml:space="preserve">“</w:t>
      </w:r>
      <w:r>
        <w:rPr>
          <w:b/>
        </w:rPr>
        <w:t xml:space="preserve">换电站不可及</w:t>
      </w:r>
      <w:r>
        <w:rPr>
          <w:b/>
        </w:rPr>
        <w:t xml:space="preserve">”</w:t>
      </w:r>
      <w:r>
        <w:rPr>
          <w:b/>
        </w:rPr>
        <w:t xml:space="preserve">等同于</w:t>
      </w:r>
      <w:r>
        <w:rPr>
          <w:b/>
        </w:rPr>
        <w:t xml:space="preserve">“</w:t>
      </w:r>
      <w:r>
        <w:rPr>
          <w:b/>
        </w:rPr>
        <w:t xml:space="preserve">电力不可及</w:t>
      </w:r>
      <w:r>
        <w:rPr>
          <w:b/>
        </w:rPr>
        <w:t xml:space="preserve">”</w:t>
      </w:r>
      <w:r>
        <w:rPr>
          <w:b/>
        </w:rPr>
        <w:t xml:space="preserve">，进而高估了合成燃油车在偏远地带的优势地位。</w:t>
      </w:r>
    </w:p>
    <w:p>
      <w:pPr>
        <w:pStyle w:val="Heading3"/>
      </w:pPr>
      <w:bookmarkStart w:id="125" w:name="电力可及性太阳能填补的真实范围"/>
      <w:r>
        <w:t xml:space="preserve">8.1.1　电力可及性：太阳能填补的真实范围</w:t>
      </w:r>
      <w:bookmarkEnd w:id="125"/>
    </w:p>
    <w:p>
      <w:pPr>
        <w:pStyle w:val="FirstParagraph"/>
      </w:pPr>
      <w:r>
        <w:t xml:space="preserve">到 2072 年太阳能板成本极低，</w:t>
      </w:r>
      <w:r>
        <w:rPr>
          <w:b/>
        </w:rPr>
        <w:t xml:space="preserve">遗忘地带的村庄用太阳能板加电池维持基本用电，完全不需要电网连接</w:t>
      </w:r>
      <w:r>
        <w:t xml:space="preserve">。这个设定对地面交通的推演有决定性影响——</w:t>
      </w:r>
      <w:r>
        <w:rPr>
          <w:b/>
        </w:rPr>
        <w:t xml:space="preserve">Muule 换电站的边界，不是电动化可以抵达的边界</w:t>
      </w:r>
      <w:r>
        <w:t xml:space="preserve">。</w:t>
      </w:r>
    </w:p>
    <w:p>
      <w:pPr>
        <w:pStyle w:val="BodyText"/>
      </w:pPr>
      <w:r>
        <w:t xml:space="preserve">固态电池和太阳能的组合，使电动工作车在有日照的地方几乎可以独立运作：车顶和货床遮阳棚的太阳能板（1,200—1,600 W）在日照充足时每天补充约 50—60 公里等效续航，大容量电池组（60—160 kWh）提供足够的单次行程和夜间储备，备用电池包进一步覆盖连阴天或高强度使用场景。</w:t>
      </w:r>
      <w:r>
        <w:rPr>
          <w:b/>
        </w:rPr>
        <w:t xml:space="preserve">真正的电力不可及，在美式与中国路径覆盖范围内几乎不存在</w:t>
      </w:r>
      <w:r>
        <w:t xml:space="preserve">——高纬度低日照地区加上完全脱嵌于任何现代供应链的极端情况除外。</w:t>
      </w:r>
    </w:p>
    <w:p>
      <w:pPr>
        <w:pStyle w:val="BodyText"/>
      </w:pPr>
      <w:r>
        <w:t xml:space="preserve">换句话说，</w:t>
      </w:r>
      <w:r>
        <w:rPr>
          <w:b/>
        </w:rPr>
        <w:t xml:space="preserve">电动工作车需要的不是电网，只需要阳光和偶尔的电源接入。</w:t>
      </w:r>
      <w:r>
        <w:t xml:space="preserve"> </w:t>
      </w:r>
      <w:r>
        <w:t xml:space="preserve">这个门槛远低于</w:t>
      </w:r>
      <w:r>
        <w:t xml:space="preserve">“</w:t>
      </w:r>
      <w:r>
        <w:t xml:space="preserve">电网覆盖</w:t>
      </w:r>
      <w:r>
        <w:t xml:space="preserve">”</w:t>
      </w:r>
      <w:r>
        <w:t xml:space="preserve">，也远低于</w:t>
      </w:r>
      <w:r>
        <w:t xml:space="preserve">“</w:t>
      </w:r>
      <w:r>
        <w:t xml:space="preserve">燃料配送链可及</w:t>
      </w:r>
      <w:r>
        <w:t xml:space="preserve">”</w:t>
      </w:r>
      <w:r>
        <w:t xml:space="preserve">。</w:t>
      </w:r>
    </w:p>
    <w:p>
      <w:pPr>
        <w:pStyle w:val="Heading3"/>
      </w:pPr>
      <w:bookmarkStart w:id="126" w:name="燃料基础设施的侵蚀"/>
      <w:r>
        <w:t xml:space="preserve">8.1.2　燃料基础设施的侵蚀</w:t>
      </w:r>
      <w:bookmarkEnd w:id="126"/>
    </w:p>
    <w:p>
      <w:pPr>
        <w:pStyle w:val="FirstParagraph"/>
      </w:pPr>
      <w:r>
        <w:t xml:space="preserve">合成燃油车的地面优势依赖一个往往被隐含假设为固定的前提：</w:t>
      </w:r>
      <w:r>
        <w:rPr>
          <w:b/>
        </w:rPr>
        <w:t xml:space="preserve">燃料零售网络的密度和可靠性</w:t>
      </w:r>
      <w:r>
        <w:t xml:space="preserve">。但这个前提在电动化率上升的过程中正在被系统性侵蚀。</w:t>
      </w:r>
    </w:p>
    <w:p>
      <w:pPr>
        <w:pStyle w:val="BodyText"/>
      </w:pPr>
      <w:r>
        <w:rPr>
          <w:b/>
        </w:rPr>
        <w:t xml:space="preserve">电动化率与燃料站的负向螺旋。</w:t>
      </w:r>
      <w:r>
        <w:t xml:space="preserve"> </w:t>
      </w:r>
      <w:r>
        <w:t xml:space="preserve">加油站是高固定成本、低单位利润的基础设施，其可行性依赖足够的日均车流量。电动化率每上升一个台阶，燃油车保有量下降，加油站客流下降，边际加油站亏损后关闭，覆盖半径扩大，使剩余燃油车用户的补给更不方便，进一步压低燃油车的使用意愿——</w:t>
      </w:r>
      <w:r>
        <w:rPr>
          <w:b/>
        </w:rPr>
        <w:t xml:space="preserve">这个负向螺旋今天已在农村地区初现</w:t>
      </w:r>
      <w:r>
        <w:t xml:space="preserve">：部分欧洲农村加油站因利润不足已大量关闭。到 2072 年，城市集群和近郊的电动化率已极高，燃料零售网络的萎缩不是预测，</w:t>
      </w:r>
      <w:r>
        <w:rPr>
          <w:b/>
        </w:rPr>
        <w:t xml:space="preserve">是已经发生的现实</w:t>
      </w:r>
      <w:r>
        <w:t xml:space="preserve">。</w:t>
      </w:r>
    </w:p>
    <w:p>
      <w:pPr>
        <w:pStyle w:val="BodyText"/>
      </w:pPr>
      <w:r>
        <w:rPr>
          <w:b/>
        </w:rPr>
        <w:t xml:space="preserve">偏远农村地带的处境更吊诡：越是电力基础设施薄弱、理论上燃油车</w:t>
      </w:r>
      <w:r>
        <w:rPr>
          <w:b/>
        </w:rPr>
        <w:t xml:space="preserve">“</w:t>
      </w:r>
      <w:r>
        <w:rPr>
          <w:b/>
        </w:rPr>
        <w:t xml:space="preserve">更需要</w:t>
      </w:r>
      <w:r>
        <w:rPr>
          <w:b/>
        </w:rPr>
        <w:t xml:space="preserve">”</w:t>
      </w:r>
      <w:r>
        <w:rPr>
          <w:b/>
        </w:rPr>
        <w:t xml:space="preserve">的地方，也往往是商业上最难维持加油站的地方。</w:t>
      </w:r>
      <w:r>
        <w:t xml:space="preserve"> </w:t>
      </w:r>
      <w:r>
        <w:t xml:space="preserve">车流量低、运输成本高、合成燃料的配送链末端损耗大——在很多情况下，</w:t>
      </w:r>
      <w:r>
        <w:rPr>
          <w:b/>
        </w:rPr>
        <w:t xml:space="preserve">太阳能加备用电池的电动方案，恰恰比等待偶尔的燃料配送车更可靠</w:t>
      </w:r>
      <w:r>
        <w:t xml:space="preserve">。</w:t>
      </w:r>
    </w:p>
    <w:p>
      <w:pPr>
        <w:pStyle w:val="Heading3"/>
      </w:pPr>
      <w:bookmarkStart w:id="127" w:name="合成燃料真正可及的地方"/>
      <w:r>
        <w:t xml:space="preserve">8.1.3　合成燃料真正可及的地方</w:t>
      </w:r>
      <w:bookmarkEnd w:id="127"/>
    </w:p>
    <w:p>
      <w:pPr>
        <w:pStyle w:val="FirstParagraph"/>
      </w:pPr>
      <w:r>
        <w:t xml:space="preserve">合成燃料在地面交通中最可及的地方，</w:t>
      </w:r>
      <w:r>
        <w:rPr>
          <w:b/>
        </w:rPr>
        <w:t xml:space="preserve">不是偏远农村，是空港和海港节点及其周边</w:t>
      </w:r>
      <w:r>
        <w:t xml:space="preserve">。原因很直接：</w:t>
      </w:r>
      <w:r>
        <w:rPr>
          <w:b/>
        </w:rPr>
        <w:t xml:space="preserve">航空和深海航运是合成燃料唯一无法被电动化替代的大规模需求方</w:t>
      </w:r>
      <w:r>
        <w:t xml:space="preserve">，这两类设施的燃料补给基础设施会在 2072 年保持完整，不存在侵蚀。</w:t>
      </w:r>
    </w:p>
    <w:p>
      <w:pPr>
        <w:pStyle w:val="BodyText"/>
      </w:pPr>
      <w:r>
        <w:t xml:space="preserve">这个地理定位决定了合成燃油车的真实制度性空间：</w:t>
      </w:r>
      <w:r>
        <w:t xml:space="preserve"> </w:t>
      </w:r>
      <w:r>
        <w:t xml:space="preserve">-</w:t>
      </w:r>
      <w:r>
        <w:t xml:space="preserve"> </w:t>
      </w:r>
      <w:r>
        <w:rPr>
          <w:b/>
        </w:rPr>
        <w:t xml:space="preserve">机场地勤重型设备</w:t>
      </w:r>
      <w:r>
        <w:t xml:space="preserve">（牵引车、装卸机械、应急电源车）</w:t>
      </w:r>
      <w:r>
        <w:t xml:space="preserve"> </w:t>
      </w:r>
      <w:r>
        <w:t xml:space="preserve">-</w:t>
      </w:r>
      <w:r>
        <w:t xml:space="preserve"> </w:t>
      </w:r>
      <w:r>
        <w:rPr>
          <w:b/>
        </w:rPr>
        <w:t xml:space="preserve">港口作业设备</w:t>
      </w:r>
      <w:r>
        <w:t xml:space="preserve">（岸桥、集卡、移动式起重机）</w:t>
      </w:r>
      <w:r>
        <w:t xml:space="preserve"> </w:t>
      </w:r>
      <w:r>
        <w:t xml:space="preserve">-</w:t>
      </w:r>
      <w:r>
        <w:t xml:space="preserve"> </w:t>
      </w:r>
      <w:r>
        <w:rPr>
          <w:b/>
        </w:rPr>
        <w:t xml:space="preserve">靠近主要港口的重型干线货运走廊</w:t>
      </w:r>
    </w:p>
    <w:p>
      <w:pPr>
        <w:pStyle w:val="BodyText"/>
      </w:pPr>
      <w:r>
        <w:t xml:space="preserve">这些场景的共同特点是</w:t>
      </w:r>
      <w:r>
        <w:rPr>
          <w:b/>
        </w:rPr>
        <w:t xml:space="preserve">设备功率需求高、作业强度大</w:t>
      </w:r>
      <w:r>
        <w:t xml:space="preserve">——电动化的电池重量和充电时间成为真实约束，不是因为电力不可及，是因为在极高功率密度需求下，合成燃料的能量密度优势仍然有效。</w:t>
      </w:r>
    </w:p>
    <w:p>
      <w:pPr>
        <w:pStyle w:val="Heading3"/>
      </w:pPr>
      <w:bookmarkStart w:id="128" w:name="修正后的车辆角色定位"/>
      <w:r>
        <w:t xml:space="preserve">8.1.4　修正后的车辆角色定位</w:t>
      </w:r>
      <w:bookmarkEnd w:id="128"/>
    </w:p>
    <w:p>
      <w:pPr>
        <w:pStyle w:val="FirstParagraph"/>
      </w:pPr>
      <w:r>
        <w:rPr>
          <w:b/>
        </w:rPr>
        <w:t xml:space="preserve">电动工作车：基础设施缺位时的主力。</w:t>
      </w:r>
      <w:r>
        <w:t xml:space="preserve"> </w:t>
      </w:r>
      <w:r>
        <w:t xml:space="preserve">从现有皮卡、厢型车平台演化的电动工作车，在 Muule 覆盖边界以外承担绝大多数功能性交通需求。</w:t>
      </w:r>
      <w:r>
        <w:rPr>
          <w:b/>
        </w:rPr>
        <w:t xml:space="preserve">设计逻辑是独立运作能力</w:t>
      </w:r>
      <w:r>
        <w:t xml:space="preserve">：太阳能补充消除对外部电网的依赖，大容量电池组覆盖长途和夜间，标准化零件使乡镇机修铺可以维护。</w:t>
      </w:r>
      <w:r>
        <w:rPr>
          <w:b/>
        </w:rPr>
        <w:t xml:space="preserve">这套方案在偏远社区的可靠性，系统性地高于依赖配送链的合成燃料方案</w:t>
      </w:r>
      <w:r>
        <w:t xml:space="preserve">——只要有日照，就有能源，不需要等待任何外部补给车辆按时到达。</w:t>
      </w:r>
    </w:p>
    <w:p>
      <w:pPr>
        <w:pStyle w:val="BodyText"/>
      </w:pPr>
      <w:r>
        <w:rPr>
          <w:b/>
        </w:rPr>
        <w:t xml:space="preserve">梯次电池的不对称连结。</w:t>
      </w:r>
      <w:r>
        <w:t xml:space="preserve"> </w:t>
      </w:r>
      <w:r>
        <w:t xml:space="preserve">退役电池的梯次流动进一步强化了这个优势：</w:t>
      </w:r>
      <w:r>
        <w:rPr>
          <w:b/>
        </w:rPr>
        <w:t xml:space="preserve">城市集群 Muule 的退役固态电池，依次流向换电站缓冲储能、小城镇固定储能设施，最终成为偏远社区太阳能系统的储能单元</w:t>
      </w:r>
      <w:r>
        <w:t xml:space="preserve">。城市集群和边缘社区之间，通过二手电池的物质流动存在着一条缓慢的不对称连结，</w:t>
      </w:r>
      <w:r>
        <w:rPr>
          <w:b/>
        </w:rPr>
        <w:t xml:space="preserve">使偏远社区的电力基础设施成本持续下降</w:t>
      </w:r>
      <w:r>
        <w:t xml:space="preserve">。这是少数几条真实的城乡物质联系之一。</w:t>
      </w:r>
    </w:p>
    <w:p>
      <w:pPr>
        <w:pStyle w:val="BodyText"/>
      </w:pPr>
      <w:r>
        <w:rPr>
          <w:b/>
        </w:rPr>
        <w:t xml:space="preserve">合成燃油车：港口节点的制度性存在。</w:t>
      </w:r>
      <w:r>
        <w:t xml:space="preserve"> </w:t>
      </w:r>
      <w:r>
        <w:t xml:space="preserve">在空港和海港的直接辐射范围内，合成燃油车和合成燃油重型设备有清晰的制度性生存空间——</w:t>
      </w:r>
      <w:r>
        <w:rPr>
          <w:b/>
        </w:rPr>
        <w:t xml:space="preserve">不是因为电力不可及，是因为这里的合成燃料基础设施最完整、设备功率需求最高、电动化转换成本最难被完全吸收</w:t>
      </w:r>
      <w:r>
        <w:t xml:space="preserve">。这个定位比</w:t>
      </w:r>
      <w:r>
        <w:t xml:space="preserve">“</w:t>
      </w:r>
      <w:r>
        <w:t xml:space="preserve">偏远地带的补充</w:t>
      </w:r>
      <w:r>
        <w:t xml:space="preserve">”</w:t>
      </w:r>
      <w:r>
        <w:t xml:space="preserve">更精确，也更诚实。</w:t>
      </w:r>
    </w:p>
    <w:p>
      <w:pPr>
        <w:pStyle w:val="BodyText"/>
      </w:pPr>
      <w:r>
        <w:t xml:space="preserve">在其他地面场景，合成燃油车的地位</w:t>
      </w:r>
      <w:r>
        <w:rPr>
          <w:b/>
        </w:rPr>
        <w:t xml:space="preserve">更接近一个正在退出的存量</w:t>
      </w:r>
      <w:r>
        <w:t xml:space="preserve">：城市集群里逐步失去停车空间和加油站，近郊的燃料供应随加油站稀疏化而降低可靠性，偏远地区的燃料补给链甚至比太阳能充电更难保障。旧型燃油车继续在这些地带存在，</w:t>
      </w:r>
      <w:r>
        <w:rPr>
          <w:b/>
        </w:rPr>
        <w:t xml:space="preserve">主要是惯性和初始投资的锁定，而非燃料本身的竞争优势</w:t>
      </w:r>
      <w:r>
        <w:t xml:space="preserve">。</w:t>
      </w:r>
    </w:p>
    <w:p>
      <w:pPr>
        <w:pStyle w:val="Heading3"/>
      </w:pPr>
      <w:bookmarkStart w:id="129" w:name="两条主路径的差异化演化"/>
      <w:r>
        <w:t xml:space="preserve">8.1.5　两条主路径的差异化演化</w:t>
      </w:r>
      <w:bookmarkEnd w:id="129"/>
    </w:p>
    <w:p>
      <w:pPr>
        <w:pStyle w:val="FirstParagraph"/>
      </w:pPr>
      <w:r>
        <w:t xml:space="preserve">电动工作车和燃料基础设施的侵蚀逻辑在两条主路径上有不同的速度和机制，</w:t>
      </w:r>
      <w:r>
        <w:rPr>
          <w:b/>
        </w:rPr>
        <w:t xml:space="preserve">但方向一致</w:t>
      </w:r>
      <w:r>
        <w:t xml:space="preserve">。</w:t>
      </w:r>
    </w:p>
    <w:p>
      <w:pPr>
        <w:pStyle w:val="BodyText"/>
      </w:pPr>
      <w:r>
        <w:rPr>
          <w:b/>
        </w:rPr>
        <w:t xml:space="preserve">美式路径</w:t>
      </w:r>
      <w:r>
        <w:t xml:space="preserve">里，燃料零售网络的萎缩是市场力量的自然结果：电动化率超过临界点后，加油站的商业可行性快速崩溃，</w:t>
      </w:r>
      <w:r>
        <w:rPr>
          <w:b/>
        </w:rPr>
        <w:t xml:space="preserve">农村地带往往是最先出现补给空白的地方</w:t>
      </w:r>
      <w:r>
        <w:t xml:space="preserve">。政府可以通过补贴维持部分农村加油站，但补贴本身就承认了燃料网络在商业上已不可持续。电动工作车的普及由市场竞争和用户选择驱动，太阳能补充方案的成本下降使其在偏远地区逐渐成为显而易见的优选。</w:t>
      </w:r>
    </w:p>
    <w:p>
      <w:pPr>
        <w:pStyle w:val="BodyText"/>
      </w:pPr>
      <w:r>
        <w:rPr>
          <w:b/>
        </w:rPr>
        <w:t xml:space="preserve">中国路径</w:t>
      </w:r>
      <w:r>
        <w:t xml:space="preserve">里，电动化转型的速度和覆盖范围由顶层计划决定。农村和偏远地带的电动工作车普及，取决于国家配给体系是否把相关基础设施和车辆列入配给或补贴范畴。合成燃油车的退出速度更可能是行政决定的，而非市场自然侵蚀的结果。但无论计划边界在哪里，</w:t>
      </w:r>
      <w:r>
        <w:rPr>
          <w:b/>
        </w:rPr>
        <w:t xml:space="preserve">计划覆盖之外的地带，同样面临燃料补给链比太阳能方案更难维持的物理现实</w:t>
      </w:r>
      <w:r>
        <w:t xml:space="preserve">。</w:t>
      </w:r>
    </w:p>
    <w:p>
      <w:pPr>
        <w:pStyle w:val="Heading3"/>
      </w:pPr>
      <w:bookmarkStart w:id="130" w:name="城市与城际货运车辆"/>
      <w:r>
        <w:t xml:space="preserve">8.1.6　城市与城际货运车辆</w:t>
      </w:r>
      <w:bookmarkEnd w:id="130"/>
    </w:p>
    <w:p>
      <w:pPr>
        <w:pStyle w:val="FirstParagraph"/>
      </w:pPr>
      <w:r>
        <w:t xml:space="preserve">超出 Muule 货舱能力的货运需求（约 50 kg 以上）由专用货运车辆承担。</w:t>
      </w:r>
      <w:r>
        <w:rPr>
          <w:b/>
        </w:rPr>
        <w:t xml:space="preserve">货运车辆全部电动无人驾驶</w:t>
      </w:r>
      <w:r>
        <w:t xml:space="preserve">，纳入城市交通系统统一管理，与 Muule 在同一数字基础设施上运行——系统实时知道每辆货运车的位置、载荷、任务和电量，动态调度，协同避障。</w:t>
      </w:r>
    </w:p>
    <w:p>
      <w:pPr>
        <w:pStyle w:val="Heading3"/>
      </w:pPr>
      <w:bookmarkStart w:id="131" w:name="收束-11"/>
      <w:r>
        <w:t xml:space="preserve">收束</w:t>
      </w:r>
      <w:bookmarkEnd w:id="131"/>
    </w:p>
    <w:p>
      <w:pPr>
        <w:pStyle w:val="FirstParagraph"/>
      </w:pPr>
      <w:r>
        <w:rPr>
          <w:b/>
        </w:rPr>
        <w:t xml:space="preserve">2072 年地面交通格局的核心不是</w:t>
      </w:r>
      <w:r>
        <w:rPr>
          <w:b/>
        </w:rPr>
        <w:t xml:space="preserve">“</w:t>
      </w:r>
      <w:r>
        <w:rPr>
          <w:b/>
        </w:rPr>
        <w:t xml:space="preserve">电 vs 燃油</w:t>
      </w:r>
      <w:r>
        <w:rPr>
          <w:b/>
        </w:rPr>
        <w:t xml:space="preserve">”</w:t>
      </w:r>
      <w:r>
        <w:rPr>
          <w:b/>
        </w:rPr>
        <w:t xml:space="preserve">的全面对决，是一个已基本完成的历史转型的收尾</w:t>
      </w:r>
      <w:r>
        <w:t xml:space="preserve">：电动化在城市集群和主要走廊早已是压倒性的现实，在偏远地带因太阳能的分散特性而无需电网就能推进；合成燃料的地面角色收缩到港口节点和高功率特种设备，</w:t>
      </w:r>
      <w:r>
        <w:rPr>
          <w:b/>
        </w:rPr>
        <w:t xml:space="preserve">是航空海运需求带来的基础设施红利，而非自身在地面交通的竞争优势</w:t>
      </w:r>
      <w:r>
        <w:t xml:space="preserve">。</w:t>
      </w:r>
    </w:p>
    <w:p>
      <w:pPr>
        <w:pStyle w:val="BodyText"/>
      </w:pPr>
      <w:r>
        <w:t xml:space="preserve">下一节（8.2）转入地面交通控制系统——所有这些车辆背后的数字基础设施，含已示范的六秒窗口。</w:t>
      </w:r>
    </w:p>
    <w:p>
      <w:pPr>
        <w:pStyle w:val="Heading2"/>
      </w:pPr>
      <w:bookmarkStart w:id="132" w:name="地面交通控制系统"/>
      <w:r>
        <w:t xml:space="preserve">8.2　地面交通控制系统</w:t>
      </w:r>
      <w:bookmarkEnd w:id="132"/>
    </w:p>
    <w:p>
      <w:pPr>
        <w:pStyle w:val="Heading3"/>
      </w:pPr>
      <w:bookmarkStart w:id="133" w:name="双层架构流量管理与车辆自主"/>
      <w:r>
        <w:t xml:space="preserve">8.2.1　双层架构：流量管理与车辆自主</w:t>
      </w:r>
      <w:bookmarkEnd w:id="133"/>
    </w:p>
    <w:p>
      <w:pPr>
        <w:pStyle w:val="FirstParagraph"/>
      </w:pPr>
      <w:r>
        <w:t xml:space="preserve">2072 年的城市地面交通控制系统由两个平行层次构成，</w:t>
      </w:r>
      <w:r>
        <w:rPr>
          <w:b/>
        </w:rPr>
        <w:t xml:space="preserve">两者分工不同，缺一不可，且不能相互取代</w:t>
      </w:r>
      <w:r>
        <w:t xml:space="preserve">：</w:t>
      </w:r>
    </w:p>
    <w:p>
      <w:pPr>
        <w:numPr>
          <w:ilvl w:val="0"/>
          <w:numId w:val="1025"/>
        </w:numPr>
        <w:pStyle w:val="Compact"/>
      </w:pPr>
      <w:r>
        <w:rPr>
          <w:b/>
        </w:rPr>
        <w:t xml:space="preserve">流量管理层</w:t>
      </w:r>
      <w:r>
        <w:t xml:space="preserve">（系统层）：城市交通 AI 对所有接入车辆实施宏观协调——路口信号相位、路径规划、间距指令、速度建议——使整体路网效率最大化。</w:t>
      </w:r>
      <w:r>
        <w:rPr>
          <w:b/>
        </w:rPr>
        <w:t xml:space="preserve">这个层次的控制对象仅限于接入系统的车辆</w:t>
      </w:r>
      <w:r>
        <w:t xml:space="preserve">，不覆盖行人、宠物、非接入设备等无法预先被系统感知的对象。</w:t>
      </w:r>
    </w:p>
    <w:p>
      <w:pPr>
        <w:numPr>
          <w:ilvl w:val="0"/>
          <w:numId w:val="1025"/>
        </w:numPr>
        <w:pStyle w:val="Compact"/>
      </w:pPr>
      <w:r>
        <w:rPr>
          <w:b/>
        </w:rPr>
        <w:t xml:space="preserve">车辆自主层</w:t>
      </w:r>
      <w:r>
        <w:t xml:space="preserve">（车端）：每辆 Muule 和城市车辆搭载独立传感器阵列（摄像头、毫米波雷达、近距激光雷达），在本地实时处理周围环境，</w:t>
      </w:r>
      <w:r>
        <w:rPr>
          <w:b/>
        </w:rPr>
        <w:t xml:space="preserve">独立应对系统感知盲区内的所有障碍</w:t>
      </w:r>
      <w:r>
        <w:t xml:space="preserve">——行人的突然转向、宠物冲入路面、掉落异物。这是车辆的本地智能，不依赖中央系统，不可被关闭。</w:t>
      </w:r>
    </w:p>
    <w:p>
      <w:pPr>
        <w:pStyle w:val="FirstParagraph"/>
      </w:pPr>
      <w:r>
        <w:rPr>
          <w:b/>
        </w:rPr>
        <w:t xml:space="preserve">两个层次永远并行工作。</w:t>
      </w:r>
      <w:r>
        <w:t xml:space="preserve"> </w:t>
      </w:r>
      <w:r>
        <w:t xml:space="preserve">系统层告诉车辆</w:t>
      </w:r>
      <w:r>
        <w:t xml:space="preserve">“</w:t>
      </w:r>
      <w:r>
        <w:t xml:space="preserve">去哪里、走哪条路、以什么速度</w:t>
      </w:r>
      <w:r>
        <w:t xml:space="preserve">”</w:t>
      </w:r>
      <w:r>
        <w:t xml:space="preserve">；车辆自主层负责</w:t>
      </w:r>
      <w:r>
        <w:t xml:space="preserve">“</w:t>
      </w:r>
      <w:r>
        <w:t xml:space="preserve">在这条路上安全行驶，不撞上沿途出现的任何东西</w:t>
      </w:r>
      <w:r>
        <w:t xml:space="preserve">”</w:t>
      </w:r>
      <w:r>
        <w:t xml:space="preserve">。这与航空中</w:t>
      </w:r>
      <w:r>
        <w:t xml:space="preserve">“</w:t>
      </w:r>
      <w:r>
        <w:t xml:space="preserve">塔台管理航路，飞机自己飞行</w:t>
      </w:r>
      <w:r>
        <w:t xml:space="preserve">”</w:t>
      </w:r>
      <w:r>
        <w:t xml:space="preserve">的逻辑相同——</w:t>
      </w:r>
      <w:r>
        <w:rPr>
          <w:b/>
        </w:rPr>
        <w:t xml:space="preserve">管理和执行是两个不同系统，协同但独立</w:t>
      </w:r>
      <w:r>
        <w:t xml:space="preserve">。</w:t>
      </w:r>
    </w:p>
    <w:p>
      <w:pPr>
        <w:pStyle w:val="BodyText"/>
      </w:pPr>
      <w:r>
        <w:rPr>
          <w:b/>
        </w:rPr>
        <w:t xml:space="preserve">全控高速是唯一的例外。</w:t>
      </w:r>
      <w:r>
        <w:t xml:space="preserve"> </w:t>
      </w:r>
      <w:r>
        <w:t xml:space="preserve">在物理封闭的环境里，系统层接管驾驶控制权，车辆自主层退化为监控和紧急备份角色。</w:t>
      </w:r>
      <w:r>
        <w:rPr>
          <w:b/>
        </w:rPr>
        <w:t xml:space="preserve">这个接管之所以可能，是因为封闭环境消除了系统感知盲区。</w:t>
      </w:r>
    </w:p>
    <w:p>
      <w:pPr>
        <w:pStyle w:val="Heading3"/>
      </w:pPr>
      <w:bookmarkStart w:id="134" w:name="封闭环境全控的物理前提"/>
      <w:r>
        <w:t xml:space="preserve">8.2.2　封闭环境：全控的物理前提</w:t>
      </w:r>
      <w:bookmarkEnd w:id="134"/>
    </w:p>
    <w:p>
      <w:pPr>
        <w:pStyle w:val="FirstParagraph"/>
      </w:pPr>
      <w:r>
        <w:t xml:space="preserve">普通城市道路是开放环境：行人横穿、自行车逆行、宠物冲出——这些对象无法被系统预先感知，</w:t>
      </w:r>
      <w:r>
        <w:rPr>
          <w:b/>
        </w:rPr>
        <w:t xml:space="preserve">只能由车辆的本地传感器即时处理</w:t>
      </w:r>
      <w:r>
        <w:t xml:space="preserve">。在开放环境里，中央系统无法对车辆实施全控驾驶——它不知道前方三米处会不会突然出现一个四岁小孩。</w:t>
      </w:r>
    </w:p>
    <w:p>
      <w:pPr>
        <w:pStyle w:val="BodyText"/>
      </w:pPr>
      <w:r>
        <w:rPr>
          <w:b/>
        </w:rPr>
        <w:t xml:space="preserve">全控高速的成立条件是物理封闭</w:t>
      </w:r>
      <w:r>
        <w:t xml:space="preserve">：通过隔离墩、围网、高差设计与行人步行区完全物理分离，没有平交路口，进出只通过固定入口和出口闸门。</w:t>
      </w:r>
      <w:r>
        <w:rPr>
          <w:b/>
        </w:rPr>
        <w:t xml:space="preserve">在这个封闭边界内，系统知道路面上有什么</w:t>
      </w:r>
      <w:r>
        <w:t xml:space="preserve">——全部都是已注册接入的车辆。这才是中央控制层能够接管驾驶权的物理前提。</w:t>
      </w:r>
    </w:p>
    <w:p>
      <w:pPr>
        <w:pStyle w:val="BodyText"/>
      </w:pPr>
      <w:r>
        <w:t xml:space="preserve">入口闸门是两种控制逻辑的物理边界线：</w:t>
      </w:r>
      <w:r>
        <w:rPr>
          <w:b/>
        </w:rPr>
        <w:t xml:space="preserve">进入之前是开放环境（车辆自主驾驶，系统管理流量）；进入之后是封闭环境（系统全控驾驶，车辆传感器作为冗余备份）</w:t>
      </w:r>
      <w:r>
        <w:t xml:space="preserve">。即便在全控段，车辆传感器不会被关闭——一旦检测到系统未识别的异常，触发紧急协议，不等待系统响应。这是冗余设计，不是多余设计。</w:t>
      </w:r>
    </w:p>
    <w:p>
      <w:pPr>
        <w:pStyle w:val="Heading3"/>
      </w:pPr>
      <w:bookmarkStart w:id="135" w:name="速度层级与控制模式"/>
      <w:r>
        <w:t xml:space="preserve">8.2.3　速度层级与控制模式</w:t>
      </w:r>
      <w:bookmarkEnd w:id="135"/>
    </w:p>
    <w:p>
      <w:pPr>
        <w:pStyle w:val="FirstParagraph"/>
      </w:pPr>
      <w:r>
        <w:t xml:space="preserve">Muule 在地面道路系统中经历四个速度层级，</w:t>
      </w:r>
      <w:r>
        <w:rPr>
          <w:b/>
        </w:rPr>
        <w:t xml:space="preserve">每个层级对应不同的环境性质、形态要求和控制分工</w:t>
      </w:r>
      <w:r>
        <w:t xml:space="preserve">：</w:t>
      </w:r>
    </w:p>
    <w:p>
      <w:pPr>
        <w:numPr>
          <w:ilvl w:val="0"/>
          <w:numId w:val="1026"/>
        </w:numPr>
        <w:pStyle w:val="Compact"/>
      </w:pPr>
      <w:r>
        <w:rPr>
          <w:b/>
        </w:rPr>
        <w:t xml:space="preserve">慢行区</w:t>
      </w:r>
      <w:r>
        <w:t xml:space="preserve">（≤ 20 km/h）：两轮形态步行跟随。</w:t>
      </w:r>
    </w:p>
    <w:p>
      <w:pPr>
        <w:numPr>
          <w:ilvl w:val="0"/>
          <w:numId w:val="1026"/>
        </w:numPr>
        <w:pStyle w:val="Compact"/>
      </w:pPr>
      <w:r>
        <w:rPr>
          <w:b/>
        </w:rPr>
        <w:t xml:space="preserve">城市普通道路</w:t>
      </w:r>
      <w:r>
        <w:t xml:space="preserve">（70 km/h 上限）：四轮形态，车辆自主驾驶，系统管理流量。</w:t>
      </w:r>
    </w:p>
    <w:p>
      <w:pPr>
        <w:numPr>
          <w:ilvl w:val="0"/>
          <w:numId w:val="1026"/>
        </w:numPr>
        <w:pStyle w:val="Compact"/>
      </w:pPr>
      <w:r>
        <w:rPr>
          <w:b/>
        </w:rPr>
        <w:t xml:space="preserve">城市快速路</w:t>
      </w:r>
      <w:r>
        <w:t xml:space="preserve">（100 km/h 上限）：四轮形态，自主驾驶 + 系统协调。</w:t>
      </w:r>
    </w:p>
    <w:p>
      <w:pPr>
        <w:numPr>
          <w:ilvl w:val="0"/>
          <w:numId w:val="1026"/>
        </w:numPr>
        <w:pStyle w:val="Compact"/>
      </w:pPr>
      <w:r>
        <w:rPr>
          <w:b/>
        </w:rPr>
        <w:t xml:space="preserve">全控高速</w:t>
      </w:r>
      <w:r>
        <w:t xml:space="preserve">（160 km/h）：四轮形态，</w:t>
      </w:r>
      <w:r>
        <w:rPr>
          <w:b/>
        </w:rPr>
        <w:t xml:space="preserve">系统全控驾驶，用户保留导航决策权但不可手动接管</w:t>
      </w:r>
      <w:r>
        <w:t xml:space="preserve">。</w:t>
      </w:r>
    </w:p>
    <w:p>
      <w:pPr>
        <w:pStyle w:val="FirstParagraph"/>
      </w:pPr>
      <w:r>
        <w:t xml:space="preserve">四级之间的清晰梯度对应路网密度和控制模式。控制权的切换由入口闸门标记——</w:t>
      </w:r>
      <w:r>
        <w:rPr>
          <w:b/>
        </w:rPr>
        <w:t xml:space="preserve">用户通过眼镜模块可以看到当前控制状态，切换时刻清晰可感</w:t>
      </w:r>
      <w:r>
        <w:t xml:space="preserve">。</w:t>
      </w:r>
    </w:p>
    <w:p>
      <w:pPr>
        <w:pStyle w:val="Heading3"/>
      </w:pPr>
      <w:bookmarkStart w:id="136" w:name="全控路网跨越城市边界"/>
      <w:r>
        <w:t xml:space="preserve">8.2.4　全控路网：跨越城市边界</w:t>
      </w:r>
      <w:bookmarkEnd w:id="136"/>
    </w:p>
    <w:p>
      <w:pPr>
        <w:pStyle w:val="FirstParagraph"/>
      </w:pPr>
      <w:r>
        <w:t xml:space="preserve">全控高速不只覆盖城市集群内部，</w:t>
      </w:r>
      <w:r>
        <w:rPr>
          <w:b/>
        </w:rPr>
        <w:t xml:space="preserve">同样延伸至连接相邻集群的城际高速干线</w:t>
      </w:r>
      <w:r>
        <w:t xml:space="preserve">。物理封闭设计是全控的唯一技术前提，与路段在行政上属于城市内还是城市间无关。主要城市集群之间的高速干线在 2072 年已全面完成全控接入，形成跨集群的连续封闭路网。</w:t>
      </w:r>
    </w:p>
    <w:p>
      <w:pPr>
        <w:pStyle w:val="BodyText"/>
      </w:pPr>
      <w:r>
        <w:t xml:space="preserve">这里需要区分两个层次：</w:t>
      </w:r>
      <w:r>
        <w:rPr>
          <w:b/>
        </w:rPr>
        <w:t xml:space="preserve">技术控制层面，全控系统已延伸覆盖主要城际干线；经济地理层面，并非所有路段都形成了完整的</w:t>
      </w:r>
      <w:r>
        <w:rPr>
          <w:b/>
        </w:rPr>
        <w:t xml:space="preserve">“</w:t>
      </w:r>
      <w:r>
        <w:rPr>
          <w:b/>
        </w:rPr>
        <w:t xml:space="preserve">全控高速路段</w:t>
      </w:r>
      <w:r>
        <w:rPr>
          <w:b/>
        </w:rPr>
        <w:t xml:space="preserve">”</w:t>
      </w:r>
      <w:r>
        <w:t xml:space="preserve">——全控高速路段的成立还需要换电站网络（每 50 公里一处）的支撑。在物流密度不足的次要路段，换电站投资无法回收，</w:t>
      </w:r>
      <w:r>
        <w:rPr>
          <w:b/>
        </w:rPr>
        <w:t xml:space="preserve">全控系统存在但全控高速路段经济体系未形成，形成有控制无全控高速路段的过渡形态</w:t>
      </w:r>
      <w:r>
        <w:t xml:space="preserve">。</w:t>
      </w:r>
    </w:p>
    <w:p>
      <w:pPr>
        <w:pStyle w:val="BodyText"/>
      </w:pPr>
      <w:r>
        <w:t xml:space="preserve">一辆 Muule 从城市甲驶向城市乙：市内低速段车辆自主驾驶；进入高速干线入口时，系统根据路线规划在换电站换入大容量电池（标准的两到三倍容量），覆盖整段高速行程；入高速后移交控制权，以 160 km/h 运行；出口换回标准电池，控制权归还用户，再以自主驾驶进入目的城市低速网络。</w:t>
      </w:r>
      <w:r>
        <w:rPr>
          <w:b/>
        </w:rPr>
        <w:t xml:space="preserve">高速路的感官体验——个人舱体嵌入货流洪流，以一种奇怪的平静穿越大地——在全控段普遍存在，主要物流走廊上这种体验可以持续数百公里不中断。</w:t>
      </w:r>
    </w:p>
    <w:p>
      <w:pPr>
        <w:pStyle w:val="Heading3"/>
      </w:pPr>
      <w:bookmarkStart w:id="137" w:name="控制权的逐级移交"/>
      <w:r>
        <w:t xml:space="preserve">8.2.5　控制权的逐级移交</w:t>
      </w:r>
      <w:bookmarkEnd w:id="137"/>
    </w:p>
    <w:p>
      <w:pPr>
        <w:pStyle w:val="FirstParagraph"/>
      </w:pPr>
      <w:r>
        <w:rPr>
          <w:b/>
        </w:rPr>
        <w:t xml:space="preserve">默认自动驾驶是所有层级的起点</w:t>
      </w:r>
      <w:r>
        <w:t xml:space="preserve">：用户设定目的地，车辆自主驾驶系统接管，用户成为乘客。系统层同步接收车辆位置，提供路口协调和路径规划。</w:t>
      </w:r>
    </w:p>
    <w:p>
      <w:pPr>
        <w:pStyle w:val="BodyText"/>
      </w:pPr>
      <w:r>
        <w:rPr>
          <w:b/>
        </w:rPr>
        <w:t xml:space="preserve">用户手动接管</w:t>
      </w:r>
      <w:r>
        <w:t xml:space="preserve">在慢行区、普通道路、城市快速路均可随时触发。接管后，系统层退为流量监督模式，不干预驾驶，但持续提供路径建议和信号状态；车辆自主层切换为被动安全模式，在碰撞风险迫近时强制介入。</w:t>
      </w:r>
      <w:r>
        <w:rPr>
          <w:b/>
        </w:rPr>
        <w:t xml:space="preserve">手动接管不关闭车辆传感器，也不断开系统连接</w:t>
      </w:r>
      <w:r>
        <w:t xml:space="preserve">，只是驾驶决策权回到用户手中。</w:t>
      </w:r>
    </w:p>
    <w:p>
      <w:pPr>
        <w:pStyle w:val="BodyText"/>
      </w:pPr>
      <w:r>
        <w:rPr>
          <w:b/>
        </w:rPr>
        <w:t xml:space="preserve">全控高速是唯一</w:t>
      </w:r>
      <w:r>
        <w:rPr>
          <w:b/>
        </w:rPr>
        <w:t xml:space="preserve">“</w:t>
      </w:r>
      <w:r>
        <w:rPr>
          <w:b/>
        </w:rPr>
        <w:t xml:space="preserve">强制系统驾驶</w:t>
      </w:r>
      <w:r>
        <w:rPr>
          <w:b/>
        </w:rPr>
        <w:t xml:space="preserve">”</w:t>
      </w:r>
      <w:r>
        <w:rPr>
          <w:b/>
        </w:rPr>
        <w:t xml:space="preserve">层级</w:t>
      </w:r>
      <w:r>
        <w:t xml:space="preserve">——在封闭环境高速运行中，车辆自主层的本地感知能力不足以独立保证安全。160 km/h 下，车辆传感器的感知范围和系统的协调精度之间存在根本性差距，</w:t>
      </w:r>
      <w:r>
        <w:rPr>
          <w:b/>
        </w:rPr>
        <w:t xml:space="preserve">只有系统层的全局协调才能使数百辆车保持 130 米间距安全运行</w:t>
      </w:r>
      <w:r>
        <w:t xml:space="preserve">。130 米对应约 3 秒行驶距离，AI 协同制动使路段通行容量比传统人工驾驶提升约 35%——当系统检测到异常时，信号以光速传遍全路段，所有车辆同时制动，消除了人工驾驶的逐车传递延迟。用户保留导航决策权，但驾驶执行权移交系统，</w:t>
      </w:r>
      <w:r>
        <w:rPr>
          <w:b/>
        </w:rPr>
        <w:t xml:space="preserve">不可手动接管</w:t>
      </w:r>
      <w:r>
        <w:t xml:space="preserve">。</w:t>
      </w:r>
    </w:p>
    <w:p>
      <w:pPr>
        <w:pStyle w:val="Heading3"/>
      </w:pPr>
      <w:bookmarkStart w:id="138" w:name="人工审查节点六秒窗口的制度设计"/>
      <w:r>
        <w:t xml:space="preserve">8.2.6　人工审查节点：六秒窗口的制度设计</w:t>
      </w:r>
      <w:bookmarkEnd w:id="138"/>
    </w:p>
    <w:p>
      <w:pPr>
        <w:pStyle w:val="FirstParagraph"/>
      </w:pPr>
      <w:r>
        <w:t xml:space="preserve">1979 年 3 月 28 日，宾夕法尼亚三里岛核电站二号机组阀门误闭。事故后调查发现，问题不在某个操作员的判断，而在系统设计——同时亮起的多重告警没有匹配的应对程序，操作员凭手册逐项排查的速度跟不上系统失稳的速度。监管机构事后强制全美核电站采纳</w:t>
      </w:r>
      <w:r>
        <w:t xml:space="preserve">“</w:t>
      </w:r>
      <w:r>
        <w:t xml:space="preserve">双人独立确认</w:t>
      </w:r>
      <w:r>
        <w:t xml:space="preserve">”</w:t>
      </w:r>
      <w:r>
        <w:t xml:space="preserve">制度：任何关键操作均须两名操作员各自判断后同时签字。这个制度未必能挽回三里岛——它有过度信任手册的人，没有时间去多请一个人——但它由此成为美国监管体系处理</w:t>
      </w:r>
      <w:r>
        <w:t xml:space="preserve">“</w:t>
      </w:r>
      <w:r>
        <w:t xml:space="preserve">高风险自动化</w:t>
      </w:r>
      <w:r>
        <w:t xml:space="preserve">”</w:t>
      </w:r>
      <w:r>
        <w:t xml:space="preserve">的标准答案：</w:t>
      </w:r>
      <w:r>
        <w:rPr>
          <w:b/>
        </w:rPr>
        <w:t xml:space="preserve">技术上不缺这一个人，但制度上必须有这一个人。</w:t>
      </w:r>
    </w:p>
    <w:p>
      <w:pPr>
        <w:pStyle w:val="BodyText"/>
      </w:pPr>
      <w:r>
        <w:t xml:space="preserve">2072 年的城市交通管理中心继承了同一传统，只是被放进了一个 AI 把握已经远超人工的环境里。</w:t>
      </w:r>
    </w:p>
    <w:p>
      <w:pPr>
        <w:pStyle w:val="BodyText"/>
      </w:pPr>
      <w:r>
        <w:t xml:space="preserve">全城统一 AI 控制体系在制度上保留了一个人工审查层。系统将</w:t>
      </w:r>
      <w:r>
        <w:t xml:space="preserve">“</w:t>
      </w:r>
      <w:r>
        <w:t xml:space="preserve">置信度低于内部阈值</w:t>
      </w:r>
      <w:r>
        <w:t xml:space="preserve">”</w:t>
      </w:r>
      <w:r>
        <w:t xml:space="preserve">的决策标记，推送至管辖区席位的操作员，给出六秒判断窗口。</w:t>
      </w:r>
      <w:r>
        <w:rPr>
          <w:b/>
        </w:rPr>
        <w:t xml:space="preserve">六秒窗口是</w:t>
      </w:r>
      <w:r>
        <w:rPr>
          <w:b/>
        </w:rPr>
        <w:t xml:space="preserve">“</w:t>
      </w:r>
      <w:r>
        <w:rPr>
          <w:b/>
        </w:rPr>
        <w:t xml:space="preserve">人类有机会阻止</w:t>
      </w:r>
      <w:r>
        <w:rPr>
          <w:b/>
        </w:rPr>
        <w:t xml:space="preserve">”</w:t>
      </w:r>
      <w:r>
        <w:rPr>
          <w:b/>
        </w:rPr>
        <w:t xml:space="preserve">的时间，不是</w:t>
      </w:r>
      <w:r>
        <w:rPr>
          <w:b/>
        </w:rPr>
        <w:t xml:space="preserve">“</w:t>
      </w:r>
      <w:r>
        <w:rPr>
          <w:b/>
        </w:rPr>
        <w:t xml:space="preserve">人类批准才能执行</w:t>
      </w:r>
      <w:r>
        <w:rPr>
          <w:b/>
        </w:rPr>
        <w:t xml:space="preserve">”</w:t>
      </w:r>
      <w:r>
        <w:rPr>
          <w:b/>
        </w:rPr>
        <w:t xml:space="preserve">的程序——六秒内操作员不覆盖，系统自动执行。</w:t>
      </w:r>
    </w:p>
    <w:p>
      <w:pPr>
        <w:pStyle w:val="BodyText"/>
      </w:pPr>
      <w:r>
        <w:t xml:space="preserve">六秒来自系统置信度的逻辑。早期版本给四秒；现行版本给六秒。工程师的解释是：系统已经足够确定自己的决策，留出六秒只是为了满足法规要求的</w:t>
      </w:r>
      <w:r>
        <w:t xml:space="preserve">“</w:t>
      </w:r>
      <w:r>
        <w:t xml:space="preserve">人工审查节点</w:t>
      </w:r>
      <w:r>
        <w:t xml:space="preserve">”</w:t>
      </w:r>
      <w:r>
        <w:t xml:space="preserve">。延长窗口不是给操作员更多时间，是系统在多等两秒后仍会做同一件事。操作员理论上有覆盖权，但覆盖需要极强的理由——系统记录所有覆盖决策，事后追溯是日常工作的一部分。</w:t>
      </w:r>
    </w:p>
    <w:p>
      <w:pPr>
        <w:pStyle w:val="BodyText"/>
      </w:pPr>
      <w:r>
        <w:t xml:space="preserve">六秒这个数字本身有一段立法史。2061 年《城市自主系统监管框架》草案的初稿中，公民安全倡导联盟提出的人工审查窗口为三十秒；系统运营商联盟的对案是两秒。</w:t>
      </w:r>
      <w:r>
        <w:rPr>
          <w:b/>
        </w:rPr>
        <w:t xml:space="preserve">最终谈判结果是六秒，技术附件中写明的依据是</w:t>
      </w:r>
      <w:r>
        <w:rPr>
          <w:b/>
        </w:rPr>
        <w:t xml:space="preserve">“</w:t>
      </w:r>
      <w:r>
        <w:rPr>
          <w:b/>
        </w:rPr>
        <w:t xml:space="preserve">不低于人类神经最低响应时限的三倍</w:t>
      </w:r>
      <w:r>
        <w:rPr>
          <w:b/>
        </w:rPr>
        <w:t xml:space="preserve">”</w:t>
      </w:r>
      <w:r>
        <w:rPr>
          <w:b/>
        </w:rPr>
        <w:t xml:space="preserve">——这一</w:t>
      </w:r>
      <w:r>
        <w:rPr>
          <w:b/>
        </w:rPr>
        <w:t xml:space="preserve">“</w:t>
      </w:r>
      <w:r>
        <w:rPr>
          <w:b/>
        </w:rPr>
        <w:t xml:space="preserve">三倍标准</w:t>
      </w:r>
      <w:r>
        <w:rPr>
          <w:b/>
        </w:rPr>
        <w:t xml:space="preserve">”</w:t>
      </w:r>
      <w:r>
        <w:rPr>
          <w:b/>
        </w:rPr>
        <w:t xml:space="preserve">在此之前不存在于任何工程规范或认知科学文献，是专为此次立法由法律顾问团队起草的定义。</w:t>
      </w:r>
      <w:r>
        <w:t xml:space="preserve"> </w:t>
      </w:r>
      <w:r>
        <w:t xml:space="preserve">它足够精确，以至于看起来有科学依据；它足够模糊，以至于任何一方都可以声称自己赢得了谈判。这是制度演化中常见的合金：科学的措辞，谈判的内容。</w:t>
      </w:r>
    </w:p>
    <w:p>
      <w:pPr>
        <w:pStyle w:val="BodyText"/>
      </w:pPr>
      <w:r>
        <w:t xml:space="preserve">主要城市集群的交管中心设一到四个管辖区席位，每个席位负责约三十万到一百万移动单元，每班八小时，连续监控上限约四小时。触发频率约每月两到三次。</w:t>
      </w:r>
      <w:r>
        <w:rPr>
          <w:b/>
        </w:rPr>
        <w:t xml:space="preserve">这一岗位最耗费注意力的事，不是判断，是保持清醒</w:t>
      </w:r>
      <w:r>
        <w:t xml:space="preserve">。两到三次，铃声响起，六秒倒计时开始；六秒里操作员要做的事其实很少——系统已经写好了它想做的，操作员只要不按那个红色按钮，事情就会照系统的意思发生。</w:t>
      </w:r>
    </w:p>
    <w:p>
      <w:pPr>
        <w:pStyle w:val="BodyText"/>
      </w:pPr>
      <w:r>
        <w:t xml:space="preserve">这种</w:t>
      </w:r>
      <w:r>
        <w:t xml:space="preserve">“</w:t>
      </w:r>
      <w:r>
        <w:t xml:space="preserve">为合规而保留人节点</w:t>
      </w:r>
      <w:r>
        <w:t xml:space="preserve">”</w:t>
      </w:r>
      <w:r>
        <w:t xml:space="preserve">的设计在历史上有一个被铭记的反例。1983 年 9 月 26 日凌晨，苏联防空系统报告美国发射多枚洲际弹道导弹。值班军官 Petrov 凭直觉判断这是误警——系统逻辑上要求他立即上报以触发反击程序，他没有上报。事后查明确实是卫星反射误读。</w:t>
      </w:r>
      <w:r>
        <w:rPr>
          <w:b/>
        </w:rPr>
        <w:t xml:space="preserve">那一夜，</w:t>
      </w:r>
      <w:r>
        <w:rPr>
          <w:b/>
        </w:rPr>
        <w:t xml:space="preserve">“</w:t>
      </w:r>
      <w:r>
        <w:rPr>
          <w:b/>
        </w:rPr>
        <w:t xml:space="preserve">人保留覆盖权</w:t>
      </w:r>
      <w:r>
        <w:rPr>
          <w:b/>
        </w:rPr>
        <w:t xml:space="preserve">”</w:t>
      </w:r>
      <w:r>
        <w:rPr>
          <w:b/>
        </w:rPr>
        <w:t xml:space="preserve">不是仪式，而是把世界从核战边缘拉回的实际机制。</w:t>
      </w:r>
      <w:r>
        <w:t xml:space="preserve"> </w:t>
      </w:r>
      <w:r>
        <w:t xml:space="preserve">但 Petrov 之所以能起作用，恰恰是因为系统当时还远不够确定自己。当系统的置信度足够高、覆盖的理由足够稀薄时，</w:t>
      </w:r>
      <w:r>
        <w:t xml:space="preserve">“</w:t>
      </w:r>
      <w:r>
        <w:t xml:space="preserve">人节点</w:t>
      </w:r>
      <w:r>
        <w:t xml:space="preserve">”</w:t>
      </w:r>
      <w:r>
        <w:t xml:space="preserve">在大概率上会变成 1979 年三里岛之后的那种制度装饰——技术不需要它，但制度不允许没有它。六秒窗口正处在这个阶梯的远端。</w:t>
      </w:r>
    </w:p>
    <w:p>
      <w:pPr>
        <w:pStyle w:val="BodyText"/>
      </w:pPr>
      <w:r>
        <w:t xml:space="preserve">这个设计的逻辑矛盾并不隐晦：保留人工审查是为了合规，不是因为人类判断更准确。操作员席位是制度性存在，不是技术需求。</w:t>
      </w:r>
      <w:r>
        <w:rPr>
          <w:b/>
        </w:rPr>
        <w:t xml:space="preserve">到 2072 年，没有哪个主要经济体有政治意愿彻底取消这个节点</w:t>
      </w:r>
      <w:r>
        <w:t xml:space="preserve">。它的功能不在于阻止 AI 出错，而在于让普通市民能够回答</w:t>
      </w:r>
      <w:r>
        <w:t xml:space="preserve">“</w:t>
      </w:r>
      <w:r>
        <w:t xml:space="preserve">出了事谁负责</w:t>
      </w:r>
      <w:r>
        <w:t xml:space="preserve">”</w:t>
      </w:r>
      <w:r>
        <w:t xml:space="preserve">这一问题——问到这一句时，制度可以指向那把椅子上坐着的那个人。</w:t>
      </w:r>
      <w:r>
        <w:rPr>
          <w:b/>
        </w:rPr>
        <w:t xml:space="preserve">有人的椅子比无人的椅子更便于追责，即使那个人在六秒里其实什么也做不了。</w:t>
      </w:r>
    </w:p>
    <w:p>
      <w:pPr>
        <w:pStyle w:val="BodyText"/>
      </w:pPr>
      <w:r>
        <w:t xml:space="preserve">这是制度对技术的一种古老姿态——把仪式当成兜底，把追责对象保留在物理位置上。它不解决技术问题，但解决政治问题。</w:t>
      </w:r>
      <w:r>
        <w:rPr>
          <w:b/>
        </w:rPr>
        <w:t xml:space="preserve">当事故发生，必须有一双手能被找到。</w:t>
      </w:r>
      <w:r>
        <w:t xml:space="preserve"> </w:t>
      </w:r>
      <w:r>
        <w:t xml:space="preserve">六秒窗口不是这个逻辑的偏差，是它的延续。</w:t>
      </w:r>
    </w:p>
    <w:p>
      <w:pPr>
        <w:pStyle w:val="Heading3"/>
      </w:pPr>
      <w:bookmarkStart w:id="139" w:name="算力架构分布式网络"/>
      <w:r>
        <w:t xml:space="preserve">8.2.7　算力架构：分布式网络</w:t>
      </w:r>
      <w:bookmarkEnd w:id="139"/>
    </w:p>
    <w:p>
      <w:pPr>
        <w:pStyle w:val="FirstParagraph"/>
      </w:pPr>
      <w:r>
        <w:t xml:space="preserve">人口三千万的城市，高峰期在路面上移动的单元约三百万到五百万辆。这个规模在直觉上容易引发</w:t>
      </w:r>
      <w:r>
        <w:t xml:space="preserve">“</w:t>
      </w:r>
      <w:r>
        <w:t xml:space="preserve">运算量过大</w:t>
      </w:r>
      <w:r>
        <w:t xml:space="preserve">”</w:t>
      </w:r>
      <w:r>
        <w:t xml:space="preserve">的疑虑，</w:t>
      </w:r>
      <w:r>
        <w:rPr>
          <w:b/>
        </w:rPr>
        <w:t xml:space="preserve">但系统的实际负载分布与直觉预期有根本性差异</w:t>
      </w:r>
      <w:r>
        <w:t xml:space="preserve">。</w:t>
      </w:r>
    </w:p>
    <w:p>
      <w:pPr>
        <w:pStyle w:val="BodyText"/>
      </w:pPr>
      <w:r>
        <w:rPr>
          <w:b/>
        </w:rPr>
        <w:t xml:space="preserve">分层处理消除中心瓶颈。</w:t>
      </w:r>
      <w:r>
        <w:t xml:space="preserve"> </w:t>
      </w:r>
      <w:r>
        <w:t xml:space="preserve">全控高速的系统负载集中在路侧边缘节点，不在中央服务器。路侧节点每 50—100 米部署一处，每个节点管理本地约 200—300 米路段内的 20—50 辆车，在 10 毫秒级时间窗口内完成本地协调，向上层传递聚合状态摘要。</w:t>
      </w:r>
      <w:r>
        <w:rPr>
          <w:b/>
        </w:rPr>
        <w:t xml:space="preserve">中央服务器接收的是路段级状态摘要，处理全局路径规划和流量优化，容忍秒级延迟</w:t>
      </w:r>
      <w:r>
        <w:t xml:space="preserve">。时间敏感的安全响应发生在边缘，不经过中央，不受三千万人口规模的影响。</w:t>
      </w:r>
    </w:p>
    <w:p>
      <w:pPr>
        <w:pStyle w:val="BodyText"/>
      </w:pPr>
      <w:r>
        <w:rPr>
          <w:b/>
        </w:rPr>
        <w:t xml:space="preserve">普通道路的系统负载接近于零。</w:t>
      </w:r>
      <w:r>
        <w:t xml:space="preserve"> </w:t>
      </w:r>
      <w:r>
        <w:t xml:space="preserve">城市流量管理 AI 在 2072 年的算力条件下是平淡无奇的后台任务——交通信号优化的算力需求，与驾驶控制数百万辆车之间相差五到六个数量级。</w:t>
      </w:r>
    </w:p>
    <w:p>
      <w:pPr>
        <w:pStyle w:val="BodyText"/>
      </w:pPr>
      <w:r>
        <w:rPr>
          <w:b/>
        </w:rPr>
        <w:t xml:space="preserve">全控高速的实时性。</w:t>
      </w:r>
      <w:r>
        <w:t xml:space="preserve"> </w:t>
      </w:r>
      <w:r>
        <w:t xml:space="preserve">160 km/h 约合 44 m/s，全控段设计间距约 130 米（约 3 秒行驶距离），系统需要在任何车辆出现异常时 50 毫秒内触发区域降速响应。</w:t>
      </w:r>
      <w:r>
        <w:rPr>
          <w:b/>
        </w:rPr>
        <w:t xml:space="preserve">这个 50 毫秒响应由路侧节点本地完成</w:t>
      </w:r>
      <w:r>
        <w:t xml:space="preserve">——异常触发不需要请求上级授权，直接执行本地降速协议，同时向相邻节点广播异常信号，触发扩散降速。</w:t>
      </w:r>
    </w:p>
    <w:p>
      <w:pPr>
        <w:pStyle w:val="BodyText"/>
      </w:pPr>
      <w:r>
        <w:rPr>
          <w:b/>
        </w:rPr>
        <w:t xml:space="preserve">带宽不是瓶颈。</w:t>
      </w:r>
      <w:r>
        <w:t xml:space="preserve"> </w:t>
      </w:r>
      <w:r>
        <w:t xml:space="preserve">单车数据流约 8 kbps，三百万辆车的总上行带宽约 24 Gbps——在 2072 年城市光纤基础设施密度下约相当于今天一线城市家庭宽带总聚合带宽的 1/50 到 1/100，</w:t>
      </w:r>
      <w:r>
        <w:rPr>
          <w:b/>
        </w:rPr>
        <w:t xml:space="preserve">技术上微不足道</w:t>
      </w:r>
      <w:r>
        <w:t xml:space="preserve">。</w:t>
      </w:r>
    </w:p>
    <w:p>
      <w:pPr>
        <w:pStyle w:val="BodyText"/>
      </w:pPr>
      <w:r>
        <w:rPr>
          <w:b/>
        </w:rPr>
        <w:t xml:space="preserve">三千万城市的地面交通系统不是一台巨大的中央计算机在处理一切，是一个以路侧节点为基础单元的分布式网络</w:t>
      </w:r>
      <w:r>
        <w:t xml:space="preserve">，每个节点独立处理局部，系统的</w:t>
      </w:r>
      <w:r>
        <w:t xml:space="preserve">“</w:t>
      </w:r>
      <w:r>
        <w:t xml:space="preserve">智能</w:t>
      </w:r>
      <w:r>
        <w:t xml:space="preserve">”</w:t>
      </w:r>
      <w:r>
        <w:t xml:space="preserve">分散在整个网络里。</w:t>
      </w:r>
      <w:r>
        <w:rPr>
          <w:b/>
        </w:rPr>
        <w:t xml:space="preserve">规模带来的不是单点负载，是节点数量——而节点可以复制，负载不会集中。</w:t>
      </w:r>
    </w:p>
    <w:p>
      <w:pPr>
        <w:pStyle w:val="Heading3"/>
      </w:pPr>
      <w:bookmarkStart w:id="140" w:name="数据副产品与监控整合"/>
      <w:r>
        <w:t xml:space="preserve">8.2.8　数据副产品与监控整合</w:t>
      </w:r>
      <w:bookmarkEnd w:id="140"/>
    </w:p>
    <w:p>
      <w:pPr>
        <w:pStyle w:val="FirstParagraph"/>
      </w:pPr>
      <w:r>
        <w:t xml:space="preserve">控制系统运作依赖持续的数据流，</w:t>
      </w:r>
      <w:r>
        <w:rPr>
          <w:b/>
        </w:rPr>
        <w:t xml:space="preserve">这些数据在完成控制功能之后，是高价值的监控副产品</w:t>
      </w:r>
      <w:r>
        <w:t xml:space="preserve">——城市居民的出行时间、出行模式、停留地点，被系统持续记录。</w:t>
      </w:r>
      <w:r>
        <w:rPr>
          <w:b/>
        </w:rPr>
        <w:t xml:space="preserve">Muule 步行跟随模式让颗粒度更细：不只是用户在哪里，是用户在做什么</w:t>
      </w:r>
      <w:r>
        <w:t xml:space="preserve">，系统知道。</w:t>
      </w:r>
    </w:p>
    <w:p>
      <w:pPr>
        <w:pStyle w:val="BodyText"/>
      </w:pPr>
      <w:r>
        <w:rPr>
          <w:b/>
        </w:rPr>
        <w:t xml:space="preserve">中国路径</w:t>
      </w:r>
      <w:r>
        <w:t xml:space="preserve">下，交通数据直接纳入社会管理系统，与 AI 情绪监测、配给消费记录整合，形成颗粒度极细的居民行为画像。管辖区席位操作员的屏幕只显示流量控制所需的聚合数据，原始数据流进入社会管理系统，不经过操作员这一层。</w:t>
      </w:r>
    </w:p>
    <w:p>
      <w:pPr>
        <w:pStyle w:val="BodyText"/>
      </w:pPr>
      <w:r>
        <w:rPr>
          <w:b/>
        </w:rPr>
        <w:t xml:space="preserve">美式路径</w:t>
      </w:r>
      <w:r>
        <w:t xml:space="preserve">下，交通数据归属运营公司，法院判决设定了基本数据保护底线，政府获取需要授权。运营公司以</w:t>
      </w:r>
      <w:r>
        <w:t xml:space="preserve">“</w:t>
      </w:r>
      <w:r>
        <w:t xml:space="preserve">聚合形式</w:t>
      </w:r>
      <w:r>
        <w:t xml:space="preserve">”</w:t>
      </w:r>
      <w:r>
        <w:t xml:space="preserve">变现数据——保险定价、路段优化、广告推送。</w:t>
      </w:r>
      <w:r>
        <w:rPr>
          <w:b/>
        </w:rPr>
        <w:t xml:space="preserve">“</w:t>
      </w:r>
      <w:r>
        <w:rPr>
          <w:b/>
        </w:rPr>
        <w:t xml:space="preserve">不出售个人数据</w:t>
      </w:r>
      <w:r>
        <w:rPr>
          <w:b/>
        </w:rPr>
        <w:t xml:space="preserve">”</w:t>
      </w:r>
      <w:r>
        <w:rPr>
          <w:b/>
        </w:rPr>
        <w:t xml:space="preserve">和</w:t>
      </w:r>
      <w:r>
        <w:rPr>
          <w:b/>
        </w:rPr>
        <w:t xml:space="preserve">“</w:t>
      </w:r>
      <w:r>
        <w:rPr>
          <w:b/>
        </w:rPr>
        <w:t xml:space="preserve">以衍生形式使用个人数据</w:t>
      </w:r>
      <w:r>
        <w:rPr>
          <w:b/>
        </w:rPr>
        <w:t xml:space="preserve">”</w:t>
      </w:r>
      <w:r>
        <w:rPr>
          <w:b/>
        </w:rPr>
        <w:t xml:space="preserve">之间的边界，在 2072 年仍然是法律灰色地带。</w:t>
      </w:r>
    </w:p>
    <w:p>
      <w:pPr>
        <w:pStyle w:val="BodyText"/>
      </w:pPr>
      <w:r>
        <w:rPr>
          <w:b/>
        </w:rPr>
        <w:t xml:space="preserve">两条主路径都高度渗透，区别在于渗透者是国家还是资本。</w:t>
      </w:r>
      <w:r>
        <w:t xml:space="preserve"> </w:t>
      </w:r>
      <w:r>
        <w:t xml:space="preserve">具体的监控形态与制度边界本书在卷 3 章九（城市数字基础设施与信息战）展开。</w:t>
      </w:r>
    </w:p>
    <w:p>
      <w:pPr>
        <w:pStyle w:val="Heading3"/>
      </w:pPr>
      <w:bookmarkStart w:id="141" w:name="两条主路径的技术差异"/>
      <w:r>
        <w:t xml:space="preserve">8.2.9　两条主路径的技术差异</w:t>
      </w:r>
      <w:bookmarkEnd w:id="141"/>
    </w:p>
    <w:p>
      <w:pPr>
        <w:pStyle w:val="FirstParagraph"/>
      </w:pPr>
      <w:r>
        <w:t xml:space="preserve">两条主路径的道路控制体系的</w:t>
      </w:r>
      <w:r>
        <w:rPr>
          <w:b/>
        </w:rPr>
        <w:t xml:space="preserve">底层通信协议互不兼容</w:t>
      </w:r>
      <w:r>
        <w:t xml:space="preserve">：两套系统在没有协调的情况下独立演化，加密通信层和位置认证机制各自开发，事实上形成互斥。2072 年在接触面存在最低限度的转换协议：体系外车辆可以在对方体系的普通城市道路上以</w:t>
      </w:r>
      <w:r>
        <w:t xml:space="preserve">“</w:t>
      </w:r>
      <w:r>
        <w:t xml:space="preserve">访客模式</w:t>
      </w:r>
      <w:r>
        <w:t xml:space="preserve">”</w:t>
      </w:r>
      <w:r>
        <w:t xml:space="preserve">运行（速度上限更低，路径规划由访客方 AI 代理执行），</w:t>
      </w:r>
      <w:r>
        <w:rPr>
          <w:b/>
        </w:rPr>
        <w:t xml:space="preserve">但无法进入对方体系的全控高速</w:t>
      </w:r>
      <w:r>
        <w:t xml:space="preserve">。体系边界在地图上是可见的行政分界，在地面上是固定入口处的识别闸门。</w:t>
      </w:r>
    </w:p>
    <w:p>
      <w:pPr>
        <w:pStyle w:val="BodyText"/>
      </w:pPr>
      <w:r>
        <w:rPr>
          <w:b/>
        </w:rPr>
        <w:t xml:space="preserve">美式路径是分布式算法：</w:t>
      </w:r>
      <w:r>
        <w:t xml:space="preserve"> </w:t>
      </w:r>
      <w:r>
        <w:t xml:space="preserve">控制逻辑在车端和路端共同执行，中心调度只处理路段级以上的规划，</w:t>
      </w:r>
      <w:r>
        <w:rPr>
          <w:b/>
        </w:rPr>
        <w:t xml:space="preserve">单节点失效不影响整体运作</w:t>
      </w:r>
      <w:r>
        <w:t xml:space="preserve">。</w:t>
      </w:r>
    </w:p>
    <w:p>
      <w:pPr>
        <w:pStyle w:val="BodyText"/>
      </w:pPr>
      <w:r>
        <w:rPr>
          <w:b/>
        </w:rPr>
        <w:t xml:space="preserve">中国路径是中心化调度：</w:t>
      </w:r>
      <w:r>
        <w:t xml:space="preserve"> </w:t>
      </w:r>
      <w:r>
        <w:t xml:space="preserve">算法在云端执行，车端只接收指令，</w:t>
      </w:r>
      <w:r>
        <w:rPr>
          <w:b/>
        </w:rPr>
        <w:t xml:space="preserve">稳定状态下协调效率更高，但对中心节点的依赖更强</w:t>
      </w:r>
      <w:r>
        <w:t xml:space="preserve">。攻击中心调度节点是效率最高的破坏方式，中国路径安全设计把保护中心节点列为首要优先级，</w:t>
      </w:r>
      <w:r>
        <w:rPr>
          <w:b/>
        </w:rPr>
        <w:t xml:space="preserve">备份节点的地理分布是核心基础设施机密</w:t>
      </w:r>
      <w:r>
        <w:t xml:space="preserve">。</w:t>
      </w:r>
    </w:p>
    <w:p>
      <w:pPr>
        <w:pStyle w:val="Heading3"/>
      </w:pPr>
      <w:bookmarkStart w:id="142" w:name="演化脉络"/>
      <w:r>
        <w:t xml:space="preserve">8.2.10　演化脉络</w:t>
      </w:r>
      <w:bookmarkEnd w:id="142"/>
    </w:p>
    <w:p>
      <w:pPr>
        <w:pStyle w:val="FirstParagraph"/>
      </w:pPr>
      <w:r>
        <w:t xml:space="preserve">全控高速的基础设施在 2040 年代随物流走廊经济化逐步铺设，普通城市道路的 AI 流量管理密度在 2050 年代随传感器成本下降而快速提升。到 2058 年，主要城市集群接入车辆比例超过 90%，</w:t>
      </w:r>
      <w:r>
        <w:rPr>
          <w:b/>
        </w:rPr>
        <w:t xml:space="preserve">人工驾驶车辆成为城市道路上的统计异常</w:t>
      </w:r>
      <w:r>
        <w:t xml:space="preserve">。</w:t>
      </w:r>
    </w:p>
    <w:p>
      <w:pPr>
        <w:pStyle w:val="BodyText"/>
      </w:pPr>
      <w:r>
        <w:rPr>
          <w:b/>
        </w:rPr>
        <w:t xml:space="preserve">这个过渡的关键节点不是技术突破，是保险精算的翻转</w:t>
      </w:r>
      <w:r>
        <w:t xml:space="preserve">。2049 年前后，主要保险公司数据显示：城市道路上人工驾驶车辆的事故率，是接入 AI 控制车辆的十四到二十倍。保费差距的拉大使人工驾驶在经济上不可持续；同期，主要城市集群陆续立法要求新车强制接入。到 2060 年代，</w:t>
      </w:r>
      <w:r>
        <w:rPr>
          <w:b/>
        </w:rPr>
        <w:t xml:space="preserve">人工驾驶在城市集群内部已是行政许可事项，实践中申请量接近于零</w:t>
      </w:r>
      <w:r>
        <w:t xml:space="preserve">。</w:t>
      </w:r>
    </w:p>
    <w:p>
      <w:pPr>
        <w:pStyle w:val="BodyText"/>
      </w:pPr>
      <w:r>
        <w:t xml:space="preserve">操作员席位作为</w:t>
      </w:r>
      <w:r>
        <w:t xml:space="preserve">“</w:t>
      </w:r>
      <w:r>
        <w:t xml:space="preserve">人工审查节点</w:t>
      </w:r>
      <w:r>
        <w:t xml:space="preserve">”</w:t>
      </w:r>
      <w:r>
        <w:t xml:space="preserve">的制度化存在，</w:t>
      </w:r>
      <w:r>
        <w:rPr>
          <w:b/>
        </w:rPr>
        <w:t xml:space="preserve">是这条演化路径的最后一个保留物</w:t>
      </w:r>
      <w:r>
        <w:t xml:space="preserve">。它不需要技术理由，只需要政治理由——</w:t>
      </w:r>
      <w:r>
        <w:t xml:space="preserve">“</w:t>
      </w:r>
      <w:r>
        <w:t xml:space="preserve">人类仍在控制链上</w:t>
      </w:r>
      <w:r>
        <w:t xml:space="preserve">”</w:t>
      </w:r>
      <w:r>
        <w:t xml:space="preserve">的叙事，对不同路径下不同程度的公众不安全感都有安抚作用。预测认为这个岗位至少会维持到 2090 年代——届时控制链上的</w:t>
      </w:r>
      <w:r>
        <w:t xml:space="preserve">“</w:t>
      </w:r>
      <w:r>
        <w:t xml:space="preserve">人类</w:t>
      </w:r>
      <w:r>
        <w:t xml:space="preserve">”</w:t>
      </w:r>
      <w:r>
        <w:t xml:space="preserve">将是当年设计系统的 AI 的 AI 的设计者的后代——但制度上，</w:t>
      </w:r>
      <w:r>
        <w:rPr>
          <w:b/>
        </w:rPr>
        <w:t xml:space="preserve">人仍然在那个席位上，屏幕仍然亮着，六秒窗口仍然开放</w:t>
      </w:r>
      <w:r>
        <w:t xml:space="preserve">。</w:t>
      </w:r>
    </w:p>
    <w:p>
      <w:pPr>
        <w:pStyle w:val="Heading3"/>
      </w:pPr>
      <w:bookmarkStart w:id="143" w:name="收束-12"/>
      <w:r>
        <w:t xml:space="preserve">收束</w:t>
      </w:r>
      <w:bookmarkEnd w:id="143"/>
    </w:p>
    <w:p>
      <w:pPr>
        <w:pStyle w:val="FirstParagraph"/>
      </w:pPr>
      <w:r>
        <w:t xml:space="preserve">地面交通控制系统是 2072 年城市基础设施中最具代表性的</w:t>
      </w:r>
      <w:r>
        <w:t xml:space="preserve">“</w:t>
      </w:r>
      <w:r>
        <w:t xml:space="preserve">AI 时代基础设施</w:t>
      </w:r>
      <w:r>
        <w:t xml:space="preserve">”</w:t>
      </w:r>
      <w:r>
        <w:t xml:space="preserve">形态：</w:t>
      </w:r>
      <w:r>
        <w:rPr>
          <w:b/>
        </w:rPr>
        <w:t xml:space="preserve">双层架构 + 物理封闭前提 + 分布式算力 + 制度性人工节点 + 监控副产品</w:t>
      </w:r>
      <w:r>
        <w:t xml:space="preserve">——五个特征叠加形成一个既高效又规范、既透明又被记录的城市出行体系。这一形态在不同路径上以不同的政治含义运行，但物质结构是同源的。</w:t>
      </w:r>
    </w:p>
    <w:p>
      <w:pPr>
        <w:pStyle w:val="BodyText"/>
      </w:pPr>
      <w:r>
        <w:t xml:space="preserve">下一节（8.3）转入海洋运输体系。</w:t>
      </w:r>
    </w:p>
    <w:p>
      <w:pPr>
        <w:pStyle w:val="Heading2"/>
      </w:pPr>
      <w:bookmarkStart w:id="144" w:name="海洋运输体系"/>
      <w:r>
        <w:t xml:space="preserve">8.3　海洋运输体系</w:t>
      </w:r>
      <w:bookmarkEnd w:id="144"/>
    </w:p>
    <w:p>
      <w:pPr>
        <w:pStyle w:val="FirstParagraph"/>
      </w:pPr>
      <w:r>
        <w:t xml:space="preserve">2072 年的海洋运输由三个层级构成：</w:t>
      </w:r>
      <w:r>
        <w:rPr>
          <w:b/>
        </w:rPr>
        <w:t xml:space="preserve">传统远洋货运</w:t>
      </w:r>
      <w:r>
        <w:t xml:space="preserve">（大宗低附加值货物的主干）、</w:t>
      </w:r>
      <w:r>
        <w:rPr>
          <w:b/>
        </w:rPr>
        <w:t xml:space="preserve">地效应飞行器</w:t>
      </w:r>
      <w:r>
        <w:t xml:space="preserve">（高价值时效货物的速度层）、</w:t>
      </w:r>
      <w:r>
        <w:rPr>
          <w:b/>
        </w:rPr>
        <w:t xml:space="preserve">深海采矿城镇的专用供应链</w:t>
      </w:r>
      <w:r>
        <w:t xml:space="preserve">。三层在运营逻辑、覆盖区域、服务对象上各有定位，共同构成陆地之外全球物流的完整图景。</w:t>
      </w:r>
    </w:p>
    <w:p>
      <w:pPr>
        <w:pStyle w:val="Heading3"/>
      </w:pPr>
      <w:bookmarkStart w:id="145" w:name="传统远洋货运效率革新结构延续"/>
      <w:r>
        <w:t xml:space="preserve">8.3.1　传统远洋货运：效率革新，结构延续</w:t>
      </w:r>
      <w:bookmarkEnd w:id="145"/>
    </w:p>
    <w:p>
      <w:pPr>
        <w:pStyle w:val="FirstParagraph"/>
      </w:pPr>
      <w:r>
        <w:t xml:space="preserve">远洋集装箱运输在 2072 年仍是全球大宗货物的主干。聚变电力使港口能耗大幅下降，岸吊、堆场、冷链系统全面电气化，</w:t>
      </w:r>
      <w:r>
        <w:rPr>
          <w:b/>
        </w:rPr>
        <w:t xml:space="preserve">港口综合周转效率较 2030 年代提升约 40%</w:t>
      </w:r>
      <w:r>
        <w:t xml:space="preserve">。船队沿两条路线演进：新造船自 2040 年代起全面转向氢燃料或氨燃料推进，利用聚变电解制氢的低成本优势；存量重燃油船通过碳捕获装置延续服务，预计 2070 年代基本完成更替。</w:t>
      </w:r>
    </w:p>
    <w:p>
      <w:pPr>
        <w:pStyle w:val="BodyText"/>
      </w:pPr>
      <w:r>
        <w:t xml:space="preserve">固定港口对港口的短程高密度航线已部署</w:t>
      </w:r>
      <w:r>
        <w:rPr>
          <w:b/>
        </w:rPr>
        <w:t xml:space="preserve">全自动无人货船</w:t>
      </w:r>
      <w:r>
        <w:t xml:space="preserve">。洲际航线采用</w:t>
      </w:r>
      <w:r>
        <w:t xml:space="preserve">“</w:t>
      </w:r>
      <w:r>
        <w:t xml:space="preserve">监督式自动驾驶</w:t>
      </w:r>
      <w:r>
        <w:t xml:space="preserve">”</w:t>
      </w:r>
      <w:r>
        <w:t xml:space="preserve">——AI 负责导航、避碰、气象路由，少量船员在船负责系统监督和意外处置。规模天花板受苏伊士和巴拿马运河物理约束，主力超大型集装箱船约 25,000—28,000 TEU。</w:t>
      </w:r>
      <w:r>
        <w:rPr>
          <w:b/>
        </w:rPr>
        <w:t xml:space="preserve">传统海运保持竞争力的货物类型：矿石、粮食、化工品、液化气</w:t>
      </w:r>
      <w:r>
        <w:t xml:space="preserve">——对时效不敏感、批量极大、单位价值低的品类。</w:t>
      </w:r>
    </w:p>
    <w:p>
      <w:pPr>
        <w:pStyle w:val="Heading3"/>
      </w:pPr>
      <w:bookmarkStart w:id="146" w:name="地效应飞行器大宗货物的速度层"/>
      <w:r>
        <w:t xml:space="preserve">8.3.2　地效应飞行器：大宗货物的速度层</w:t>
      </w:r>
      <w:bookmarkEnd w:id="146"/>
    </w:p>
    <w:p>
      <w:pPr>
        <w:pStyle w:val="FirstParagraph"/>
      </w:pPr>
      <w:r>
        <w:t xml:space="preserve">地效应飞行器（Wing-In-Ground effect craft，WIG）在 2072 年完成从军事试验到商业化的转型。</w:t>
      </w:r>
      <w:r>
        <w:rPr>
          <w:b/>
        </w:rPr>
        <w:t xml:space="preserve">运行原理：利用近水面（2—20 米高度）的气动增升效应，此高度所需升力功率仅为同等速度普通飞机的 30—50%</w:t>
      </w:r>
      <w:r>
        <w:t xml:space="preserve">，是地效飞行的效率来源。</w:t>
      </w:r>
    </w:p>
    <w:p>
      <w:pPr>
        <w:pStyle w:val="BodyText"/>
      </w:pPr>
      <w:r>
        <w:t xml:space="preserve">2072 年商业主力型核心参数：速度 280—420 km/h（传统货轮的 6—8 倍）；载重主力型 800—2,000 吨，重型型可达 3,500 吨；飞行高度 2—20 米（随海况上限动态调整）；续航 4,000—6,000 km；燃料合成航煤（SAF）；海况限制有效波高 ≤ 3.5 米（约蒲福 4—5 级）正常运营；起降设施专用斜坡式登滩坡道，可在现有港口扩建区建设，</w:t>
      </w:r>
      <w:r>
        <w:rPr>
          <w:b/>
        </w:rPr>
        <w:t xml:space="preserve">不需传统机场跑道</w:t>
      </w:r>
      <w:r>
        <w:t xml:space="preserve">。</w:t>
      </w:r>
    </w:p>
    <w:p>
      <w:pPr>
        <w:pStyle w:val="BodyText"/>
      </w:pPr>
      <w:r>
        <w:rPr>
          <w:b/>
        </w:rPr>
        <w:t xml:space="preserve">竞争位置：比货轮快 6—8 倍，比同等运力货运飞机燃耗低约 65%。</w:t>
      </w:r>
      <w:r>
        <w:t xml:space="preserve"> </w:t>
      </w:r>
      <w:r>
        <w:t xml:space="preserve">被其压缩的市场：电子元件、医疗物资、小批量高附加值制造品、时效性食品——</w:t>
      </w:r>
      <w:r>
        <w:rPr>
          <w:b/>
        </w:rPr>
        <w:t xml:space="preserve">聚变前时代依赖空运的货物，2072 年大部分转入地效应飞行器</w:t>
      </w:r>
      <w:r>
        <w:t xml:space="preserve">。洲际大洋风浪常超运营上限，跨洲际低价值大宗货物仍由传统货轮承担。</w:t>
      </w:r>
    </w:p>
    <w:p>
      <w:pPr>
        <w:pStyle w:val="BodyText"/>
      </w:pPr>
      <w:r>
        <w:t xml:space="preserve">主要航线：东亚—东南亚沿海走廊、北海—波罗的海、墨西哥湾—美国东海岸、地中海。</w:t>
      </w:r>
    </w:p>
    <w:p>
      <w:pPr>
        <w:pStyle w:val="Heading3"/>
      </w:pPr>
      <w:bookmarkStart w:id="147" w:name="深海城镇供应链极端环境下的三层物流"/>
      <w:r>
        <w:t xml:space="preserve">8.3.3　深海城镇供应链：极端环境下的三层物流</w:t>
      </w:r>
      <w:bookmarkEnd w:id="147"/>
    </w:p>
    <w:p>
      <w:pPr>
        <w:pStyle w:val="FirstParagraph"/>
      </w:pPr>
      <w:r>
        <w:t xml:space="preserve">深海采矿城镇（水深 1,500—4,500 米，数百至数千名技术人员常驻）的物资保障是海洋物流中技术要求最高的一层。城镇既无法依赖常规港口，又需要持续供应设备零件、食物、医疗物资和人员轮换。</w:t>
      </w:r>
      <w:r>
        <w:rPr>
          <w:b/>
        </w:rPr>
        <w:t xml:space="preserve">供应链由三层叠加组成，各有不同的时效和载量定位。</w:t>
      </w:r>
    </w:p>
    <w:p>
      <w:pPr>
        <w:pStyle w:val="BodyText"/>
      </w:pPr>
      <w:r>
        <w:rPr>
          <w:b/>
        </w:rPr>
        <w:t xml:space="preserve">主干层——专用深海补给船。</w:t>
      </w:r>
      <w:r>
        <w:t xml:space="preserve"> </w:t>
      </w:r>
      <w:r>
        <w:t xml:space="preserve">每 2—3 周一次大宗物资补给。补给船配备动力定位系统，可在无锚地海域悬停；物资通过水下对接通道直接卸入城镇物资舱，不受海况影响。单次补给量可达数百吨，同时承担设备大修零件和长期轮换人员输送——</w:t>
      </w:r>
      <w:r>
        <w:rPr>
          <w:b/>
        </w:rPr>
        <w:t xml:space="preserve">是城镇的物资基石</w:t>
      </w:r>
      <w:r>
        <w:t xml:space="preserve">。</w:t>
      </w:r>
    </w:p>
    <w:p>
      <w:pPr>
        <w:pStyle w:val="BodyText"/>
      </w:pPr>
      <w:r>
        <w:rPr>
          <w:b/>
        </w:rPr>
        <w:t xml:space="preserve">应急层——STOL 与重型直升机。</w:t>
      </w:r>
      <w:r>
        <w:t xml:space="preserve"> </w:t>
      </w:r>
      <w:r>
        <w:t xml:space="preserve">城镇上方设有动力定位水面浮台，配置 STOL 起降平台。用于急救医疗转运（时间窗口以小时计）、专家技术人员快速支援、小批量高价值零件紧急补给（精密传感器、控制芯片）。STOL 从最近的陆地基地或离岸浮台起飞，单程约 45—120 分钟。</w:t>
      </w:r>
    </w:p>
    <w:p>
      <w:pPr>
        <w:pStyle w:val="BodyText"/>
      </w:pPr>
      <w:r>
        <w:rPr>
          <w:b/>
        </w:rPr>
        <w:t xml:space="preserve">点对点层——自主水下运载器（AUV 货运）。</w:t>
      </w:r>
      <w:r>
        <w:t xml:space="preserve"> </w:t>
      </w:r>
      <w:r>
        <w:t xml:space="preserve">高价值小批量物资的水下直送通道。AUV 从最近深海节点沿海底预设航道自主导航至目标城镇，</w:t>
      </w:r>
      <w:r>
        <w:rPr>
          <w:b/>
        </w:rPr>
        <w:t xml:space="preserve">不需要海面操作窗口，不受恶劣海况影响</w:t>
      </w:r>
      <w:r>
        <w:t xml:space="preserve">。典型载重 50—500 kg，速度 6—15 节，适合密度高、体积小、价值高的货物。</w:t>
      </w:r>
    </w:p>
    <w:p>
      <w:pPr>
        <w:pStyle w:val="Heading3"/>
      </w:pPr>
      <w:bookmarkStart w:id="148" w:name="补给浮台深海经济的物流节点"/>
      <w:r>
        <w:t xml:space="preserve">8.3.4　补给浮台：深海经济的物流节点</w:t>
      </w:r>
      <w:bookmarkEnd w:id="148"/>
    </w:p>
    <w:p>
      <w:pPr>
        <w:pStyle w:val="FirstParagraph"/>
      </w:pPr>
      <w:r>
        <w:t xml:space="preserve">深海采矿经济催生了一种特殊的中间基础设施：</w:t>
      </w:r>
      <w:r>
        <w:rPr>
          <w:b/>
        </w:rPr>
        <w:t xml:space="preserve">战略海域的补给浮台</w:t>
      </w:r>
      <w:r>
        <w:t xml:space="preserve">（Supply Hub Platform）。这些浮台本身不采矿，是聚集备用零件库存、轻型维修能力、STOL 停机坪和合成燃料储备，</w:t>
      </w:r>
      <w:r>
        <w:rPr>
          <w:b/>
        </w:rPr>
        <w:t xml:space="preserve">服务周围 300—500 km 海域内的多个深海城镇</w:t>
      </w:r>
      <w:r>
        <w:t xml:space="preserve">。</w:t>
      </w:r>
    </w:p>
    <w:p>
      <w:pPr>
        <w:pStyle w:val="BodyText"/>
      </w:pPr>
      <w:r>
        <w:t xml:space="preserve">对于深海城镇工作者，补给浮台也是返回陆地前唯一可能的</w:t>
      </w:r>
      <w:r>
        <w:t xml:space="preserve">“</w:t>
      </w:r>
      <w:r>
        <w:t xml:space="preserve">过渡停留点</w:t>
      </w:r>
      <w:r>
        <w:t xml:space="preserve">”</w:t>
      </w:r>
      <w:r>
        <w:t xml:space="preserve">——</w:t>
      </w:r>
      <w:r>
        <w:rPr>
          <w:b/>
        </w:rPr>
        <w:t xml:space="preserve">介于极度隔绝的深海和喧嚣的港口城市之间的中间存在</w:t>
      </w:r>
      <w:r>
        <w:t xml:space="preserve">，是深海经济体系的物流毛细血管。</w:t>
      </w:r>
    </w:p>
    <w:p>
      <w:pPr>
        <w:pStyle w:val="Heading3"/>
      </w:pPr>
      <w:bookmarkStart w:id="149" w:name="收束-13"/>
      <w:r>
        <w:t xml:space="preserve">收束</w:t>
      </w:r>
      <w:bookmarkEnd w:id="149"/>
    </w:p>
    <w:p>
      <w:pPr>
        <w:pStyle w:val="FirstParagraph"/>
      </w:pPr>
      <w:r>
        <w:t xml:space="preserve">海洋运输的三层格局在 2072 年大致稳定。三层各有其物质前提与经济边界——</w:t>
      </w:r>
      <w:r>
        <w:rPr>
          <w:b/>
        </w:rPr>
        <w:t xml:space="preserve">传统货轮依赖运河约束与大宗低价值货品的批量经济，地效应飞行器依赖海况窗口与中等批量高时效货品，深海供应链依赖动力定位技术与水下对接基础设施</w:t>
      </w:r>
      <w:r>
        <w:t xml:space="preserve">。三层之间的边界由物理与经济共同决定，不因政治意愿而轻易移动。</w:t>
      </w:r>
    </w:p>
    <w:p>
      <w:pPr>
        <w:pStyle w:val="BodyText"/>
      </w:pPr>
      <w:r>
        <w:t xml:space="preserve">下一节（8.4）进入航空交通体系。</w:t>
      </w:r>
    </w:p>
    <w:p>
      <w:pPr>
        <w:pStyle w:val="Heading2"/>
      </w:pPr>
      <w:bookmarkStart w:id="150" w:name="航空交通体系"/>
      <w:r>
        <w:t xml:space="preserve">8.4　航空交通体系</w:t>
      </w:r>
      <w:bookmarkEnd w:id="150"/>
    </w:p>
    <w:p>
      <w:pPr>
        <w:pStyle w:val="FirstParagraph"/>
      </w:pPr>
      <w:r>
        <w:t xml:space="preserve">旅客航空和末梢连通航空是两个性质不同的需求，需要分别说明。本节按三层结构展开：常规旅客航空、城际支线、末梢连通（STOL/eVTOL 与内陆连接飞行器）。</w:t>
      </w:r>
    </w:p>
    <w:p>
      <w:pPr>
        <w:pStyle w:val="Heading3"/>
      </w:pPr>
      <w:bookmarkStart w:id="151" w:name="常规旅客航空无可替代的长距离主干"/>
      <w:r>
        <w:t xml:space="preserve">8.4.1　常规旅客航空：无可替代的长距离主干</w:t>
      </w:r>
      <w:bookmarkEnd w:id="151"/>
    </w:p>
    <w:p>
      <w:pPr>
        <w:pStyle w:val="FirstParagraph"/>
      </w:pPr>
      <w:r>
        <w:t xml:space="preserve">大中城市集群的旅客航空在 2072 年继续作为</w:t>
      </w:r>
      <w:r>
        <w:rPr>
          <w:b/>
        </w:rPr>
        <w:t xml:space="preserve">洲际和城市间长途出行的核心基础设施</w:t>
      </w:r>
      <w:r>
        <w:t xml:space="preserve">存在，没有任何技术发展足以替代它。</w:t>
      </w:r>
      <w:r>
        <w:rPr>
          <w:b/>
        </w:rPr>
        <w:t xml:space="preserve">地效应飞行器压缩的是货运空运，不是旅客航空</w:t>
      </w:r>
      <w:r>
        <w:t xml:space="preserve">——旅客需要的速度（洲际 6—12 小时）和地效应飞行器的运行逻辑（沿海低空、气象窗口依赖）根本不在同一个服务范畴。高铁在 1,000 公里以下的走廊里对旅客航空有真实的竞争力，但</w:t>
      </w:r>
      <w:r>
        <w:rPr>
          <w:b/>
        </w:rPr>
        <w:t xml:space="preserve">洲际距离和无高铁覆盖的跨海、跨地形走廊仍然完全属于航空</w:t>
      </w:r>
      <w:r>
        <w:t xml:space="preserve">。</w:t>
      </w:r>
    </w:p>
    <w:p>
      <w:pPr>
        <w:pStyle w:val="BodyText"/>
      </w:pPr>
      <w:r>
        <w:t xml:space="preserve">2072 年旅客航空的</w:t>
      </w:r>
      <w:r>
        <w:rPr>
          <w:b/>
        </w:rPr>
        <w:t xml:space="preserve">核心变化在燃料，不在需求结构</w:t>
      </w:r>
      <w:r>
        <w:t xml:space="preserve">。合成航煤（SAF）是聚变电力费托合成的成熟工业品，化学性质与传统航空煤油完全相同，</w:t>
      </w:r>
      <w:r>
        <w:rPr>
          <w:b/>
        </w:rPr>
        <w:t xml:space="preserve">现有发动机直接使用</w:t>
      </w:r>
      <w:r>
        <w:t xml:space="preserve">，构成封闭碳循环，接近零排放。机场周边是 2072 年合成燃料地面基础设施最完整的节点——</w:t>
      </w:r>
      <w:r>
        <w:rPr>
          <w:b/>
        </w:rPr>
        <w:t xml:space="preserve">航空是合成燃料最大的单一需求方</w:t>
      </w:r>
      <w:r>
        <w:t xml:space="preserve">，这个需求使机场的燃料补给体系在电动化浪潮中保持完整，不受地面燃油网络侵蚀的影响。</w:t>
      </w:r>
    </w:p>
    <w:p>
      <w:pPr>
        <w:pStyle w:val="BodyText"/>
      </w:pPr>
      <w:r>
        <w:rPr>
          <w:b/>
        </w:rPr>
        <w:t xml:space="preserve">自动化程度是另一个显著变化。</w:t>
      </w:r>
      <w:r>
        <w:t xml:space="preserve"> </w:t>
      </w:r>
      <w:r>
        <w:t xml:space="preserve">飞行员的角色在 2060 年代已从主动操控演化为监督决策，AI 系统处理巡航、天气绕飞、着陆程序的绝大部分，人类飞行员在位主要是制度性要求和异常处置。</w:t>
      </w:r>
      <w:r>
        <w:rPr>
          <w:b/>
        </w:rPr>
        <w:t xml:space="preserve">这一职业的</w:t>
      </w:r>
      <w:r>
        <w:rPr>
          <w:b/>
        </w:rPr>
        <w:t xml:space="preserve">“</w:t>
      </w:r>
      <w:r>
        <w:rPr>
          <w:b/>
        </w:rPr>
        <w:t xml:space="preserve">六秒窗口</w:t>
      </w:r>
      <w:r>
        <w:rPr>
          <w:b/>
        </w:rPr>
        <w:t xml:space="preserve">”</w:t>
      </w:r>
      <w:r>
        <w:rPr>
          <w:b/>
        </w:rPr>
        <w:t xml:space="preserve">形态与地面交通控制系统同源</w:t>
      </w:r>
      <w:r>
        <w:t xml:space="preserve">——人留在控制链上是制度的事，不是技术的事。</w:t>
      </w:r>
    </w:p>
    <w:p>
      <w:pPr>
        <w:pStyle w:val="Heading3"/>
      </w:pPr>
      <w:bookmarkStart w:id="152" w:name="城际支线高铁边界之外的中距离填补"/>
      <w:r>
        <w:t xml:space="preserve">8.4.2　城际支线：高铁边界之外的中距离填补</w:t>
      </w:r>
      <w:bookmarkEnd w:id="152"/>
    </w:p>
    <w:p>
      <w:pPr>
        <w:pStyle w:val="FirstParagraph"/>
      </w:pPr>
      <w:r>
        <w:t xml:space="preserve">高铁在两条主路径主要城市集群走廊的竞争力强于航空，但高铁网络的覆盖是选择性的——</w:t>
      </w:r>
      <w:r>
        <w:rPr>
          <w:b/>
        </w:rPr>
        <w:t xml:space="preserve">投资回报门槛使它沿人口和货运密集走廊铺设</w:t>
      </w:r>
      <w:r>
        <w:t xml:space="preserve">。穿越低密度地形、跨海、跨山地的中距离连通依然属于支线航空的服务范畴。</w:t>
      </w:r>
    </w:p>
    <w:p>
      <w:pPr>
        <w:pStyle w:val="BodyText"/>
      </w:pPr>
      <w:r>
        <w:t xml:space="preserve">支线航空在 2072 年正处于快速电动化的过程中。50 至 150 座规模的涡桨和窄体客机，500 公里以下的航程，</w:t>
      </w:r>
      <w:r>
        <w:rPr>
          <w:b/>
        </w:rPr>
        <w:t xml:space="preserve">是电动化技术在商业航空里最先突破的场景</w:t>
      </w:r>
      <w:r>
        <w:t xml:space="preserve">——电池能量密度到 2072 年已足以支撑这个距离范围内的纯电或混动运行，合成燃料在长端补充。</w:t>
      </w:r>
      <w:r>
        <w:rPr>
          <w:b/>
        </w:rPr>
        <w:t xml:space="preserve">支线航空机队结构比干线航空更新，运营成本显著下降。</w:t>
      </w:r>
    </w:p>
    <w:p>
      <w:pPr>
        <w:pStyle w:val="Heading3"/>
      </w:pPr>
      <w:bookmarkStart w:id="153" w:name="末梢连通stol-与-evtol"/>
      <w:r>
        <w:t xml:space="preserve">8.4.3　末梢连通：STOL 与 eVTOL</w:t>
      </w:r>
      <w:bookmarkEnd w:id="153"/>
    </w:p>
    <w:p>
      <w:pPr>
        <w:pStyle w:val="FirstParagraph"/>
      </w:pPr>
      <w:r>
        <w:t xml:space="preserve">短距起降飞机（STOL）和电动垂直起降飞机（eVTOL）在 2072 年填补的是</w:t>
      </w:r>
      <w:r>
        <w:rPr>
          <w:b/>
        </w:rPr>
        <w:t xml:space="preserve">传统航空基础设施门槛太高、地面交通又覆盖不到的地理末梢</w:t>
      </w:r>
      <w:r>
        <w:t xml:space="preserve">。它的出现动机不是城市退化或交流需求下降——城市集群繁荣如常，传统航空也在正常运转——</w:t>
      </w:r>
      <w:r>
        <w:rPr>
          <w:b/>
        </w:rPr>
        <w:t xml:space="preserve">是多态社会地理分化的另一个交通层的自然延伸</w:t>
      </w:r>
      <w:r>
        <w:t xml:space="preserve">。</w:t>
      </w:r>
    </w:p>
    <w:p>
      <w:pPr>
        <w:pStyle w:val="BodyText"/>
      </w:pPr>
      <w:r>
        <w:rPr>
          <w:b/>
        </w:rPr>
        <w:t xml:space="preserve">传统机场的投资门槛是结构性的：</w:t>
      </w:r>
      <w:r>
        <w:t xml:space="preserve"> </w:t>
      </w:r>
      <w:r>
        <w:t xml:space="preserve">2,000 米以上跑道、助航灯光系统、管制塔台、候机楼、消防和应急设施——最低造价换算到 2072 年的购买力约在 1 至 3 亿美元以上，服务人口通常需要超过 10 万才能有合理的商业回报。这个门槛使慢生活社区（几千至几万人口）永久排除在传统航空服务范围之外，无论投资意愿如何。</w:t>
      </w:r>
    </w:p>
    <w:p>
      <w:pPr>
        <w:pStyle w:val="BodyText"/>
      </w:pPr>
      <w:r>
        <w:rPr>
          <w:b/>
        </w:rPr>
        <w:t xml:space="preserve">STOL 和 eVTOL 的门槛结构完全不同：</w:t>
      </w:r>
      <w:r>
        <w:t xml:space="preserve"> </w:t>
      </w:r>
      <w:r>
        <w:t xml:space="preserve">STOL 需要 200 至 400 米的平整地面，eVTOL 需要的只是一块停机坪，</w:t>
      </w:r>
      <w:r>
        <w:rPr>
          <w:b/>
        </w:rPr>
        <w:t xml:space="preserve">造价可以低至数百万美元，且完全电动驱动，不依赖合成燃料补给链</w:t>
      </w:r>
      <w:r>
        <w:t xml:space="preserve">。</w:t>
      </w:r>
    </w:p>
    <w:p>
      <w:pPr>
        <w:pStyle w:val="BodyText"/>
      </w:pPr>
      <w:r>
        <w:t xml:space="preserve">四个真实场景：</w:t>
      </w:r>
    </w:p>
    <w:p>
      <w:pPr>
        <w:numPr>
          <w:ilvl w:val="0"/>
          <w:numId w:val="1027"/>
        </w:numPr>
        <w:pStyle w:val="Compact"/>
      </w:pPr>
      <w:r>
        <w:rPr>
          <w:b/>
        </w:rPr>
        <w:t xml:space="preserve">偏远社区医疗紧急转运</w:t>
      </w:r>
      <w:r>
        <w:t xml:space="preserve">——慢生活社区的基础医疗设施可以覆盖慢性病管理和基础急诊，但器官移植、复杂外伤手术、高风险分娩这类需要大型综合医院的紧急情况，时间窗口往往以小时计。eVTOL 的点对点速度（无需机场，直接在社区广场起降）使这个问题有了在不建设传统机场的条件下的解法。</w:t>
      </w:r>
    </w:p>
    <w:p>
      <w:pPr>
        <w:numPr>
          <w:ilvl w:val="0"/>
          <w:numId w:val="1027"/>
        </w:numPr>
        <w:pStyle w:val="Compact"/>
      </w:pPr>
      <w:r>
        <w:rPr>
          <w:b/>
        </w:rPr>
        <w:t xml:space="preserve">深海城镇的补给与人员轮换</w:t>
      </w:r>
      <w:r>
        <w:t xml:space="preserve">——文件已有设定的直接延伸。技术人员轮换、小批量高价值零件、急救药品——这些需求的时效性决定了空中补给线的存在理由。</w:t>
      </w:r>
    </w:p>
    <w:p>
      <w:pPr>
        <w:numPr>
          <w:ilvl w:val="0"/>
          <w:numId w:val="1027"/>
        </w:numPr>
        <w:pStyle w:val="Compact"/>
      </w:pPr>
      <w:r>
        <w:rPr>
          <w:b/>
        </w:rPr>
        <w:t xml:space="preserve">山地、海岛、极地地形的定期服务</w:t>
      </w:r>
      <w:r>
        <w:t xml:space="preserve">——纯粹的地理逻辑。今天阿拉斯加的乡村航空、挪威的峡湾航线就是同样逻辑的现实版本，到 2072 年只是电动化了。</w:t>
      </w:r>
    </w:p>
    <w:p>
      <w:pPr>
        <w:numPr>
          <w:ilvl w:val="0"/>
          <w:numId w:val="1027"/>
        </w:numPr>
        <w:pStyle w:val="Compact"/>
      </w:pPr>
      <w:r>
        <w:rPr>
          <w:b/>
        </w:rPr>
        <w:t xml:space="preserve">城市集群内部的空中快速通道</w:t>
      </w:r>
      <w:r>
        <w:t xml:space="preserve">——最接近今天 eVTOL 商业化愿景的场景。空中走廊提供的是对地面网络的补充，而非替代。</w:t>
      </w:r>
    </w:p>
    <w:p>
      <w:pPr>
        <w:pStyle w:val="FirstParagraph"/>
      </w:pPr>
      <w:r>
        <w:rPr>
          <w:b/>
        </w:rPr>
        <w:t xml:space="preserve">STOL 和 eVTOL 是多态社会地理分化的交通映射：</w:t>
      </w:r>
      <w:r>
        <w:t xml:space="preserve"> </w:t>
      </w:r>
      <w:r>
        <w:t xml:space="preserve">干线航空服务城市集群的洲际连通，地面 Muule 系统服务城市集群的日常移动，STOL 填补两者之间的末梢空白。</w:t>
      </w:r>
      <w:r>
        <w:rPr>
          <w:b/>
        </w:rPr>
        <w:t xml:space="preserve">三个层次覆盖的地理范围加起来，远比单独任何一个更完整——但永远有一个地方是三个层次都覆盖不到的：那里才是真正的遗忘地带。</w:t>
      </w:r>
    </w:p>
    <w:p>
      <w:pPr>
        <w:pStyle w:val="Heading3"/>
      </w:pPr>
      <w:bookmarkStart w:id="154" w:name="航空体系与合成燃料的相互支撑"/>
      <w:r>
        <w:t xml:space="preserve">8.4.4　航空体系与合成燃料的相互支撑</w:t>
      </w:r>
      <w:bookmarkEnd w:id="154"/>
    </w:p>
    <w:p>
      <w:pPr>
        <w:pStyle w:val="FirstParagraph"/>
      </w:pPr>
      <w:r>
        <w:t xml:space="preserve">航空是合成燃料工业在 2072 年最重要的需求方，</w:t>
      </w:r>
      <w:r>
        <w:rPr>
          <w:b/>
        </w:rPr>
        <w:t xml:space="preserve">这个关系是相互支撑的，而非单向依赖</w:t>
      </w:r>
      <w:r>
        <w:t xml:space="preserve">。旅客航空的持续运营维持了合成燃料的生产规模和成本曲线，使合成燃料的单位成本维持在合理水平；反过来，合成燃料的成熟工业供应使航空脱碳在技术上不需要等待全电动宽体客机的成熟——现有机队直接使用合成航煤，</w:t>
      </w:r>
      <w:r>
        <w:rPr>
          <w:b/>
        </w:rPr>
        <w:t xml:space="preserve">过渡成本最小化</w:t>
      </w:r>
      <w:r>
        <w:t xml:space="preserve">。</w:t>
      </w:r>
    </w:p>
    <w:p>
      <w:pPr>
        <w:pStyle w:val="BodyText"/>
      </w:pPr>
      <w:r>
        <w:t xml:space="preserve">机场作为合成燃料的主要地面补给节点，其辐射效应也延伸到周边的地面交通。</w:t>
      </w:r>
      <w:r>
        <w:rPr>
          <w:b/>
        </w:rPr>
        <w:t xml:space="preserve">机场周边的重型地勤设备、港口连接卡车、应急服务车辆，可以就近使用机场的合成燃料补给基础设施</w:t>
      </w:r>
      <w:r>
        <w:t xml:space="preserve">，而不依赖已在侵蚀中的城市加油站网络。这使机场成为合成燃料地面基础设施在电动化时代最后且最稳固的锚点。</w:t>
      </w:r>
    </w:p>
    <w:p>
      <w:pPr>
        <w:pStyle w:val="Heading3"/>
      </w:pPr>
      <w:bookmarkStart w:id="155" w:name="内陆连接飞行器应对机场荒废的设计"/>
      <w:r>
        <w:t xml:space="preserve">8.4.5　内陆连接飞行器：应对机场荒废的设计</w:t>
      </w:r>
      <w:bookmarkEnd w:id="155"/>
    </w:p>
    <w:p>
      <w:pPr>
        <w:pStyle w:val="FirstParagraph"/>
      </w:pPr>
      <w:r>
        <w:t xml:space="preserve">内陆机场商业航班减少、逐步降级或关闭，但内陆区域仍需要与沿海体系保持低频次连接。这个场景需要一种</w:t>
      </w:r>
      <w:r>
        <w:rPr>
          <w:b/>
        </w:rPr>
        <w:t xml:space="preserve">对跑道要求低、运营成本低、适合低频次使用、可在简易场地起降的飞行器</w:t>
      </w:r>
      <w:r>
        <w:t xml:space="preserve">。</w:t>
      </w:r>
    </w:p>
    <w:p>
      <w:pPr>
        <w:pStyle w:val="BodyText"/>
      </w:pPr>
      <w:r>
        <w:t xml:space="preserve">技术方案：基于现有涡轮螺旋桨飞机（ATR 72 级别）的自然延伸，缩小规模优化短距起降，燃料换为合成航空煤油。</w:t>
      </w:r>
      <w:r>
        <w:rPr>
          <w:b/>
        </w:rPr>
        <w:t xml:space="preserve">所需跑道约 250—400 米；载客约 20—30 人或等量货物，巡航速度约 450—550 km/h，续航约 800—1,200 km。</w:t>
      </w:r>
    </w:p>
    <w:p>
      <w:pPr>
        <w:pStyle w:val="BodyText"/>
      </w:pPr>
      <w:r>
        <w:t xml:space="preserve">简易起降场要求极低：约 400 米平整硬化地面（废弃机场跑道的一段、高速路应急路段，或专门铺设的简易起降带）；标准燃油储罐；基本导航设备；一名管理员和通信设备。</w:t>
      </w:r>
      <w:r>
        <w:rPr>
          <w:b/>
        </w:rPr>
        <w:t xml:space="preserve">不需要候机楼、雷达、复杂塔台。</w:t>
      </w:r>
      <w:r>
        <w:t xml:space="preserve"> </w:t>
      </w:r>
      <w:r>
        <w:t xml:space="preserve">维护采用巡回模式——技术人员随飞行器巡回，不在每个内陆节点配置维护团队。</w:t>
      </w:r>
    </w:p>
    <w:p>
      <w:pPr>
        <w:pStyle w:val="BodyText"/>
      </w:pPr>
      <w:r>
        <w:rPr>
          <w:b/>
        </w:rPr>
        <w:t xml:space="preserve">这种飞行器是内陆区域与沿海文明圈之间的</w:t>
      </w:r>
      <w:r>
        <w:rPr>
          <w:b/>
        </w:rPr>
        <w:t xml:space="preserve">“</w:t>
      </w:r>
      <w:r>
        <w:rPr>
          <w:b/>
        </w:rPr>
        <w:t xml:space="preserve">细线</w:t>
      </w:r>
      <w:r>
        <w:rPr>
          <w:b/>
        </w:rPr>
        <w:t xml:space="preserve">”</w:t>
      </w:r>
      <w:r>
        <w:rPr>
          <w:b/>
        </w:rPr>
        <w:t xml:space="preserve">——不是主动脉，是毛细血管尽头的最后一根线。</w:t>
      </w:r>
      <w:r>
        <w:t xml:space="preserve"> </w:t>
      </w:r>
      <w:r>
        <w:t xml:space="preserve">有简易起降场的内陆城市还在体系里，没有的就真正断开了。</w:t>
      </w:r>
    </w:p>
    <w:p>
      <w:pPr>
        <w:pStyle w:val="Heading3"/>
      </w:pPr>
      <w:bookmarkStart w:id="156" w:name="收束-14"/>
      <w:r>
        <w:t xml:space="preserve">收束</w:t>
      </w:r>
      <w:bookmarkEnd w:id="156"/>
    </w:p>
    <w:p>
      <w:pPr>
        <w:pStyle w:val="FirstParagraph"/>
      </w:pPr>
      <w:r>
        <w:t xml:space="preserve">航空在 2072 年保留了它在工业时代的核心功能（洲际旅客主干），同时演化出了两端的新形态：</w:t>
      </w:r>
      <w:r>
        <w:rPr>
          <w:b/>
        </w:rPr>
        <w:t xml:space="preserve">底端是 STOL/eVTOL 填补末梢、内陆连接飞行器维持细线</w:t>
      </w:r>
      <w:r>
        <w:t xml:space="preserve">；</w:t>
      </w:r>
      <w:r>
        <w:rPr>
          <w:b/>
        </w:rPr>
        <w:t xml:space="preserve">顶端是与合成燃料工业的相互支撑使航空脱碳路径成立</w:t>
      </w:r>
      <w:r>
        <w:t xml:space="preserve">。航空体系与机场作为合成燃料地面节点的中心地位，是 2072 年地理图景上少数几个稳定不变的物质特征。</w:t>
      </w:r>
    </w:p>
    <w:p>
      <w:pPr>
        <w:pStyle w:val="BodyText"/>
      </w:pPr>
      <w:r>
        <w:t xml:space="preserve">下一节（8.5）是货运体系全貌——把本章所有层次串成一条完整的物流链。</w:t>
      </w:r>
    </w:p>
    <w:p>
      <w:pPr>
        <w:pStyle w:val="Heading2"/>
      </w:pPr>
      <w:bookmarkStart w:id="157" w:name="年货运体系全貌"/>
      <w:r>
        <w:t xml:space="preserve">8.5　2072 年货运体系全貌</w:t>
      </w:r>
      <w:bookmarkEnd w:id="157"/>
    </w:p>
    <w:p>
      <w:pPr>
        <w:pStyle w:val="FirstParagraph"/>
      </w:pPr>
      <w:r>
        <w:t xml:space="preserve">2072 年的货运体系由六个层级构成，</w:t>
      </w:r>
      <w:r>
        <w:rPr>
          <w:b/>
        </w:rPr>
        <w:t xml:space="preserve">覆盖从个人日常采购到跨星球物资运输的全部尺度</w:t>
      </w:r>
      <w:r>
        <w:t xml:space="preserve">。各层级在速度、批量、距离、成本上各有定位，</w:t>
      </w:r>
      <w:r>
        <w:rPr>
          <w:b/>
        </w:rPr>
        <w:t xml:space="preserve">互相衔接而不重叠</w:t>
      </w:r>
      <w:r>
        <w:t xml:space="preserve">，共同构成一条从生产到最终用户的无断点物流链。</w:t>
      </w:r>
    </w:p>
    <w:p>
      <w:pPr>
        <w:pStyle w:val="Heading3"/>
      </w:pPr>
      <w:bookmarkStart w:id="158" w:name="六个层级"/>
      <w:r>
        <w:t xml:space="preserve">8.5.1　六个层级</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主要载体</w:t>
            </w:r>
          </w:p>
        </w:tc>
        <w:tc>
          <w:tcPr>
            <w:tcBorders>
              <w:bottom w:val="single"/>
            </w:tcBorders>
            <w:vAlign w:val="bottom"/>
          </w:tcPr>
          <w:p>
            <w:pPr>
              <w:pStyle w:val="Compact"/>
              <w:jc w:val="left"/>
            </w:pPr>
            <w:r>
              <w:t xml:space="preserve">服务场景</w:t>
            </w:r>
          </w:p>
        </w:tc>
        <w:tc>
          <w:tcPr>
            <w:tcBorders>
              <w:bottom w:val="single"/>
            </w:tcBorders>
            <w:vAlign w:val="bottom"/>
          </w:tcPr>
          <w:p>
            <w:pPr>
              <w:pStyle w:val="Compact"/>
              <w:jc w:val="left"/>
            </w:pPr>
            <w:r>
              <w:t xml:space="preserve">速度/批量定位</w:t>
            </w:r>
          </w:p>
        </w:tc>
      </w:tr>
      <w:tr>
        <w:tc>
          <w:p>
            <w:pPr>
              <w:pStyle w:val="Compact"/>
              <w:jc w:val="left"/>
            </w:pPr>
            <w:r>
              <w:t xml:space="preserve">最后一米</w:t>
            </w:r>
          </w:p>
        </w:tc>
        <w:tc>
          <w:p>
            <w:pPr>
              <w:pStyle w:val="Compact"/>
              <w:jc w:val="left"/>
            </w:pPr>
            <w:r>
              <w:t xml:space="preserve">Muule 货舱、Muule + 拖行货舱</w:t>
            </w:r>
          </w:p>
        </w:tc>
        <w:tc>
          <w:p>
            <w:pPr>
              <w:pStyle w:val="Compact"/>
              <w:jc w:val="left"/>
            </w:pPr>
            <w:r>
              <w:t xml:space="preserve">个人采购、社区配送</w:t>
            </w:r>
          </w:p>
        </w:tc>
        <w:tc>
          <w:p>
            <w:pPr>
              <w:pStyle w:val="Compact"/>
              <w:jc w:val="left"/>
            </w:pPr>
            <w:r>
              <w:t xml:space="preserve">慢/极小批量</w:t>
            </w:r>
          </w:p>
        </w:tc>
      </w:tr>
      <w:tr>
        <w:tc>
          <w:p>
            <w:pPr>
              <w:pStyle w:val="Compact"/>
              <w:jc w:val="left"/>
            </w:pPr>
            <w:r>
              <w:t xml:space="preserve">城市内/城际</w:t>
            </w:r>
          </w:p>
        </w:tc>
        <w:tc>
          <w:p>
            <w:pPr>
              <w:pStyle w:val="Compact"/>
              <w:jc w:val="left"/>
            </w:pPr>
            <w:r>
              <w:t xml:space="preserve">自动驾驶电动货运车</w:t>
            </w:r>
          </w:p>
        </w:tc>
        <w:tc>
          <w:p>
            <w:pPr>
              <w:pStyle w:val="Compact"/>
              <w:jc w:val="left"/>
            </w:pPr>
            <w:r>
              <w:t xml:space="preserve">城市内配送、城际短途</w:t>
            </w:r>
          </w:p>
        </w:tc>
        <w:tc>
          <w:p>
            <w:pPr>
              <w:pStyle w:val="Compact"/>
              <w:jc w:val="left"/>
            </w:pPr>
            <w:r>
              <w:t xml:space="preserve">中速/中批量</w:t>
            </w:r>
          </w:p>
        </w:tc>
      </w:tr>
      <w:tr>
        <w:tc>
          <w:p>
            <w:pPr>
              <w:pStyle w:val="Compact"/>
              <w:jc w:val="left"/>
            </w:pPr>
            <w:r>
              <w:t xml:space="preserve">大宗陆运</w:t>
            </w:r>
          </w:p>
        </w:tc>
        <w:tc>
          <w:p>
            <w:pPr>
              <w:pStyle w:val="Compact"/>
              <w:jc w:val="left"/>
            </w:pPr>
            <w:r>
              <w:t xml:space="preserve">货运铁路、电动重卡</w:t>
            </w:r>
          </w:p>
        </w:tc>
        <w:tc>
          <w:p>
            <w:pPr>
              <w:pStyle w:val="Compact"/>
              <w:jc w:val="left"/>
            </w:pPr>
            <w:r>
              <w:t xml:space="preserve">城际/集群间大宗</w:t>
            </w:r>
          </w:p>
        </w:tc>
        <w:tc>
          <w:p>
            <w:pPr>
              <w:pStyle w:val="Compact"/>
              <w:jc w:val="left"/>
            </w:pPr>
            <w:r>
              <w:t xml:space="preserve">中速/大批量</w:t>
            </w:r>
          </w:p>
        </w:tc>
      </w:tr>
      <w:tr>
        <w:tc>
          <w:p>
            <w:pPr>
              <w:pStyle w:val="Compact"/>
              <w:jc w:val="left"/>
            </w:pPr>
            <w:r>
              <w:t xml:space="preserve">海运快层</w:t>
            </w:r>
          </w:p>
        </w:tc>
        <w:tc>
          <w:p>
            <w:pPr>
              <w:pStyle w:val="Compact"/>
              <w:jc w:val="left"/>
            </w:pPr>
            <w:r>
              <w:t xml:space="preserve">地效应飞行器</w:t>
            </w:r>
          </w:p>
        </w:tc>
        <w:tc>
          <w:p>
            <w:pPr>
              <w:pStyle w:val="Compact"/>
              <w:jc w:val="left"/>
            </w:pPr>
            <w:r>
              <w:t xml:space="preserve">时效性中等批量</w:t>
            </w:r>
          </w:p>
        </w:tc>
        <w:tc>
          <w:p>
            <w:pPr>
              <w:pStyle w:val="Compact"/>
              <w:jc w:val="left"/>
            </w:pPr>
            <w:r>
              <w:t xml:space="preserve">高速/中批量</w:t>
            </w:r>
          </w:p>
        </w:tc>
      </w:tr>
      <w:tr>
        <w:tc>
          <w:p>
            <w:pPr>
              <w:pStyle w:val="Compact"/>
              <w:jc w:val="left"/>
            </w:pPr>
            <w:r>
              <w:t xml:space="preserve">海运大宗层</w:t>
            </w:r>
          </w:p>
        </w:tc>
        <w:tc>
          <w:p>
            <w:pPr>
              <w:pStyle w:val="Compact"/>
              <w:jc w:val="left"/>
            </w:pPr>
            <w:r>
              <w:t xml:space="preserve">集装箱货轮（氢/氨燃料）</w:t>
            </w:r>
          </w:p>
        </w:tc>
        <w:tc>
          <w:p>
            <w:pPr>
              <w:pStyle w:val="Compact"/>
              <w:jc w:val="left"/>
            </w:pPr>
            <w:r>
              <w:t xml:space="preserve">跨洲际大宗</w:t>
            </w:r>
          </w:p>
        </w:tc>
        <w:tc>
          <w:p>
            <w:pPr>
              <w:pStyle w:val="Compact"/>
              <w:jc w:val="left"/>
            </w:pPr>
            <w:r>
              <w:t xml:space="preserve">慢速/超大批量</w:t>
            </w:r>
          </w:p>
        </w:tc>
      </w:tr>
      <w:tr>
        <w:tc>
          <w:p>
            <w:pPr>
              <w:pStyle w:val="Compact"/>
              <w:jc w:val="left"/>
            </w:pPr>
            <w:r>
              <w:t xml:space="preserve">空运极速层</w:t>
            </w:r>
          </w:p>
        </w:tc>
        <w:tc>
          <w:p>
            <w:pPr>
              <w:pStyle w:val="Compact"/>
              <w:jc w:val="left"/>
            </w:pPr>
            <w:r>
              <w:t xml:space="preserve">货运飞机</w:t>
            </w:r>
          </w:p>
        </w:tc>
        <w:tc>
          <w:p>
            <w:pPr>
              <w:pStyle w:val="Compact"/>
              <w:jc w:val="left"/>
            </w:pPr>
            <w:r>
              <w:t xml:space="preserve">极紧急小批量</w:t>
            </w:r>
          </w:p>
        </w:tc>
        <w:tc>
          <w:p>
            <w:pPr>
              <w:pStyle w:val="Compact"/>
              <w:jc w:val="left"/>
            </w:pPr>
            <w:r>
              <w:t xml:space="preserve">极高速/极小批量</w:t>
            </w:r>
          </w:p>
        </w:tc>
      </w:tr>
    </w:tbl>
    <w:p>
      <w:pPr>
        <w:pStyle w:val="BodyText"/>
      </w:pPr>
      <w:r>
        <w:t xml:space="preserve">加上两条特殊层：</w:t>
      </w:r>
      <w:r>
        <w:t xml:space="preserve"> </w:t>
      </w:r>
      <w:r>
        <w:t xml:space="preserve">-</w:t>
      </w:r>
      <w:r>
        <w:t xml:space="preserve"> </w:t>
      </w:r>
      <w:r>
        <w:rPr>
          <w:b/>
        </w:rPr>
        <w:t xml:space="preserve">深海层</w:t>
      </w:r>
      <w:r>
        <w:t xml:space="preserve">——专用补给船 + STOL + AUV 三层混合，服务深海采矿城镇（详见 8.3）。</w:t>
      </w:r>
      <w:r>
        <w:t xml:space="preserve"> </w:t>
      </w:r>
      <w:r>
        <w:t xml:space="preserve">-</w:t>
      </w:r>
      <w:r>
        <w:t xml:space="preserve"> </w:t>
      </w:r>
      <w:r>
        <w:rPr>
          <w:b/>
        </w:rPr>
        <w:t xml:space="preserve">太空层</w:t>
      </w:r>
      <w:r>
        <w:t xml:space="preserve">——化学推进剂运载火箭 + 月球轨道转运，服务月球基地与深空任务（具体形态本书在卷 5 章十展开）。</w:t>
      </w:r>
    </w:p>
    <w:p>
      <w:pPr>
        <w:pStyle w:val="Heading3"/>
      </w:pPr>
      <w:bookmarkStart w:id="159" w:name="六层级的衔接逻辑"/>
      <w:r>
        <w:t xml:space="preserve">8.5.2　六层级的衔接逻辑</w:t>
      </w:r>
      <w:bookmarkEnd w:id="159"/>
    </w:p>
    <w:p>
      <w:pPr>
        <w:pStyle w:val="FirstParagraph"/>
      </w:pPr>
      <w:r>
        <w:rPr>
          <w:b/>
        </w:rPr>
        <w:t xml:space="preserve">六个层级不是独立运作的，是首尾相接的连续链条。</w:t>
      </w:r>
      <w:r>
        <w:t xml:space="preserve"> </w:t>
      </w:r>
      <w:r>
        <w:t xml:space="preserve">以两个典型物品的物流路径为例：</w:t>
      </w:r>
    </w:p>
    <w:p>
      <w:pPr>
        <w:pStyle w:val="BodyText"/>
      </w:pPr>
      <w:r>
        <w:rPr>
          <w:b/>
        </w:rPr>
        <w:t xml:space="preserve">月球基地的采矿设备零件：</w:t>
      </w:r>
      <w:r>
        <w:t xml:space="preserve"> </w:t>
      </w:r>
      <w:r>
        <w:t xml:space="preserve">&gt; 地球工厂制造 → 城市货运车辆送至发射场 → 太空运输上行到月球轨道 → 月面运载车辆送至基地。</w:t>
      </w:r>
    </w:p>
    <w:p>
      <w:pPr>
        <w:pStyle w:val="BodyText"/>
      </w:pPr>
      <w:r>
        <w:rPr>
          <w:b/>
        </w:rPr>
        <w:t xml:space="preserve">深海锰结核：</w:t>
      </w:r>
      <w:r>
        <w:t xml:space="preserve"> </w:t>
      </w:r>
      <w:r>
        <w:t xml:space="preserve">&gt; 采矿平台提取 → 补给船运至港口 → 货运铁路送至冶炼厂 → 城市货运车辆送至制造商 → 高铁货运送至城市仓储 → 城际货运车辆配送至零售点 → Muule 货舱最后一米。</w:t>
      </w:r>
    </w:p>
    <w:p>
      <w:pPr>
        <w:pStyle w:val="BodyText"/>
      </w:pPr>
      <w:r>
        <w:rPr>
          <w:b/>
        </w:rPr>
        <w:t xml:space="preserve">聚变是这条链条的能量基础</w:t>
      </w:r>
      <w:r>
        <w:t xml:space="preserve">——从 Muule 的 5 kWh 电池到城际货运车辆的 1,500 kWh 电池，从地效应飞行器的 SAF 涡轮到太空运输的化学推进剂，</w:t>
      </w:r>
      <w:r>
        <w:rPr>
          <w:b/>
        </w:rPr>
        <w:t xml:space="preserve">所有环节的能源成本在聚变时代趋近于零</w:t>
      </w:r>
      <w:r>
        <w:t xml:space="preserve">。约束从能源转移到了：</w:t>
      </w:r>
      <w:r>
        <w:rPr>
          <w:b/>
        </w:rPr>
        <w:t xml:space="preserve">物流密度</w:t>
      </w:r>
      <w:r>
        <w:t xml:space="preserve">（决定全控高速路段和换电站的经济可行边界）、</w:t>
      </w:r>
      <w:r>
        <w:rPr>
          <w:b/>
        </w:rPr>
        <w:t xml:space="preserve">地缘政治</w:t>
      </w:r>
      <w:r>
        <w:t xml:space="preserve">（决定跨体系货物的流通路径）和</w:t>
      </w:r>
      <w:r>
        <w:rPr>
          <w:b/>
        </w:rPr>
        <w:t xml:space="preserve">物理距离</w:t>
      </w:r>
      <w:r>
        <w:t xml:space="preserve">（仍然无法消除，但成本大幅降低）。</w:t>
      </w:r>
    </w:p>
    <w:p>
      <w:pPr>
        <w:pStyle w:val="Heading3"/>
      </w:pPr>
      <w:bookmarkStart w:id="160" w:name="旧时代设备的持续存在"/>
      <w:r>
        <w:t xml:space="preserve">8.5.3　旧时代设备的持续存在</w:t>
      </w:r>
      <w:bookmarkEnd w:id="160"/>
    </w:p>
    <w:p>
      <w:pPr>
        <w:pStyle w:val="FirstParagraph"/>
      </w:pPr>
      <w:r>
        <w:t xml:space="preserve">2072 年的货运体系虽以上述六层级为主轴，</w:t>
      </w:r>
      <w:r>
        <w:rPr>
          <w:b/>
        </w:rPr>
        <w:t xml:space="preserve">但并未完全淘汰旧时代的各类运输设备</w:t>
      </w:r>
      <w:r>
        <w:t xml:space="preserve">。符合高速标准的传统车辆（经电动化改装或氢燃料升级认证）在取得接入资质后可以进入全控高速路段运营，</w:t>
      </w:r>
      <w:r>
        <w:rPr>
          <w:b/>
        </w:rPr>
        <w:t xml:space="preserve">尤其在两大体系覆盖较少的区域（全球南方、边缘经济体），改装版旧式卡车仍是重要的货运工具</w:t>
      </w:r>
      <w:r>
        <w:t xml:space="preserve">。</w:t>
      </w:r>
    </w:p>
    <w:p>
      <w:pPr>
        <w:pStyle w:val="BodyText"/>
      </w:pPr>
      <w:r>
        <w:t xml:space="preserve">旧式私家车经认证改装后可在高速体系内行驶，只是相比 Muule，其停放占地和换电兼容性差，</w:t>
      </w:r>
      <w:r>
        <w:rPr>
          <w:b/>
        </w:rPr>
        <w:t xml:space="preserve">在城市集群内部日益被边缘化，主要保留在慢生活社区和城际过渡区作为备用交通选项</w:t>
      </w:r>
      <w:r>
        <w:t xml:space="preserve">。</w:t>
      </w:r>
    </w:p>
    <w:p>
      <w:pPr>
        <w:pStyle w:val="BodyText"/>
      </w:pPr>
      <w:r>
        <w:rPr>
          <w:b/>
        </w:rPr>
        <w:t xml:space="preserve">旧时代的各种设备虽然便利性不如 Muule 这类新产品，但并未被完全淘汰</w:t>
      </w:r>
      <w:r>
        <w:t xml:space="preserve">——大量折旧后成本极低的旧设备在配给经济压力下仍有真实的市场份额。这一现象在所有路径上都存在，但在资源国与遗忘地带更为显著。</w:t>
      </w:r>
    </w:p>
    <w:p>
      <w:pPr>
        <w:pStyle w:val="Heading3"/>
      </w:pPr>
      <w:bookmarkStart w:id="161" w:name="货运形态的两条主路径差异"/>
      <w:r>
        <w:t xml:space="preserve">8.5.4　货运形态的两条主路径差异</w:t>
      </w:r>
      <w:bookmarkEnd w:id="161"/>
    </w:p>
    <w:p>
      <w:pPr>
        <w:pStyle w:val="FirstParagraph"/>
      </w:pPr>
      <w:r>
        <w:rPr>
          <w:b/>
        </w:rPr>
        <w:t xml:space="preserve">美式路径</w:t>
      </w:r>
      <w:r>
        <w:t xml:space="preserve">下，货运体系是多家私营物流公司在统一标准下竞争运营。Amazon-FedEx-UPS 的后继企业群继续承担主要配送业务，但物流公司之间的数据互联程度远高于今天——客户的一次查询可以同时查到不同公司的同一物品状态。整体效率高，</w:t>
      </w:r>
      <w:r>
        <w:rPr>
          <w:b/>
        </w:rPr>
        <w:t xml:space="preserve">但货运行业就业规模大幅萎缩</w:t>
      </w:r>
      <w:r>
        <w:t xml:space="preserve">——传统的卡车司机、仓库工人、配送员岗位大部分已被全自动系统替代。</w:t>
      </w:r>
    </w:p>
    <w:p>
      <w:pPr>
        <w:pStyle w:val="BodyText"/>
      </w:pPr>
      <w:r>
        <w:rPr>
          <w:b/>
        </w:rPr>
        <w:t xml:space="preserve">中国路径</w:t>
      </w:r>
      <w:r>
        <w:t xml:space="preserve">下，货运体系是统一调度的国有 + 大型私营混合结构。统一调度的优势是路网利用率高、成本可控；劣势是创新速度较慢，新业态出现的窗口需要政策开放。</w:t>
      </w:r>
    </w:p>
    <w:p>
      <w:pPr>
        <w:pStyle w:val="BodyText"/>
      </w:pPr>
      <w:r>
        <w:t xml:space="preserve">具体路径差异本书在卷 3 章二（美式路径）、章三（中国路径）展开。</w:t>
      </w:r>
    </w:p>
    <w:p>
      <w:pPr>
        <w:pStyle w:val="Heading3"/>
      </w:pPr>
      <w:bookmarkStart w:id="162" w:name="收束-15"/>
      <w:r>
        <w:t xml:space="preserve">收束</w:t>
      </w:r>
      <w:bookmarkEnd w:id="162"/>
    </w:p>
    <w:p>
      <w:pPr>
        <w:pStyle w:val="FirstParagraph"/>
      </w:pPr>
      <w:r>
        <w:t xml:space="preserve">2072 年的货运体系是一条</w:t>
      </w:r>
      <w:r>
        <w:rPr>
          <w:b/>
        </w:rPr>
        <w:t xml:space="preserve">从月球到 Muule 货舱的连续物流链</w:t>
      </w:r>
      <w:r>
        <w:t xml:space="preserve">。聚变与 AI 共同把传统货运的两个核心约束（能源成本、人工调度成本）系统性降低，</w:t>
      </w:r>
      <w:r>
        <w:rPr>
          <w:b/>
        </w:rPr>
        <w:t xml:space="preserve">留下的约束是物理（距离）、经济（密度）、政治（边界）</w:t>
      </w:r>
      <w:r>
        <w:t xml:space="preserve">。这条物流链对个人日常生活的渗透程度——你买的每一件东西都经历了链条中至少一两层——是 2072 年物质便利的可视化呈现。</w:t>
      </w:r>
    </w:p>
    <w:p>
      <w:pPr>
        <w:pStyle w:val="BodyText"/>
      </w:pPr>
      <w:r>
        <w:t xml:space="preserve">至此章八结束，</w:t>
      </w:r>
      <w:r>
        <w:rPr>
          <w:b/>
        </w:rPr>
        <w:t xml:space="preserve">卷 1 物质基础的主体内容亦告完成</w:t>
      </w:r>
      <w:r>
        <w:t xml:space="preserve">。下一节是卷 1 整体的衔接与收束。</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eastAsia="宋体"/>
    </w:rPr>
  </w:style>
  <w:style w:type="paragraph" w:styleId="BodyText">
    <w:name w:val="Body Text"/>
    <w:basedOn w:val="Normal"/>
    <w:link w:val="BodyTextChar"/>
    <w:pPr>
      <w:spacing w:before="180" w:after="180"/>
    </w:pPr>
    <w:qFormat/>
    <w:rPr>
      <w:rFonts w:ascii="Times New Roman" w:hAnsi="Times New Roman" w:eastAsia="宋体"/>
    </w:rPr>
  </w:style>
  <w:style w:type="paragraph" w:customStyle="1" w:styleId="FirstParagraph">
    <w:name w:val="First Paragraph"/>
    <w:basedOn w:val="BodyText"/>
    <w:next w:val="BodyText"/>
    <w:qFormat/>
    <w:rPr>
      <w:rFonts w:ascii="Times New Roman" w:hAnsi="Times New Roman" w:eastAsia="宋体"/>
    </w:rPr>
  </w:style>
  <w:style w:type="paragraph" w:customStyle="1" w:styleId="Compact">
    <w:name w:val="Compact"/>
    <w:basedOn w:val="BodyText"/>
    <w:qFormat/>
    <w:pPr>
      <w:spacing w:before="36" w:after="36"/>
    </w:pPr>
    <w:rPr>
      <w:rFonts w:ascii="Times New Roman" w:hAnsi="Times New Roman" w:eastAsia="宋体"/>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eastAsia="宋体"/>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rFonts w:ascii="Times New Roman" w:hAnsi="Times New Roman" w:eastAsia="宋体"/>
      <w:sz w:val="30"/>
      <w:szCs w:val="30"/>
    </w:rPr>
  </w:style>
  <w:style w:type="paragraph" w:customStyle="1" w:styleId="Author">
    <w:name w:val="Author"/>
    <w:next w:val="BodyText"/>
    <w:qFormat/>
    <w:pPr>
      <w:keepNext/>
      <w:keepLines/>
      <w:jc w:val="center"/>
    </w:pPr>
    <w:rPr>
      <w:rFonts w:ascii="Times New Roman" w:hAnsi="Times New Roman" w:eastAsia="宋体"/>
    </w:rPr>
  </w:style>
  <w:style w:type="paragraph" w:styleId="Date">
    <w:name w:val="Date"/>
    <w:next w:val="BodyText"/>
    <w:qFormat/>
    <w:pPr>
      <w:keepNext/>
      <w:keepLines/>
      <w:jc w:val="center"/>
    </w:pPr>
    <w:rPr>
      <w:rFonts w:ascii="Times New Roman" w:hAnsi="Times New Roman" w:eastAsia="宋体"/>
    </w:rPr>
  </w:style>
  <w:style w:type="paragraph" w:customStyle="1" w:styleId="Abstract">
    <w:name w:val="Abstract"/>
    <w:basedOn w:val="Normal"/>
    <w:next w:val="BodyText"/>
    <w:qFormat/>
    <w:pPr>
      <w:keepNext/>
      <w:keepLines/>
      <w:spacing w:before="300" w:after="300"/>
    </w:pPr>
    <w:rPr>
      <w:rFonts w:ascii="Times New Roman" w:hAnsi="Times New Roman" w:eastAsia="宋体"/>
      <w:sz w:val="20"/>
      <w:szCs w:val="20"/>
    </w:rPr>
  </w:style>
  <w:style w:type="paragraph" w:styleId="Bibliography">
    <w:name w:val="Bibliography"/>
    <w:basedOn w:val="Normal"/>
    <w:next w:val="Bibliography"/>
    <w:qFormat/>
    <w:pPr/>
    <w:rPr>
      <w:rFonts w:ascii="Times New Roman" w:hAnsi="Times New Roman" w:eastAsia="宋体"/>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eastAsia="宋体"/>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eastAsia="宋体"/>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eastAsia="宋体"/>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eastAsia="宋体"/>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eastAsia="宋体"/>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eastAsia="宋体"/>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eastAsia="宋体"/>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eastAsia="宋体"/>
    </w:rPr>
  </w:style>
  <w:style w:type="paragraph" w:styleId="FootnoteText">
    <w:name w:val="Footnote Text"/>
    <w:basedOn w:val="Normal"/>
    <w:next w:val="FootnoteText"/>
    <w:uiPriority w:val="9"/>
    <w:unhideWhenUsed/>
    <w:qFormat/>
    <w:rPr>
      <w:rFonts w:ascii="Times New Roman" w:hAnsi="Times New Roman" w:eastAsia="宋体"/>
    </w:rPr>
  </w:style>
  <w:style w:type="character" w:default="1" w:styleId="DefaultParagraphFont">
    <w:name w:val="Default Paragraph Font"/>
    <w:semiHidden/>
    <w:unhideWhenUsed/>
    <w:rPr>
      <w:rFonts w:ascii="Times New Roman" w:hAnsi="Times New Roman" w:eastAsia="宋体"/>
    </w:rPr>
  </w:style>
  <w:style w:type="table" w:default="1" w:styleId="Table">
    <w:name w:val="Table"/>
    <w:basedOn w:val="TableNormal"/>
    <w:semiHidden/>
    <w:unhideWhenUsed/>
    <w:qFormat/>
    <w:rPr>
      <w:rFonts w:ascii="Times New Roman" w:hAnsi="Times New Roman" w:eastAsia="宋体"/>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eastAsia="宋体"/>
      <w:b/>
    </w:rPr>
  </w:style>
  <w:style w:type="paragraph" w:customStyle="1" w:styleId="Definition">
    <w:name w:val="Definition"/>
    <w:basedOn w:val="Normal"/>
    <w:rPr>
      <w:rFonts w:ascii="Times New Roman" w:hAnsi="Times New Roman" w:eastAsia="宋体"/>
    </w:rPr>
  </w:style>
  <w:style w:type="paragraph" w:styleId="Caption">
    <w:name w:val="Caption"/>
    <w:basedOn w:val="Normal"/>
    <w:link w:val="BodyTextChar"/>
    <w:pPr>
      <w:spacing w:before="0" w:after="120"/>
    </w:pPr>
    <w:rPr>
      <w:rFonts w:ascii="Times New Roman" w:hAnsi="Times New Roman" w:eastAsia="宋体"/>
      <w:i/>
    </w:rPr>
  </w:style>
  <w:style w:type="paragraph" w:customStyle="1" w:styleId="TableCaption">
    <w:name w:val="Table Caption"/>
    <w:basedOn w:val="Caption"/>
    <w:pPr>
      <w:keepNext/>
    </w:pPr>
    <w:rPr>
      <w:rFonts w:ascii="Times New Roman" w:hAnsi="Times New Roman" w:eastAsia="宋体"/>
    </w:rPr>
  </w:style>
  <w:style w:type="paragraph" w:customStyle="1" w:styleId="ImageCaption">
    <w:name w:val="Image Caption"/>
    <w:basedOn w:val="Caption"/>
    <w:rPr>
      <w:rFonts w:ascii="Times New Roman" w:hAnsi="Times New Roman" w:eastAsia="宋体"/>
    </w:rPr>
  </w:style>
  <w:style w:type="paragraph" w:customStyle="1" w:styleId="Figure">
    <w:name w:val="Figure"/>
    <w:basedOn w:val="Normal"/>
    <w:rPr>
      <w:rFonts w:ascii="Times New Roman" w:hAnsi="Times New Roman" w:eastAsia="宋体"/>
    </w:rPr>
  </w:style>
  <w:style w:type="paragraph" w:customStyle="1" w:styleId="CaptionedFigure">
    <w:name w:val="Captioned Figure"/>
    <w:basedOn w:val="Figure"/>
    <w:pPr>
      <w:keepNext/>
    </w:pPr>
    <w:rPr>
      <w:rFonts w:ascii="Times New Roman" w:hAnsi="Times New Roman" w:eastAsia="宋体"/>
    </w:rPr>
  </w:style>
  <w:style w:type="character" w:customStyle="1" w:styleId="BodyTextChar">
    <w:name w:val="Body Text Char"/>
    <w:basedOn w:val="DefaultParagraphFont"/>
    <w:link w:val="BodyText"/>
    <w:rPr>
      <w:rFonts w:ascii="Times New Roman" w:hAnsi="Times New Roman" w:eastAsia="宋体"/>
    </w:rPr>
  </w:style>
  <w:style w:type="character" w:customStyle="1" w:styleId="VerbatimChar">
    <w:name w:val="Verbatim Char"/>
    <w:basedOn w:val="BodyTextChar"/>
    <w:rPr>
      <w:rFonts w:ascii="Times New Roman" w:hAnsi="Times New Roman" w:eastAsia="宋体"/>
      <w:sz w:val="22"/>
    </w:rPr>
  </w:style>
  <w:style w:type="character" w:styleId="FootnoteReference">
    <w:name w:val="Footnote Reference"/>
    <w:basedOn w:val="BodyTextChar"/>
    <w:rPr>
      <w:rFonts w:ascii="Times New Roman" w:hAnsi="Times New Roman" w:eastAsia="宋体"/>
      <w:vertAlign w:val="superscript"/>
    </w:rPr>
  </w:style>
  <w:style w:type="character" w:styleId="Hyperlink">
    <w:name w:val="Hyperlink"/>
    <w:basedOn w:val="BodyTextChar"/>
    <w:rPr>
      <w:rFonts w:ascii="Times New Roman" w:hAnsi="Times New Roman" w:eastAsia="宋体"/>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eastAsia="宋体"/>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《2072》　卷 1　物质基础</dc:title>
  <dc:creator>Sean（AI 协助下成书）</dc:creator>
  <cp:keywords/>
  <dcterms:created xsi:type="dcterms:W3CDTF">2026-05-18T22:47:22Z</dcterms:created>
  <dcterms:modified xsi:type="dcterms:W3CDTF">2026-05-18T22:47:22Z</dcterms:modified>
</cp:coreProperties>
</file>

<file path=docProps/custom.xml><?xml version="1.0" encoding="utf-8"?>
<Properties xmlns="http://schemas.openxmlformats.org/officeDocument/2006/custom-properties" xmlns:vt="http://schemas.openxmlformats.org/officeDocument/2006/docPropsVTypes"/>
</file>