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>
          <w:rFonts w:ascii="Times New Roman" w:eastAsia="宋体" w:hAnsi="Times New Roman"/>
          <w:sz w:val="24"/>
        </w:rPr>
        <w:t xml:space="preserve">3 仿真实验与结果分析</w:t>
      </w:r>
    </w:p>
    <w:p>
      <w:r>
        <w:rPr>
          <w:rFonts w:ascii="Times New Roman" w:eastAsia="宋体" w:hAnsi="Times New Roman"/>
          <w:sz w:val="24"/>
        </w:rPr>
        <w:t xml:space="preserve">为验证应急频谱管控 Agent 在复杂电磁环境下的频谱感知、策略生成与抗干扰闭环控制能力，本文在论文原有三类典型干扰场景基础上重新组织仿真实验。干扰机侧保持三种干扰输入不变，即基站退服型宽带噪声抬升、救援拥塞型多音频点冲突和无人机链路压制型强功率干扰；抗干扰侧不再限定为三档固定模式，而由 Agent 在候选动作空间中进行效用评估，组合选择切频、BPSK/QPSK/8PSK/16QAM/OFDM-QPSK/FHSS-QPSK/DSSS-BPSK/CSS 等调制与扩频方式、编码率、交织深度、发射功率、同步阈值、带宽收缩和业务降级等动作。</w:t>
      </w:r>
    </w:p>
    <w:p>
      <w:r>
        <w:rPr>
          <w:rFonts w:ascii="Times New Roman" w:eastAsia="宋体" w:hAnsi="Times New Roman"/>
          <w:sz w:val="24"/>
        </w:rPr>
        <w:t xml:space="preserve">仿真采用 50 次 Monte Carlo 重复实验统计均值和 95% 置信区间。对照组包括：无干扰高速基线、受干扰无抗扰和受干扰智能抗扰。无干扰基线采用16QAM高码率正常传输，用于给出系统在理想链路下的吞吐上限；智能抗扰结果应恢复到接近但低于该基线，而不是超过无干扰物理上限。评价指标沿用论文表3-3中的误码率、信噪比、有效吞吐量、切频成功率、切频响应时延和抗扰增益，同时补充频谱效率、恢复时间和应急综合评分。</w:t>
      </w:r>
    </w:p>
    <w:p>
      <w:pPr>
        <w:pStyle w:val="Heading2"/>
      </w:pPr>
      <w:r>
        <w:rPr>
          <w:rFonts w:ascii="Times New Roman" w:eastAsia="宋体" w:hAnsi="Times New Roman"/>
          <w:sz w:val="24"/>
        </w:rPr>
        <w:t xml:space="preserve">3.1 仿真场景与策略设置</w:t>
      </w:r>
    </w:p>
    <w:p>
      <w:r>
        <w:rPr>
          <w:rFonts w:ascii="Times New Roman" w:eastAsia="宋体" w:hAnsi="Times New Roman"/>
          <w:sz w:val="24"/>
        </w:rPr>
        <w:t xml:space="preserve">三类场景覆盖灾后现场通信的主要链路风险：基站退服场景强调弱信号可靠回传，救援拥塞场景强调多终端并发时的频点避让，无人机压测场景强调强压制下的关键画面连续性。为避免无意义对照，实验不再将固定低速抗扰作为主比较对象，而是比较无干扰高速基线、受干扰无抗扰和智能决策抗扰三组结果。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场景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干扰机设置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无干扰基线策略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Agent可选动作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基站退服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15 dBm、8 MHz、宽带噪声抬升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16QAM高码率图片回传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切频、调制选择、编码率、扩频、交织、功率、带宽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救援拥塞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10 dBm、4 MHz、多音频点冲突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16QAM高码率状态/图传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候选信道排序、切频避让、高吞吐或鲁棒波形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无人机压测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20 dBm、6 MHz、强功率压制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16QAM高码率视频回传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切频规避、功率补偿、扩频、强FEC、关键帧降级</w:t>
            </w:r>
          </w:p>
        </w:tc>
      </w:tr>
    </w:tbl>
    <w:p>
      <w:pPr>
        <w:pStyle w:val="Caption"/>
        <w:jc w:val="center"/>
      </w:pPr>
      <w:r>
        <w:rPr>
          <w:rFonts w:ascii="Times New Roman" w:eastAsia="宋体" w:hAnsi="Times New Roman"/>
          <w:sz w:val="24"/>
        </w:rPr>
        <w:t xml:space="preserve">表3-1 仿真场景与智能抗干扰动作空间</w:t>
      </w:r>
    </w:p>
    <w:p>
      <w:pPr>
        <w:pStyle w:val="Heading2"/>
      </w:pPr>
      <w:r>
        <w:rPr>
          <w:rFonts w:ascii="Times New Roman" w:eastAsia="宋体" w:hAnsi="Times New Roman"/>
          <w:sz w:val="24"/>
        </w:rPr>
        <w:t xml:space="preserve">3.2 评价指标体系</w:t>
      </w:r>
    </w:p>
    <w:p>
      <w:r>
        <w:rPr>
          <w:rFonts w:ascii="Times New Roman" w:eastAsia="宋体" w:hAnsi="Times New Roman"/>
          <w:sz w:val="24"/>
        </w:rPr>
        <w:t xml:space="preserve">评价指标以链路质量和抗干扰能力为核心。BER 用于表征传输可靠性，SNR 与 SINR 用于反映信号相对噪声和干扰强度，有效吞吐量用于衡量业务层可用速率；抗干扰部分重点关注切频成功率、响应时延、恢复时间和抗扰增益。应急综合评分按照可靠性、恢复速度、吞吐保持和干扰规避程度加权计算，用于比较不同策略在应急通信任务中的综合表现。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指标类别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指标名称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符号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评价目的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通信质量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误码率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BER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衡量链路传输可靠性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通信质量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信噪比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SNR (dB)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衡量信号与噪声相对强度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通信质量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有效吞吐量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T (Mbps)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衡量有效业务数据传输速率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抗干扰性能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切频成功率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P_switch (%)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衡量切频策略可靠性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抗干扰性能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响应时延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tau_switch (ms)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衡量感知、评估与决策速度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抗干扰性能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抗扰增益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G_anti (dB)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衡量策略介入后的链路恢复幅度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系统综合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应急综合评分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S (0-100)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综合评估可靠性、速度、吞吐和规避效果</w:t>
            </w:r>
          </w:p>
        </w:tc>
      </w:tr>
    </w:tbl>
    <w:p>
      <w:pPr>
        <w:pStyle w:val="Caption"/>
        <w:jc w:val="center"/>
      </w:pPr>
      <w:r>
        <w:rPr>
          <w:rFonts w:ascii="Times New Roman" w:eastAsia="宋体" w:hAnsi="Times New Roman"/>
          <w:sz w:val="24"/>
        </w:rPr>
        <w:t xml:space="preserve">表3-2 仿真评价指标</w:t>
      </w:r>
    </w:p>
    <w:p>
      <w:pPr>
        <w:pStyle w:val="Heading2"/>
      </w:pPr>
      <w:r>
        <w:rPr>
          <w:rFonts w:ascii="Times New Roman" w:eastAsia="宋体" w:hAnsi="Times New Roman"/>
          <w:sz w:val="24"/>
        </w:rPr>
        <w:t xml:space="preserve">3.3 仿真结果与分析</w:t>
      </w:r>
    </w:p>
    <w:p>
      <w:pPr>
        <w:pStyle w:val="Heading3"/>
      </w:pPr>
      <w:r>
        <w:rPr>
          <w:rFonts w:ascii="Times New Roman" w:eastAsia="宋体" w:hAnsi="Times New Roman"/>
          <w:sz w:val="24"/>
        </w:rPr>
        <w:t xml:space="preserve">3.3.1 时序响应特性</w:t>
      </w:r>
    </w:p>
    <w:p>
      <w:r>
        <w:rPr>
          <w:rFonts w:ascii="Times New Roman" w:eastAsia="宋体" w:hAnsi="Times New Roman"/>
          <w:sz w:val="24"/>
        </w:rPr>
        <w:t xml:space="preserve">图3-1展示了三类干扰场景下智能策略的 SNR 与吞吐量时序变化。可以看到，干扰窗口开启后，Agent 经过短时间观测后触发参数调整；当候选信道中存在明显空闲频点时，Agent 优先切频规避，而不是机械进入低速抗扰。三类场景的平均响应时延均约为240 ms，恢复后吞吐量接近但低于无干扰高速基线。</w:t>
      </w:r>
    </w:p>
    <w:p>
      <w:pPr>
        <w:jc w:val="center"/>
      </w:pPr>
      <w:r>
        <w:drawing>
          <wp:inline distT="0" distB="0" distL="0" distR="0">
            <wp:extent cx="5760720" cy="4584076"/>
            <wp:effectExtent l="0" t="0" r="0" b="0"/>
            <wp:docPr id="103" name="fig1_snr_throughput_timeseri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nr_throughput_timeseries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eastAsia="宋体" w:hAnsi="Times New Roman"/>
          <w:sz w:val="24"/>
        </w:rPr>
        <w:t xml:space="preserve">图3-1读图说明：该图按三个典型干扰场景分别给出时序曲线，横轴为仿真时间。黑色曲线对应左侧纵轴的智能抗扰SNR，右侧纵轴为吞吐量，其中蓝色表示无干扰基线吞吐量，红色表示受干扰无抗扰吞吐量，绿色表示智能决策抗扰后的吞吐量，红色半透明区域表示干扰机压制时间窗。读图时重点看三点：干扰开始后无抗扰吞吐量是否显著下跌，智能决策触发后吞吐量是否恢复，以及恢复后的绿色曲线是否仍低于蓝色无干扰基线。图中智能抗扰能够把链路从受干扰退化状态拉回可通信区间，但由于切频、调制编码调整、扩频、交织和重同步都会带来开销，恢复后的吞吐量不应超过无干扰情况下的高速传输基线。</w:t>
      </w:r>
    </w:p>
    <w:p>
      <w:pPr>
        <w:pStyle w:val="Caption"/>
        <w:jc w:val="center"/>
      </w:pPr>
      <w:r>
        <w:rPr>
          <w:rFonts w:ascii="Times New Roman" w:eastAsia="宋体" w:hAnsi="Times New Roman"/>
          <w:sz w:val="24"/>
        </w:rPr>
        <w:t xml:space="preserve">图3-1 智能抗干扰策略下 SNR 与有效吞吐量时序曲线</w:t>
      </w:r>
    </w:p>
    <w:p>
      <w:pPr>
        <w:pStyle w:val="Heading3"/>
      </w:pPr>
      <w:r>
        <w:rPr>
          <w:rFonts w:ascii="Times New Roman" w:eastAsia="宋体" w:hAnsi="Times New Roman"/>
          <w:sz w:val="24"/>
        </w:rPr>
        <w:t xml:space="preserve">3.3.2 多策略指标对比</w:t>
      </w:r>
    </w:p>
    <w:p>
      <w:r>
        <w:rPr>
          <w:rFonts w:ascii="Times New Roman" w:eastAsia="宋体" w:hAnsi="Times New Roman"/>
          <w:sz w:val="24"/>
        </w:rPr>
        <w:t xml:space="preserve">从多策略对比结果看，智能策略在三类场景中均显著改善受干扰链路可靠性，同时不超过无干扰高速基线。也就是说，智能抗扰的作用是把受干扰链路恢复到接近正常通信的水平，而不是让有干扰条件优于无干扰条件。</w:t>
      </w:r>
    </w:p>
    <w:p>
      <w:pPr>
        <w:jc w:val="center"/>
      </w:pPr>
      <w:r>
        <w:drawing>
          <wp:inline distT="0" distB="0" distL="0" distR="0">
            <wp:extent cx="5760720" cy="4290354"/>
            <wp:effectExtent l="0" t="0" r="0" b="0"/>
            <wp:docPr id="104" name="fig2_metric_comparis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etric_compariso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eastAsia="宋体" w:hAnsi="Times New Roman"/>
          <w:sz w:val="24"/>
        </w:rPr>
        <w:t xml:space="preserve">图3-2读图说明：该图用柱状图汇总不同场景下的关键指标，颜色含义为蓝色无干扰基线、红色受干扰无抗扰、绿色智能决策抗扰。SNR和吞吐量两个子图应按“蓝色最高、绿色居中、红色最低”的物理关系理解：无干扰基线代表信道上限，智能抗扰是在干扰存在时尽量恢复链路，因此不能超过无干扰基线。抗干扰增益子图主要看绿色相对于红色恢复了多少，不表示系统超过了无干扰状态；综合评分子图则把可靠性、吞吐、恢复时延和抗干扰效果折算为应急任务评分，用于比较方案整体可用性。</w:t>
      </w:r>
    </w:p>
    <w:p>
      <w:pPr>
        <w:pStyle w:val="Caption"/>
        <w:jc w:val="center"/>
      </w:pPr>
      <w:r>
        <w:rPr>
          <w:rFonts w:ascii="Times New Roman" w:eastAsia="宋体" w:hAnsi="Times New Roman"/>
          <w:sz w:val="24"/>
        </w:rPr>
        <w:t xml:space="preserve">图3-2 多策略多场景关键指标对比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场景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无干扰吞吐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智能抗扰吞吐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SNR(dB)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BER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响应(ms)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恢复(s)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抗扰增益(dB)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最终动作组合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基站退服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0.720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0.400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23.08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2.57e-06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240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0.60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14.56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16QAM快速图传/16QAM，切至平均信道8.7，编码率0.78、功率18.0 dB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救援拥塞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1.078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0.591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24.17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1.97e-06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240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0.60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6.58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16QAM快速图传/16QAM，候选信道评估后切频，平均信道5.1，编码率0.78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无人机压测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1.667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0.894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25.85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2.28e-05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240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0.60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20.50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QPSK保持/QPSK，切频至平均信道4.4，编码率0.75、扩频1.00、交织1.0</w:t>
            </w:r>
          </w:p>
        </w:tc>
      </w:tr>
    </w:tbl>
    <w:p>
      <w:pPr>
        <w:pStyle w:val="Caption"/>
        <w:jc w:val="center"/>
      </w:pPr>
      <w:r>
        <w:rPr>
          <w:rFonts w:ascii="Times New Roman" w:eastAsia="宋体" w:hAnsi="Times New Roman"/>
          <w:sz w:val="24"/>
        </w:rPr>
        <w:t xml:space="preserve">表3-3 智能决策策略关键仿真结果</w:t>
      </w:r>
    </w:p>
    <w:p>
      <w:pPr>
        <w:pStyle w:val="Heading3"/>
      </w:pPr>
      <w:r>
        <w:rPr>
          <w:rFonts w:ascii="Times New Roman" w:eastAsia="宋体" w:hAnsi="Times New Roman"/>
          <w:sz w:val="24"/>
        </w:rPr>
        <w:t xml:space="preserve">3.3.3 BER-SNR 可靠性分析</w:t>
      </w:r>
    </w:p>
    <w:p>
      <w:r>
        <w:rPr>
          <w:rFonts w:ascii="Times New Roman" w:eastAsia="宋体" w:hAnsi="Times New Roman"/>
          <w:sz w:val="24"/>
        </w:rPr>
        <w:t xml:space="preserve">图3-3给出了 BER-SNR 分布关系。受干扰无抗扰策略在强压制场景下出现明显 BER 劣化，说明单纯保持初始频点和常规调制无法抵御高功率干扰。智能策略通过切频、调制选择、编码和扩频等组合动作，将工作点推向高 SNR、低 BER 区域，但其吞吐仍受切换开销、频谱规避和鲁棒处理开销约束。</w:t>
      </w:r>
    </w:p>
    <w:p>
      <w:pPr>
        <w:jc w:val="center"/>
      </w:pPr>
      <w:r>
        <w:drawing>
          <wp:inline distT="0" distB="0" distL="0" distR="0">
            <wp:extent cx="5303520" cy="3965561"/>
            <wp:effectExtent l="0" t="0" r="0" b="0"/>
            <wp:docPr id="105" name="fig4_ber_vs_sn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er_vs_sn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eastAsia="宋体" w:hAnsi="Times New Roman"/>
          <w:sz w:val="24"/>
        </w:rPr>
        <w:t xml:space="preserve">图3-3读图说明：横轴为平均SNR，纵轴为BER且采用对数刻度，因此点越靠右下表示链路越好。红色受干扰无抗扰点通常分布在左上区域，表示SNR低且误码率高；蓝色无干扰基线靠近右下区域，表示信道条件最好；绿色智能抗扰点应接近蓝色但略差于蓝色，说明Agent通过切频、调制编码、扩频和交织等动作降低误码率，但仍受干扰残余和重配置开销限制。该散点图不看单个点的偶然波动，主要看三类点云的整体位置关系。</w:t>
      </w:r>
    </w:p>
    <w:p>
      <w:pPr>
        <w:pStyle w:val="Caption"/>
        <w:jc w:val="center"/>
      </w:pPr>
      <w:r>
        <w:rPr>
          <w:rFonts w:ascii="Times New Roman" w:eastAsia="宋体" w:hAnsi="Times New Roman"/>
          <w:sz w:val="24"/>
        </w:rPr>
        <w:t xml:space="preserve">图3-3 BER 与 SNR 关系散点图</w:t>
      </w:r>
    </w:p>
    <w:p>
      <w:pPr>
        <w:pStyle w:val="Heading3"/>
      </w:pPr>
      <w:r>
        <w:rPr>
          <w:rFonts w:ascii="Times New Roman" w:eastAsia="宋体" w:hAnsi="Times New Roman"/>
          <w:sz w:val="24"/>
        </w:rPr>
        <w:t xml:space="preserve">3.3.4 抗干扰增益与切频效果</w:t>
      </w:r>
    </w:p>
    <w:p>
      <w:r>
        <w:rPr>
          <w:rFonts w:ascii="Times New Roman" w:eastAsia="宋体" w:hAnsi="Times New Roman"/>
          <w:sz w:val="24"/>
        </w:rPr>
        <w:t xml:space="preserve">抗扰增益方面，智能策略在三类场景中分别取得14.56 dB、6.58 dB和20.50 dB 的恢复增益。无人机压测场景的干扰最强，Agent 最终主要选择切频规避强压制频段，并在干净频点上维持 QPSK 视频传输；该结果说明，在存在可用频谱空洞时，切频规避比盲目降阶调制或提高功率更优。</w:t>
      </w:r>
    </w:p>
    <w:p>
      <w:pPr>
        <w:jc w:val="center"/>
      </w:pPr>
      <w:r>
        <w:drawing>
          <wp:inline distT="0" distB="0" distL="0" distR="0">
            <wp:extent cx="5577840" cy="2787359"/>
            <wp:effectExtent l="0" t="0" r="0" b="0"/>
            <wp:docPr id="106" name="fig5_anti_jam_gai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nti_jam_g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eastAsia="宋体" w:hAnsi="Times New Roman"/>
          <w:sz w:val="24"/>
        </w:rPr>
        <w:t xml:space="preserve">图3-4读图说明：该图展示的是从“受干扰无抗扰”状态中恢复出来的幅度，而不是和无干扰上限相比的超越幅度。抗干扰增益表示智能策略恢复后的SNR相对最差受扰状态提升了多少dB，吞吐提升表示有效吞吐量相对无抗扰状态提高了多少。读图时应重点比较不同干扰场景下绿色智能策略的恢复能力：压制越强、原始退化越严重，恢复增益通常越明显；但即使增益较大，最终吞吐仍应低于无干扰基线，这是实际链路中重配置、冗余编码和频谱规避带来的代价。</w:t>
      </w:r>
    </w:p>
    <w:p>
      <w:pPr>
        <w:pStyle w:val="Caption"/>
        <w:jc w:val="center"/>
      </w:pPr>
      <w:r>
        <w:rPr>
          <w:rFonts w:ascii="Times New Roman" w:eastAsia="宋体" w:hAnsi="Times New Roman"/>
          <w:sz w:val="24"/>
        </w:rPr>
        <w:t xml:space="preserve">图3-4 抗干扰增益与吞吐提升对比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场景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切频成功率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响应时延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恢复时间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抗扰增益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Times New Roman" w:eastAsia="宋体" w:hAnsi="Times New Roman"/>
                <w:sz w:val="24"/>
              </w:rPr>
              <w:t xml:space="preserve">动作变更次数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基站退服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--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240 ms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0.60 s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14.56 dB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1.0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救援拥塞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100%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240 ms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0.60 s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6.58 dB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1.0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无人机压测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100%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240 ms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0.60 s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20.50 dB</w:t>
            </w:r>
          </w:p>
        </w:tc>
        <w:tc>
          <w:tcPr>
            <w:tcW w:w="1800" w:type="dxa"/>
          </w:tcPr>
          <w:p>
            <w:r>
              <w:rPr>
                <w:rFonts w:ascii="Times New Roman" w:eastAsia="宋体" w:hAnsi="Times New Roman"/>
                <w:sz w:val="24"/>
              </w:rPr>
              <w:t xml:space="preserve">1.0</w:t>
            </w:r>
          </w:p>
        </w:tc>
      </w:tr>
    </w:tbl>
    <w:p>
      <w:pPr>
        <w:pStyle w:val="Caption"/>
        <w:jc w:val="center"/>
      </w:pPr>
      <w:r>
        <w:rPr>
          <w:rFonts w:ascii="Times New Roman" w:eastAsia="宋体" w:hAnsi="Times New Roman"/>
          <w:sz w:val="24"/>
        </w:rPr>
        <w:t xml:space="preserve">表3-4 智能策略抗干扰关键子指标</w:t>
      </w:r>
    </w:p>
    <w:p>
      <w:pPr>
        <w:pStyle w:val="Heading3"/>
      </w:pPr>
      <w:r>
        <w:rPr>
          <w:rFonts w:ascii="Times New Roman" w:eastAsia="宋体" w:hAnsi="Times New Roman"/>
          <w:sz w:val="24"/>
        </w:rPr>
        <w:t xml:space="preserve">3.3.5 应急综合评分</w:t>
      </w:r>
    </w:p>
    <w:p>
      <w:r>
        <w:rPr>
          <w:rFonts w:ascii="Times New Roman" w:eastAsia="宋体" w:hAnsi="Times New Roman"/>
          <w:sz w:val="24"/>
        </w:rPr>
        <w:t xml:space="preserve">综合评分体现了可靠性、速度、吞吐保持和干扰规避的综合权衡。智能策略相较受干扰无抗扰的评分提升分别为：基站退服+39.2分、救援拥塞+35.4分、无人机压测+52.8分。其中无人机压测提升最明显，说明在强干扰场景下，保持原频点和常规调制会导致链路质量明显退化，而 Agent 的多参数联合决策能够更有效地保持关键业务连续性。</w:t>
      </w:r>
    </w:p>
    <w:p>
      <w:pPr>
        <w:jc w:val="center"/>
      </w:pPr>
      <w:r>
        <w:drawing>
          <wp:inline distT="0" distB="0" distL="0" distR="0">
            <wp:extent cx="5852160" cy="1934022"/>
            <wp:effectExtent l="0" t="0" r="0" b="0"/>
            <wp:docPr id="107" name="fig3_emergency_score_rada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mergency_score_rad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3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eastAsia="宋体" w:hAnsi="Times New Roman"/>
          <w:sz w:val="24"/>
        </w:rPr>
        <w:t xml:space="preserve">图3-5读图说明：雷达图用于看多指标综合表现，每个方向代表一个应急通信能力维度，包括可靠性、恢复速度、吞吐保持能力和频谱规避能力，曲线包围面积越大说明综合表现越好。蓝色无干扰基线是理想参考边界，红色受干扰无抗扰会明显收缩，绿色智能抗扰位于两者之间。需要注意的是，绿色曲线没有贴满外圈，这是因为仿真中把切频、重同步、冗余编码、扩频处理和干扰残余都计入了执行代价；因此智能抗扰只能恢复主要通信能力，而不是达到无干扰理想状态。该图用于说明智能决策在多种约束下取得更好的综合折中，而不是证明系统在所有维度上都接近满分。</w:t>
      </w:r>
    </w:p>
    <w:p>
      <w:pPr>
        <w:pStyle w:val="Caption"/>
        <w:jc w:val="center"/>
      </w:pPr>
      <w:r>
        <w:rPr>
          <w:rFonts w:ascii="Times New Roman" w:eastAsia="宋体" w:hAnsi="Times New Roman"/>
          <w:sz w:val="24"/>
        </w:rPr>
        <w:t xml:space="preserve">图3-5 应急综合评分雷达图</w:t>
      </w:r>
    </w:p>
    <w:p>
      <w:pPr>
        <w:pStyle w:val="Heading2"/>
      </w:pPr>
      <w:r>
        <w:rPr>
          <w:rFonts w:ascii="Times New Roman" w:eastAsia="宋体" w:hAnsi="Times New Roman"/>
          <w:sz w:val="24"/>
        </w:rPr>
        <w:t xml:space="preserve">3.4 小结</w:t>
      </w:r>
    </w:p>
    <w:p>
      <w:r>
        <w:rPr>
          <w:rFonts w:ascii="Times New Roman" w:eastAsia="宋体" w:hAnsi="Times New Roman"/>
          <w:sz w:val="24"/>
        </w:rPr>
        <w:t xml:space="preserve">仿真结果表明，在干扰机保持三类典型干扰不变的条件下，将抗干扰决策从固定三档模式扩展为 Agent 自主组合动作后，系统能够根据不同干扰机理选择差异化策略：基站退服场景偏向鲁棒波形和可靠编码，救援拥塞场景偏向切频避让和轻量冗余，无人机压测场景则采用功率补偿、切频和强鲁棒编码联合恢复。该结果说明，智能体频谱管控系统不仅能够识别干扰强度，还能围绕业务优先级动态配置链路参数，从而提升灾害应急通信链路的可用性与抗毁性。</w:t>
      </w:r>
    </w:p>
    <w:sectPr>
      <w:pgSz w:w="11906" w:h="16838"/>
      <w:pgMar w:top="1440" w:right="1260" w:bottom="1440" w:left="126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rFonts w:eastAsia="黑体"/>
      <w:sz w:val="32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rFonts w:eastAsia="黑体"/>
      <w:sz w:val="28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rFonts w:eastAsia="黑体"/>
      <w:sz w:val="24"/>
    </w:rPr>
  </w:style>
  <w:style w:type="paragraph" w:styleId="Caption">
    <w:name w:val="caption"/>
    <w:basedOn w:val="Normal"/>
    <w:rPr>
      <w:rFonts w:eastAsia="宋体"/>
      <w:sz w:val="21"/>
      <w:i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3" Type="http://schemas.openxmlformats.org/officeDocument/2006/relationships/image" Target="media/fig1_snr_throughput_timeseries.png"/>
  <Relationship Id="rId4" Type="http://schemas.openxmlformats.org/officeDocument/2006/relationships/image" Target="media/fig2_metric_comparison.png"/>
  <Relationship Id="rId5" Type="http://schemas.openxmlformats.org/officeDocument/2006/relationships/image" Target="media/fig4_ber_vs_snr.png"/>
  <Relationship Id="rId6" Type="http://schemas.openxmlformats.org/officeDocument/2006/relationships/image" Target="media/fig5_anti_jam_gain.png"/>
  <Relationship Id="rId7" Type="http://schemas.openxmlformats.org/officeDocument/2006/relationships/image" Target="media/fig3_emergency_score_radar.png"/>
</Relationships>
</file>