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from 15 September 2026 to the defense, took the owner's answers to the open questions, put the system in her and her tenants' hands, and refined it from their feedback, the testing and the evaluation. Table 6A shows what each iteration did in each phase of the life cycle in Section 3.2.</w:t>
      </w:r>
    </w:p>
    <w:p>
      <w:pPr>
        <w:spacing w:after="120" w:before="360" w:line="480" w:lineRule="auto"/>
        <w:jc w:val="left"/>
      </w:pPr>
      <w:r>
        <w:rPr>
          <w:rFonts w:ascii="Arial" w:cs="Arial" w:eastAsia="Arial" w:hAnsi="Arial"/>
          <w:b/>
          <w:bCs/>
          <w:sz w:val="24"/>
          <w:szCs w:val="24"/>
        </w:rPr>
        <w:t xml:space="preserve">Table 6A.</w:t>
      </w:r>
      <w:r>
        <w:rPr>
          <w:rFonts w:ascii="Arial" w:cs="Arial" w:eastAsia="Arial" w:hAnsi="Arial"/>
          <w:b/>
          <w:bCs/>
          <w:sz w:val="24"/>
          <w:szCs w:val="24"/>
        </w:rPr>
        <w:t xml:space="preserve"> The Three Iterations, Phase by Phase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Phase (Section 3.2)</w:t>
            </w:r>
          </w:p>
        </w:tc>
        <w:tc>
          <w:tcPr>
            <w:tcW w:type="dxa" w:w="24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1: Construction (24 Jul to 28 Aug 2026, 95 commits)</w:t>
            </w:r>
          </w:p>
        </w:tc>
        <w:tc>
          <w:tcPr>
            <w:tcW w:type="dxa" w:w="245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2: Verification and correction (12 to 14 Sep 2026, 87 commits)</w:t>
            </w:r>
          </w:p>
        </w:tc>
        <w:tc>
          <w:tcPr>
            <w:tcW w:type="dxa" w:w="29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3: Consolidation and testing (15 Sep 2026 onward, 1,447 commits to 9 Oct)</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Design</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with GCash working end to end on the test account (26 September); updates every five seconds; offline reading; the breached-password check (7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by demonstration only; no automated check existed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Seven automated check suites, over 100 assertions, each defect covered by one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Deployment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Run from the team's machines against the live database</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Hosted on Vercel from 24 September; tenant accounts prepared on 29 September; in use beside the owner's own records (Table 25)</w:t>
            </w:r>
          </w:p>
        </w:tc>
      </w:tr>
      <w:tr>
        <w:trPr>
          <w:cantSplit/>
        </w:trPr>
        <w:tc>
          <w:tcPr>
            <w:tcW w:type="dxa" w:w="8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w:t>
            </w:r>
          </w:p>
        </w:tc>
        <w:tc>
          <w:tcPr>
            <w:tcW w:type="dxa" w:w="24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Module 01 submission, whose documents became Iteration 2's input</w:t>
            </w:r>
          </w:p>
        </w:tc>
        <w:tc>
          <w:tcPr>
            <w:tcW w:type="dxa" w:w="245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evaluators' 14 comments, all acted on by 5 October (Table 23); the ISO/IEC 25010 survey (Section 4.4)</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Each iteration was tested and reviewed, but by different means. The formal evaluation against ISO/IEC 25010 was carried out once, in the third iteration, because Section 3.3 places it during actual use in the deployment environment, and only the third iteration put the system in use. The first two iterations were checked by the means available at the time: demonstration in the first, and in the second the automated checks and the correction of the recorded errors.</w:t>
      </w:r>
    </w:p>
    <w:p>
      <w:pPr>
        <w:spacing w:after="0" w:before="0" w:line="480" w:lineRule="auto"/>
        <w:ind w:firstLine="720"/>
        <w:jc w:val="both"/>
      </w:pPr>
      <w:r>
        <w:rPr>
          <w:rFonts w:ascii="Arial" w:cs="Arial" w:eastAsia="Arial" w:hAnsi="Arial"/>
          <w:b w:val="false"/>
          <w:bCs w:val="false"/>
          <w:sz w:val="24"/>
          <w:szCs w:val="24"/>
        </w:rPr>
        <w:t xml:space="preserve">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 A new password must have at least</w:t>
      </w:r>
    </w:p>
    <w:p>
      <w:pPr>
        <w:spacing w:after="0" w:before="0" w:line="480" w:lineRule="auto"/>
        <w:ind w:firstLine="720"/>
        <w:jc w:val="both"/>
      </w:pPr>
      <w:r>
        <w:rPr>
          <w:rFonts w:ascii="Arial" w:cs="Arial" w:eastAsia="Arial" w:hAnsi="Arial"/>
          <w:b w:val="false"/>
          <w:bCs w:val="false"/>
          <w:sz w:val="24"/>
          <w:szCs w:val="24"/>
        </w:rPr>
        <w:t xml:space="preserve">ten characters, a letter and a number, checked by the server, and since 7 October 2026 it is also refused if it appears in a public list of breached passwords. Only the first five characters of its SHA-1 hash are sent to the list's service, so the password itself never leaves the server.</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authorized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 Table 11 gives the times.</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behavior a real day of use would test was measured on the live system on 29 September 2026: what happens without a connection, on a weak one, when the application is installed, and when many requests arrive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 Table 11A gives the results without a connection and once installed. Table 11B gives those of a load test, in which a script on the same laptop played several users at once, each pausing a quarter to three quarters of a second between requests, as a person reading a page does. These were simulated users, not people; the owner and tenants using the system together are reported in Section 4.3.7 (Table 11D).</w:t>
      </w:r>
    </w:p>
    <w:p>
      <w:pPr>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That reproduces a double click, a retry after a timeout, or two people pressing Save together, with closer timing than people can produce by hand. Table 11F gives the results.</w:t>
      </w:r>
    </w:p>
    <w:p>
      <w:pPr>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the server answered every duplicate receipt as saved. Neither could be fixed in the program alone, since a check followed by a save can always be outrun by a second request. Each fix is therefore a rule in the database itself, which refuses the second save whatever order the requests arrive in: a receipt number is accepted once per unit per month among receipts that stand, and a bill is held for 15 minutes from the moment a checkout is opened on it. The database already refused, in the same way, a second active tenancy on one unit, a second bill for one tenant in one period, and a gateway payment recorded twice, and the saves that change several records together, such as settling a payment against bills or splitting an expense across areas, each run as one database operation, so none is left half done. The rows these tests wrote were removed: the rule could not have been created while a duplicate remained, and no row saved between 18 and 20 September 2026 is in the records (checked 12 October 2026).</w:t>
      </w:r>
    </w:p>
    <w:p>
      <w:pPr>
        <w:spacing w:after="0" w:before="0" w:line="480" w:lineRule="auto"/>
        <w:ind w:firstLine="720"/>
        <w:jc w:val="both"/>
      </w:pPr>
      <w:r>
        <w:rPr>
          <w:rFonts w:ascii="Arial" w:cs="Arial" w:eastAsia="Arial" w:hAnsi="Arial"/>
          <w:b w:val="false"/>
          <w:bCs w:val="false"/>
          <w:sz w:val="24"/>
          <w:szCs w:val="24"/>
        </w:rPr>
        <w:t xml:space="preserve">Because these rules are kept by the database, they hold however many people save at once: ten requests arriving together meet the same refusal as two. Two things were not tested. Two people changing the same record in different ways at the same moment, for example the owner closing a repair while its tenant cancels it, was not tried, and these tests were run once during development and are not among the automated suites of Section 4.3.1, so they are not repeated on every change (Chapter 5, recommendation 4).</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 Table 11C gives each task's result, and Table 11D the session in which the owner and two tenants used the system at the same time.</w:t>
      </w:r>
    </w:p>
    <w:p>
      <w:pPr>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11D.</w:t>
      </w:r>
      <w:r>
        <w:rPr>
          <w:rFonts w:ascii="Arial" w:cs="Arial" w:eastAsia="Arial" w:hAnsi="Arial"/>
          <w:b/>
          <w:bCs/>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120" w:before="360" w:line="480" w:lineRule="auto"/>
        <w:jc w:val="left"/>
      </w:pPr>
      <w:r>
        <w:rPr>
          <w:rFonts w:ascii="Arial" w:cs="Arial" w:eastAsia="Arial" w:hAnsi="Arial"/>
          <w:b/>
          <w:bCs/>
          <w:sz w:val="24"/>
          <w:szCs w:val="24"/>
        </w:rPr>
        <w:t xml:space="preserve">Table 12C.</w:t>
      </w:r>
      <w:r>
        <w:rPr>
          <w:rFonts w:ascii="Arial" w:cs="Arial" w:eastAsia="Arial" w:hAnsi="Arial"/>
          <w:b/>
          <w:bCs/>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 Table 12A shows how many forms were given out and returned in each group.</w:t>
      </w:r>
    </w:p>
    <w:p>
      <w:pPr>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0" w:before="0" w:line="480" w:lineRule="auto"/>
        <w:ind w:firstLine="720"/>
        <w:jc w:val="both"/>
      </w:pPr>
      <w:r>
        <w:rPr>
          <w:rFonts w:ascii="Arial" w:cs="Arial" w:eastAsia="Arial" w:hAnsi="Arial"/>
          <w:b w:val="false"/>
          <w:bCs w:val="false"/>
          <w:sz w:val="24"/>
          <w:szCs w:val="24"/>
        </w:rPr>
        <w:t xml:space="preserve">Table 14 gives the ratings for Functional Suitability by group, and Table 14A the measured evidence for it.</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14A.</w:t>
      </w:r>
      <w:r>
        <w:rPr>
          <w:rFonts w:ascii="Arial" w:cs="Arial" w:eastAsia="Arial" w:hAnsi="Arial"/>
          <w:b/>
          <w:bCs/>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0" w:before="0" w:line="480" w:lineRule="auto"/>
        <w:ind w:firstLine="720"/>
        <w:jc w:val="both"/>
      </w:pPr>
      <w:r>
        <w:rPr>
          <w:rFonts w:ascii="Arial" w:cs="Arial" w:eastAsia="Arial" w:hAnsi="Arial"/>
          <w:b w:val="false"/>
          <w:bCs w:val="false"/>
          <w:sz w:val="24"/>
          <w:szCs w:val="24"/>
        </w:rPr>
        <w:t xml:space="preserve">Table 15 gives the ratings for Performance Efficiency by group, and Table 15A the measured evidence for it.</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15A.</w:t>
      </w:r>
      <w:r>
        <w:rPr>
          <w:rFonts w:ascii="Arial" w:cs="Arial" w:eastAsia="Arial" w:hAnsi="Arial"/>
          <w:b/>
          <w:bCs/>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simulated simultaneous users, X = A / B</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simulated simultaneous readers of the owner's records, X = A / B</w:t>
            </w:r>
          </w:p>
        </w:tc>
        <w:tc>
          <w:tcPr>
            <w:tcW w:type="dxa" w:w="2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0" w:before="0" w:line="480" w:lineRule="auto"/>
        <w:ind w:firstLine="720"/>
        <w:jc w:val="both"/>
      </w:pPr>
      <w:r>
        <w:rPr>
          <w:rFonts w:ascii="Arial" w:cs="Arial" w:eastAsia="Arial" w:hAnsi="Arial"/>
          <w:b w:val="false"/>
          <w:bCs w:val="false"/>
          <w:sz w:val="24"/>
          <w:szCs w:val="24"/>
        </w:rPr>
        <w:t xml:space="preserve">Table 16 gives the ratings for Compatibility by group, and Table 16A the measured evidence for it.</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16A.</w:t>
      </w:r>
      <w:r>
        <w:rPr>
          <w:rFonts w:ascii="Arial" w:cs="Arial" w:eastAsia="Arial" w:hAnsi="Arial"/>
          <w:b/>
          <w:bCs/>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0" w:before="0" w:line="480" w:lineRule="auto"/>
        <w:ind w:firstLine="720"/>
        <w:jc w:val="both"/>
      </w:pPr>
      <w:r>
        <w:rPr>
          <w:rFonts w:ascii="Arial" w:cs="Arial" w:eastAsia="Arial" w:hAnsi="Arial"/>
          <w:b w:val="false"/>
          <w:bCs w:val="false"/>
          <w:sz w:val="24"/>
          <w:szCs w:val="24"/>
        </w:rPr>
        <w:t xml:space="preserve">Table 17 gives the ratings for Usability by group, and Table 17A the measured evidence for it.</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17A.</w:t>
      </w:r>
      <w:r>
        <w:rPr>
          <w:rFonts w:ascii="Arial" w:cs="Arial" w:eastAsia="Arial" w:hAnsi="Arial"/>
          <w:b/>
          <w:bCs/>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0" w:before="0" w:line="480" w:lineRule="auto"/>
        <w:ind w:firstLine="720"/>
        <w:jc w:val="both"/>
      </w:pPr>
      <w:r>
        <w:rPr>
          <w:rFonts w:ascii="Arial" w:cs="Arial" w:eastAsia="Arial" w:hAnsi="Arial"/>
          <w:b w:val="false"/>
          <w:bCs w:val="false"/>
          <w:sz w:val="24"/>
          <w:szCs w:val="24"/>
        </w:rPr>
        <w:t xml:space="preserve">Table 18 gives the ratings for Reliability by group, and Table 18A the measured evidence for it.</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18A.</w:t>
      </w:r>
      <w:r>
        <w:rPr>
          <w:rFonts w:ascii="Arial" w:cs="Arial" w:eastAsia="Arial" w:hAnsi="Arial"/>
          <w:b/>
          <w:bCs/>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0" w:before="0" w:line="480" w:lineRule="auto"/>
        <w:ind w:firstLine="720"/>
        <w:jc w:val="both"/>
      </w:pPr>
      <w:r>
        <w:rPr>
          <w:rFonts w:ascii="Arial" w:cs="Arial" w:eastAsia="Arial" w:hAnsi="Arial"/>
          <w:b w:val="false"/>
          <w:bCs w:val="false"/>
          <w:sz w:val="24"/>
          <w:szCs w:val="24"/>
        </w:rPr>
        <w:t xml:space="preserve">Table 19 gives the ratings for Security by group, and Table 19A the measured evidence for it.</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19A.</w:t>
      </w:r>
      <w:r>
        <w:rPr>
          <w:rFonts w:ascii="Arial" w:cs="Arial" w:eastAsia="Arial" w:hAnsi="Arial"/>
          <w:b/>
          <w:bCs/>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0" w:before="0" w:line="480" w:lineRule="auto"/>
        <w:ind w:firstLine="720"/>
        <w:jc w:val="both"/>
      </w:pPr>
      <w:r>
        <w:rPr>
          <w:rFonts w:ascii="Arial" w:cs="Arial" w:eastAsia="Arial" w:hAnsi="Arial"/>
          <w:b w:val="false"/>
          <w:bCs w:val="false"/>
          <w:sz w:val="24"/>
          <w:szCs w:val="24"/>
        </w:rPr>
        <w:t xml:space="preserve">Two weaknesses remain by design and are named here. The sign-in token is kept in the browser's own storage, where a script injected into the page could read it. What stands against that is the enforced Content Security Policy, which lets the browser run scripts only from the site itself and from Adyen, and the fact that no screen inserts raw HTML: every value shown is escaped. Keeping the token in a cookie that no script can read would remove the weakness itself. And signing in takes a password only; there is no second factor, even for the administrator. Public sign-up is closed (a request to create an account is refused, checked on the live site on 7 October 2026), so no one can create an account for themselves, but whoever learns the owner's password can use her account. Both are left to Chapter 5, recommendation 3.</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0" w:before="0" w:line="480" w:lineRule="auto"/>
        <w:ind w:firstLine="720"/>
        <w:jc w:val="both"/>
      </w:pPr>
      <w:r>
        <w:rPr>
          <w:rFonts w:ascii="Arial" w:cs="Arial" w:eastAsia="Arial" w:hAnsi="Arial"/>
          <w:b w:val="false"/>
          <w:bCs w:val="false"/>
          <w:sz w:val="24"/>
          <w:szCs w:val="24"/>
        </w:rPr>
        <w:t xml:space="preserve">Table 20 gives the ratings for Maintainability by group, and Table 20A the measured evidence for it.</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20A.</w:t>
      </w:r>
      <w:r>
        <w:rPr>
          <w:rFonts w:ascii="Arial" w:cs="Arial" w:eastAsia="Arial" w:hAnsi="Arial"/>
          <w:b/>
          <w:bCs/>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0" w:before="0" w:line="480" w:lineRule="auto"/>
        <w:ind w:firstLine="720"/>
        <w:jc w:val="both"/>
      </w:pPr>
      <w:r>
        <w:rPr>
          <w:rFonts w:ascii="Arial" w:cs="Arial" w:eastAsia="Arial" w:hAnsi="Arial"/>
          <w:b w:val="false"/>
          <w:bCs w:val="false"/>
          <w:sz w:val="24"/>
          <w:szCs w:val="24"/>
        </w:rPr>
        <w:t xml:space="preserve">Table 21 gives the ratings for Portability by group, and Table 21A the measured evidence for it.</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21A.</w:t>
      </w:r>
      <w:r>
        <w:rPr>
          <w:rFonts w:ascii="Arial" w:cs="Arial" w:eastAsia="Arial" w:hAnsi="Arial"/>
          <w:b/>
          <w:bCs/>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120" w:before="360" w:line="480" w:lineRule="auto"/>
        <w:jc w:val="left"/>
      </w:pPr>
      <w:r>
        <w:rPr>
          <w:rFonts w:ascii="Arial" w:cs="Arial" w:eastAsia="Arial" w:hAnsi="Arial"/>
          <w:b/>
          <w:bCs/>
          <w:sz w:val="24"/>
          <w:szCs w:val="24"/>
        </w:rPr>
        <w:t xml:space="preserve">Table 22B.</w:t>
      </w:r>
      <w:r>
        <w:rPr>
          <w:rFonts w:ascii="Arial" w:cs="Arial" w:eastAsia="Arial" w:hAnsi="Arial"/>
          <w:b/>
          <w:bCs/>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7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2026-10-12T09:46:45.960Z</dcterms:created>
  <dcterms:modified xsi:type="dcterms:W3CDTF">2026-10-12T09:46:45.961Z</dcterms:modified>
</cp:coreProperties>
</file>

<file path=docProps/custom.xml><?xml version="1.0" encoding="utf-8"?>
<Properties xmlns="http://schemas.openxmlformats.org/officeDocument/2006/custom-properties" xmlns:vt="http://schemas.openxmlformats.org/officeDocument/2006/docPropsVTypes"/>
</file>