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0" w:before="0" w:line="480" w:lineRule="auto"/>
        <w:ind w:firstLine="720"/>
        <w:jc w:val="both"/>
      </w:pPr>
      <w:r>
        <w:rPr>
          <w:rFonts w:ascii="Arial" w:cs="Arial" w:eastAsia="Arial" w:hAnsi="Arial"/>
          <w:b w:val="false"/>
          <w:bCs w:val="false"/>
          <w:sz w:val="24"/>
          <w:szCs w:val="24"/>
        </w:rPr>
        <w:t xml:space="preserve">The testing and the evaluation are aligned with one set of international standards, the ISO/IEC 25000 series on software quality (SQuaRE), as declared in Section 3.3. The quality model is that of ISO/IEC 25010:2011, which divides product quality into eight characteristics and thirty-one sub-characteristics and defines a separate model of quality in use. Each test in Section 4.3 is reported as a measure of one or more of those sub-characteristics, in the form ISO/IEC 25023 uses for product quality and ISO/IEC 25022 for quality in use, and Section 4.4 follows the five steps of the evaluation process in ISO/IEC 25040. Every characteristic is therefore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correspond to characteristics of ISO/IEC 25010:2011: functionality to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to the time behaviour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to its capacity and to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The pilot tests measured these and five more characteristics, because a test written for one quality often measures another as well: the walkthrough that showed a function works also showed that one tenant cannot reach another's records. Table 7D lists each test activity with the characteristics it measured. Each measure is reported in Section 4.3 and brought together by characteristic in Section 4.4, where it stands beside the survey's ratings.</w:t>
      </w:r>
    </w:p>
    <w:p>
      <w:pPr>
        <w:spacing w:after="0" w:before="0" w:line="480" w:lineRule="auto"/>
        <w:ind w:firstLine="720"/>
        <w:jc w:val="both"/>
      </w:pPr>
      <w:r>
        <w:rPr>
          <w:rFonts w:ascii="Arial" w:cs="Arial" w:eastAsia="Arial" w:hAnsi="Arial"/>
          <w:b/>
          <w:bCs/>
          <w:sz w:val="24"/>
          <w:szCs w:val="24"/>
        </w:rPr>
        <w:t xml:space="preserve">Table 7D.</w:t>
      </w:r>
      <w:r>
        <w:rPr>
          <w:rFonts w:ascii="Arial" w:cs="Arial" w:eastAsia="Arial" w:hAnsi="Arial"/>
          <w:b w:val="false"/>
          <w:bCs w:val="false"/>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behaviour, resource utilization)</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Security (confidentiality, integrity, authenticity); Compatibility (interoperability, with the payment gateway and the Excel reports); Maintainability (testability).</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Compatibility (interoperability, with the payment gateway); Reliability (recoverability).</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and Reliability (maturity).</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completeness and correctness); Usability (user error protection); Security (confidentiality); Reliability (fault tolerance).</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i/>
          <w:iCs/>
          <w:sz w:val="24"/>
          <w:szCs w:val="24"/>
        </w:rPr>
        <w:t xml:space="preserve">Measures Performance Efficiency (time behaviour and resource utilization).</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i/>
          <w:iCs/>
          <w:sz w:val="24"/>
          <w:szCs w:val="24"/>
        </w:rPr>
        <w:t xml:space="preserve">Measures Reliability (fault tolerance); Performance Efficiency (capacity); Portability (installability and adaptability); Usability (accessibility).</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i/>
          <w:iCs/>
          <w:sz w:val="24"/>
          <w:szCs w:val="24"/>
        </w:rPr>
        <w:t xml:space="preserve">Measures quality in use (effectiveness, efficiency and context coverage); Usability (learnability and operability); Security (confidentiality).</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test level, using the levels of ISO/IEC/IEEE 29119 (Section 3.2.4): unit and integration, system, and acceptance.</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the evaluation process in ISO/IEC 25040, set out in Table 12B. The quality model is that of ISO/IEC 25010:2011, the edition on whose eight characteristics the instrument was built. Each characteristic was judged on two kinds of evidence: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the tests in Section 4.3, each expressed as a measure of a</w:t>
      </w:r>
    </w:p>
    <w:p>
      <w:pPr>
        <w:spacing w:after="0" w:before="0" w:line="480" w:lineRule="auto"/>
        <w:ind w:firstLine="720"/>
        <w:jc w:val="both"/>
      </w:pPr>
      <w:r>
        <w:rPr>
          <w:rFonts w:ascii="Arial" w:cs="Arial" w:eastAsia="Arial" w:hAnsi="Arial"/>
          <w:b w:val="false"/>
          <w:bCs w:val="false"/>
          <w:sz w:val="24"/>
          <w:szCs w:val="24"/>
        </w:rPr>
        <w:t xml:space="preserve">sub-characteristic in the manner of ISO/IEC 25023, for example the proportion of executed walkthrough steps that gave the correct result.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the survey, in which each item is assigned to one sub-characteristic (Chapter</w:t>
      </w:r>
    </w:p>
    <w:p>
      <w:pPr>
        <w:spacing w:after="0" w:before="0" w:line="480" w:lineRule="auto"/>
        <w:ind w:firstLine="720"/>
        <w:jc w:val="both"/>
      </w:pPr>
      <w:r>
        <w:rPr>
          <w:rFonts w:ascii="Arial" w:cs="Arial" w:eastAsia="Arial" w:hAnsi="Arial"/>
          <w:b w:val="false"/>
          <w:bCs w:val="false"/>
          <w:sz w:val="24"/>
          <w:szCs w:val="24"/>
        </w:rPr>
        <w:t xml:space="preserve">3, Table 4B), so that every mean in Tables 14 to 21 belongs to a named part of the model.</w:t>
      </w:r>
    </w:p>
    <w:p>
      <w:pPr>
        <w:spacing w:after="0" w:before="0" w:line="480" w:lineRule="auto"/>
        <w:ind w:firstLine="720"/>
        <w:jc w:val="both"/>
      </w:pPr>
      <w:r>
        <w:rPr>
          <w:rFonts w:ascii="Arial" w:cs="Arial" w:eastAsia="Arial" w:hAnsi="Arial"/>
          <w:b w:val="false"/>
          <w:bCs w:val="false"/>
          <w:sz w:val="24"/>
          <w:szCs w:val="24"/>
        </w:rPr>
        <w:t xml:space="preserve">The survey was answered by three groups: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0" w:before="0" w:line="480" w:lineRule="auto"/>
        <w:ind w:firstLine="720"/>
        <w:jc w:val="both"/>
      </w:pPr>
      <w:r>
        <w:rPr>
          <w:rFonts w:ascii="Arial" w:cs="Arial" w:eastAsia="Arial" w:hAnsi="Arial"/>
          <w:b/>
          <w:bCs/>
          <w:sz w:val="24"/>
          <w:szCs w:val="24"/>
        </w:rPr>
        <w:t xml:space="preserve">Table 12B.</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Tables 14 to 21 (rated)</w:t>
            </w:r>
          </w:p>
        </w:tc>
      </w:tr>
      <w:tr>
        <w:trPr>
          <w:cantSplit/>
        </w:trPr>
        <w:tc>
          <w:tcPr>
            <w:tcW w:type="dxa" w:w="18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The revision keeps six of the eight characteristics, renames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adds a ninth,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Because the survey was built and answered on the 2011 characteristics, its results are reported on them; changing the model after the answers were given would change what the respondents were asked. Table 12C shows where each result falls in the revised model, so that the evaluation can be read against either edition.</w:t>
      </w:r>
    </w:p>
    <w:p>
      <w:pPr>
        <w:spacing w:after="0" w:before="0" w:line="480" w:lineRule="auto"/>
        <w:ind w:firstLine="720"/>
        <w:jc w:val="both"/>
      </w:pPr>
      <w:r>
        <w:rPr>
          <w:rFonts w:ascii="Arial" w:cs="Arial" w:eastAsia="Arial" w:hAnsi="Arial"/>
          <w:b/>
          <w:bCs/>
          <w:sz w:val="24"/>
          <w:szCs w:val="24"/>
        </w:rPr>
        <w:t xml:space="preserve">Table 12C.</w:t>
      </w:r>
      <w:r>
        <w:rPr>
          <w:rFonts w:ascii="Arial" w:cs="Arial" w:eastAsia="Arial" w:hAnsi="Arial"/>
          <w:b w:val="false"/>
          <w:bCs w:val="false"/>
          <w:sz w:val="24"/>
          <w:szCs w:val="24"/>
        </w:rPr>
        <w:t xml:space="preserve"> The 2011 Characteristics and Their Place in ISO/IEC 25010:2023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ISO/IEC 25010:2011 (this evaluation)</w:t>
            </w:r>
          </w:p>
        </w:tc>
        <w:tc>
          <w:tcPr>
            <w:tcW w:type="dxa" w:w="18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ISO/IEC 25010:2023</w:t>
            </w:r>
          </w:p>
        </w:tc>
        <w:tc>
          <w:tcPr>
            <w:tcW w:type="dxa" w:w="46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Interaction Capability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Resistance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Flexibility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scalability added</w:t>
            </w:r>
          </w:p>
        </w:tc>
      </w:tr>
      <w:tr>
        <w:trPr>
          <w:cantSplit/>
        </w:trPr>
        <w:tc>
          <w:tcPr>
            <w:tcW w:type="dxa" w:w="21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counterpart)</w:t>
            </w:r>
          </w:p>
        </w:tc>
        <w:tc>
          <w:tcPr>
            <w:tcW w:type="dxa" w:w="18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Safety</w:t>
            </w:r>
          </w:p>
        </w:tc>
        <w:tc>
          <w:tcPr>
            <w:tcW w:type="dxa" w:w="46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12A.</w:t>
      </w:r>
      <w:r>
        <w:rPr>
          <w:rFonts w:ascii="Arial" w:cs="Arial" w:eastAsia="Arial" w:hAnsi="Arial"/>
          <w:b w:val="false"/>
          <w:bCs w:val="false"/>
          <w:sz w:val="24"/>
          <w:szCs w:val="24"/>
        </w:rPr>
        <w:t xml:space="preserve"> Instrument Administration and Response Rate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5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0" w:before="0" w:line="480" w:lineRule="auto"/>
        <w:ind w:firstLine="720"/>
        <w:jc w:val="both"/>
      </w:pPr>
      <w:r>
        <w:rPr>
          <w:rFonts w:ascii="Arial" w:cs="Arial" w:eastAsia="Arial" w:hAnsi="Arial"/>
          <w:b/>
          <w:bCs/>
          <w:sz w:val="24"/>
          <w:szCs w:val="24"/>
        </w:rPr>
        <w:t xml:space="preserve">Table 13A.</w:t>
      </w:r>
      <w:r>
        <w:rPr>
          <w:rFonts w:ascii="Arial" w:cs="Arial" w:eastAsia="Arial" w:hAnsi="Arial"/>
          <w:b w:val="false"/>
          <w:bCs w:val="false"/>
          <w:sz w:val="24"/>
          <w:szCs w:val="24"/>
        </w:rPr>
        <w:t xml:space="preserve"> Worked Computation of a Weighted Mean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14A.</w:t>
      </w:r>
      <w:r>
        <w:rPr>
          <w:rFonts w:ascii="Arial" w:cs="Arial" w:eastAsia="Arial" w:hAnsi="Arial"/>
          <w:b w:val="false"/>
          <w:bCs w:val="false"/>
          <w:sz w:val="24"/>
          <w:szCs w:val="24"/>
        </w:rPr>
        <w:t xml:space="preserve"> Measured Evidence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Features named in Objective 2 that were implemented,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 6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4.2.2 to 4.2.7</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requirements implemented in full or in part,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41 / 44 = 0.93 (25 as worded); the other 3 reach the owner in another form</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4.1.2</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 checks that agreed with the database,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 490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Executed walkthrough steps that gave the expected result,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whose figures matched the database, after correction</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 / 9, after 6 defects were corrected</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9</w:t>
            </w:r>
          </w:p>
        </w:tc>
      </w:tr>
      <w:tr>
        <w:trPr>
          <w:cantSplit/>
        </w:trPr>
        <w:tc>
          <w:tcPr>
            <w:tcW w:type="dxa" w:w="18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appropriateness</w:t>
            </w:r>
          </w:p>
        </w:tc>
        <w:tc>
          <w:tcPr>
            <w:tcW w:type="dxa" w:w="29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X = A / B</w:t>
            </w:r>
          </w:p>
        </w:tc>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w:t>
            </w:r>
          </w:p>
        </w:tc>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feature the objective names is present, and between 96 and 100 per cent of the executed checks of correctness gave the right result. The one incorrect result, the ₱0 of walkthrough step 23b, concerns a figure that could not be loaded rather than a computed amount, and is reported under Reliability.</w:t>
      </w: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15A.</w:t>
      </w:r>
      <w:r>
        <w:rPr>
          <w:rFonts w:ascii="Arial" w:cs="Arial" w:eastAsia="Arial" w:hAnsi="Arial"/>
          <w:b w:val="false"/>
          <w:bCs w:val="false"/>
          <w:sz w:val="24"/>
          <w:szCs w:val="24"/>
        </w:rPr>
        <w:t xml:space="preserve"> Measured Evidence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0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behaviour</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Longest time until a screen was usable, real devices</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3.05 s on a phone (tenant portal, first load); 2.30 s on a laptop (a year exported to Excel)</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behaviour</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within which 95 per cent of requests were answered under load</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 (public pages); 0.80 s (the owner's data)</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Code a visitor's browser downloads for the payments page</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About 20 kB; the 194 kB payment library only when a payment starts</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Script work on an emulated mid-range phone, the owner's Overview</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0.7 s</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4.3.5</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12 simultaneous users, X = A / B</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1,085 = 0.00</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6 simultaneous readers of the owner's records, X = A / B</w:t>
            </w:r>
          </w:p>
        </w:tc>
        <w:tc>
          <w:tcPr>
            <w:tcW w:type="dxa" w:w="28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285 = 0.00</w:t>
            </w:r>
          </w:p>
        </w:tc>
        <w:tc>
          <w:tcPr>
            <w:tcW w:type="dxa" w:w="12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request failed at several times the property's own load, and no screen took longer than about three seconds on a phone. The script work on a phone is the one measure that leaves room for improvement (Chapter 5, recommendation 5).</w:t>
      </w: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16A.</w:t>
      </w:r>
      <w:r>
        <w:rPr>
          <w:rFonts w:ascii="Arial" w:cs="Arial" w:eastAsia="Arial" w:hAnsi="Arial"/>
          <w:b w:val="false"/>
          <w:bCs w:val="false"/>
          <w:sz w:val="24"/>
          <w:szCs w:val="24"/>
        </w:rPr>
        <w:t xml:space="preserve"> Measured Evidence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Co-existence</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by a test; rated in the survey only</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Device and browser combinations on which sign-in, the pages and installation worked,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 matrix, 30 September 2026</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 checks passed,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4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workbooks opened in a spreadsheet program in the owner's layout</w:t>
            </w:r>
          </w:p>
        </w:tc>
        <w:tc>
          <w:tcPr>
            <w:tcW w:type="dxa" w:w="2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(walkthrough step 23); 490 / 490 month-by-month checks against the database</w:t>
            </w:r>
          </w:p>
        </w:tc>
        <w:tc>
          <w:tcPr>
            <w:tcW w:type="dxa" w:w="15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8 and 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exchanged data correctly with the two outside systems it depends on, the payment gateway and the owner's spreadsheet program, and worked on every browser tried. Co-existence with other applications on the same device was not tested on its own, so it rests on the survey.</w:t>
      </w: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17A.</w:t>
      </w:r>
      <w:r>
        <w:rPr>
          <w:rFonts w:ascii="Arial" w:cs="Arial" w:eastAsia="Arial" w:hAnsi="Arial"/>
          <w:b w:val="false"/>
          <w:bCs w:val="false"/>
          <w:sz w:val="24"/>
          <w:szCs w:val="24"/>
        </w:rPr>
        <w:t xml:space="preserve"> Measured Evidence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4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9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Appropriateness recognizability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without help,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31 / 34 = 0.91</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Learnability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that needed help after the first sign-in and finding the unit</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all 3 tasks that needed help were among those first two</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Operability</w:t>
            </w:r>
          </w:p>
        </w:tc>
        <w:tc>
          <w:tcPr>
            <w:tcW w:type="dxa" w:w="249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Mean wrong turns per task; median time per task</w:t>
            </w:r>
          </w:p>
        </w:tc>
        <w:tc>
          <w:tcPr>
            <w:tcW w:type="dxa" w:w="29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0.2; 60 s</w:t>
            </w:r>
          </w:p>
        </w:tc>
        <w:tc>
          <w:tcPr>
            <w:tcW w:type="dxa" w:w="15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error protection</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inputs the system refused when tried,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 steps 9, 18, 19 and 19b</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interface aesthetics</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Accessibility</w:t>
            </w:r>
          </w:p>
        </w:tc>
        <w:tc>
          <w:tcPr>
            <w:tcW w:type="dxa" w:w="24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scans with a WCAG 2.2 level A or AA violation, X = A / B</w:t>
            </w:r>
          </w:p>
        </w:tc>
        <w:tc>
          <w:tcPr>
            <w:tcW w:type="dxa" w:w="29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76 after the correction of 5 October 2026; Lighthouse accessibility score 100</w:t>
            </w:r>
          </w:p>
        </w:tc>
        <w:tc>
          <w:tcPr>
            <w:tcW w:type="dxa" w:w="15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4.3.5 and 4.4.6</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Nine tasks in ten were done without help, and the only help needed was in the first two things a new user does. The instrument did not ask about appearance, so user interface aesthetics is not evaluated in this study.</w:t>
      </w: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18A.</w:t>
      </w:r>
      <w:r>
        <w:rPr>
          <w:rFonts w:ascii="Arial" w:cs="Arial" w:eastAsia="Arial" w:hAnsi="Arial"/>
          <w:b w:val="false"/>
          <w:bCs w:val="false"/>
          <w:sz w:val="24"/>
          <w:szCs w:val="24"/>
        </w:rPr>
        <w:t xml:space="preserve"> Measured Evidence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Critical defects among those found in testing,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35; 31 resolved, 1 open, 3 accepted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Availability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as a share of time over a period; rated in the survey only</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Addresses that opened with no connection,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 / 10 = 1.00</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figure that could not be loaded shown as unavailable, not as ₱0</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once on the testing day (step 23b); not reproduced on 1 October; open</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stalled save reports within the 45 seconds designed</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iPhone within 45 s; Android after 60 to 80 s, since mitigated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54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Recoverability</w:t>
            </w:r>
          </w:p>
        </w:tc>
        <w:tc>
          <w:tcPr>
            <w:tcW w:type="dxa" w:w="29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Ledger after a receipt was recorded and voided</w:t>
            </w:r>
          </w:p>
        </w:tc>
        <w:tc>
          <w:tcPr>
            <w:tcW w:type="dxa" w:w="27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Returned to its 937 rows and its previous total</w:t>
            </w:r>
          </w:p>
        </w:tc>
        <w:tc>
          <w:tcPr>
            <w:tcW w:type="dxa" w:w="137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Section 4.3.2</w:t>
            </w:r>
          </w:p>
        </w:tc>
      </w:tr>
      <w:tr>
        <w:trPr>
          <w:cantSplit/>
        </w:trPr>
        <w:tc>
          <w:tcPr>
            <w:tcW w:type="dxa" w:w="15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Recoverability</w:t>
            </w:r>
          </w:p>
        </w:tc>
        <w:tc>
          <w:tcPr>
            <w:tcW w:type="dxa" w:w="29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Typed text kept when a send failed</w:t>
            </w:r>
          </w:p>
        </w:tc>
        <w:tc>
          <w:tcPr>
            <w:tcW w:type="dxa" w:w="27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Kept on both phones; sent once the connection returned on one</w:t>
            </w:r>
          </w:p>
        </w:tc>
        <w:tc>
          <w:tcPr>
            <w:tcW w:type="dxa" w:w="1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failed safely in most of the conditions tried, and no defect found was critical. Two results fell short of the design, both on a real device without a connection (step 23b and the late message on Android), and availability over time was not measured (Chapter 5, recommendation 8).</w:t>
      </w: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19A.</w:t>
      </w:r>
      <w:r>
        <w:rPr>
          <w:rFonts w:ascii="Arial" w:cs="Arial" w:eastAsia="Arial" w:hAnsi="Arial"/>
          <w:b w:val="false"/>
          <w:bCs w:val="false"/>
          <w:sz w:val="24"/>
          <w:szCs w:val="24"/>
        </w:rPr>
        <w:t xml:space="preserve"> Measured Evidence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5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Another tenant's record requested by its number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"not found" (walkthrough step 17); each tenant saw only their own unit (C-02)</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11D</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Protections a user meets that held when tried by hand,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 / 12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with row-level security and no rule opening them to a browser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table; no warning from the database's security advisor</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4.2.6 and 4.4.8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messages accepted only with a valid signature: checks passed,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that change data checked against a schema before use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one, in all 71 request handlers read</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Non-repudiation, accountability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actions written to an audit trail the application cannot edit or delete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administrator action</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Account after five wrong passwords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Locked for 15 minutes</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Grades from three passive external scans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SSL Labs A+; Mozilla HTTP Observatory A+ (115, 12 of 12 tests); securityheaders.com A+</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c>
          <w:tcPr>
            <w:tcW w:type="dxa" w:w="28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High-severity problems found by the code review</w:t>
            </w:r>
          </w:p>
        </w:tc>
        <w:tc>
          <w:tcPr>
            <w:tcW w:type="dxa" w:w="25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5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protection tried held, and all three outside scanners graded the site A+, the evidence for which follows.</w:t>
      </w: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20A.</w:t>
      </w:r>
      <w:r>
        <w:rPr>
          <w:rFonts w:ascii="Arial" w:cs="Arial" w:eastAsia="Arial" w:hAnsi="Arial"/>
          <w:b w:val="false"/>
          <w:bCs w:val="false"/>
          <w:sz w:val="24"/>
          <w:szCs w:val="24"/>
        </w:rPr>
        <w:t xml:space="preserve"> Measured Evidence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4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1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4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Routes whose access comes from the one permission matrix, checked on every run, X = A / B</w:t>
            </w:r>
          </w:p>
        </w:tc>
        <w:tc>
          <w:tcPr>
            <w:tcW w:type="dxa" w:w="21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55 / 55 = 1.00</w:t>
            </w:r>
          </w:p>
        </w:tc>
        <w:tc>
          <w:tcPr>
            <w:tcW w:type="dxa" w:w="13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6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Reusability</w:t>
            </w:r>
          </w:p>
        </w:tc>
        <w:tc>
          <w:tcPr>
            <w:tcW w:type="dxa" w:w="34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1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Analysability</w:t>
            </w:r>
          </w:p>
        </w:tc>
        <w:tc>
          <w:tcPr>
            <w:tcW w:type="dxa" w:w="34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the database kept as numbered, reviewable migrations</w:t>
            </w:r>
          </w:p>
        </w:tc>
        <w:tc>
          <w:tcPr>
            <w:tcW w:type="dxa" w:w="21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change; more than 70 by 5 October 2026</w:t>
            </w:r>
          </w:p>
        </w:tc>
        <w:tc>
          <w:tcPr>
            <w:tcW w:type="dxa" w:w="13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w:t>
            </w:r>
          </w:p>
        </w:tc>
      </w:tr>
      <w:tr>
        <w:trPr>
          <w:cantSplit/>
        </w:trPr>
        <w:tc>
          <w:tcPr>
            <w:tcW w:type="dxa" w:w="16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Modifiability</w:t>
            </w:r>
          </w:p>
        </w:tc>
        <w:tc>
          <w:tcPr>
            <w:tcW w:type="dxa" w:w="34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rate changed without a change to the code</w:t>
            </w:r>
          </w:p>
        </w:tc>
        <w:tc>
          <w:tcPr>
            <w:tcW w:type="dxa" w:w="21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Changed in the settings</w:t>
            </w:r>
          </w:p>
        </w:tc>
        <w:tc>
          <w:tcPr>
            <w:tcW w:type="dxa" w:w="13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w:t>
            </w:r>
          </w:p>
        </w:tc>
      </w:tr>
      <w:tr>
        <w:trPr>
          <w:cantSplit/>
        </w:trPr>
        <w:tc>
          <w:tcPr>
            <w:tcW w:type="dxa" w:w="163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Testability</w:t>
            </w:r>
          </w:p>
        </w:tc>
        <w:tc>
          <w:tcPr>
            <w:tcW w:type="dxa" w:w="34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suites that run against the live system without writing to it, passing, X = A / B</w:t>
            </w:r>
          </w:p>
        </w:tc>
        <w:tc>
          <w:tcPr>
            <w:tcW w:type="dxa" w:w="21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 20 = 1.00</w:t>
            </w:r>
          </w:p>
        </w:tc>
        <w:tc>
          <w:tcPr>
            <w:tcW w:type="dxa" w:w="13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can be checked as a whole on every change without touching the owner's records. Reusability was neither measured nor asked about.</w:t>
      </w: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21A.</w:t>
      </w:r>
      <w:r>
        <w:rPr>
          <w:rFonts w:ascii="Arial" w:cs="Arial" w:eastAsia="Arial" w:hAnsi="Arial"/>
          <w:b w:val="false"/>
          <w:bCs w:val="false"/>
          <w:sz w:val="24"/>
          <w:szCs w:val="24"/>
        </w:rPr>
        <w:t xml:space="preserve"> Measured Evidence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3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wider than the window at 360, 390, 768 and 1,366 pixels</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(seven public pages and the owner's eight screens)</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4.3.6</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Kinds of device on which the same code ran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 laptop in Chrome, an Android phone in Chrome, an iPhone in Safari</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4.2.7</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of a Progressive Web Application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installed from the browser on an Android phone and an iPhone, with no app store</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11A and Section 4.3.7</w:t>
            </w:r>
          </w:p>
        </w:tc>
      </w:tr>
      <w:tr>
        <w:trPr>
          <w:cantSplit/>
        </w:trPr>
        <w:tc>
          <w:tcPr>
            <w:tcW w:type="dxa" w:w="13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Replaceability</w:t>
            </w:r>
          </w:p>
        </w:tc>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reproduced by the system</w:t>
            </w:r>
          </w:p>
        </w:tc>
        <w:tc>
          <w:tcPr>
            <w:tcW w:type="dxa" w:w="33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Tables 8 and 25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One code base served every screen size and device tried and installed without an app store. Whether the system replaces the workbook in practice is the last stage of the deployment plan (Table 25).</w:t>
      </w: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22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59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in Tables 14A to 21A and twenty-five are rated by at least one survey item. Two, user interface aesthetics and reusability, have neither, and no conclusion is drawn about them.</w:t>
      </w:r>
    </w:p>
    <w:p>
      <w:pPr>
        <w:spacing w:after="0" w:before="0" w:line="480" w:lineRule="auto"/>
        <w:ind w:firstLine="720"/>
        <w:jc w:val="both"/>
      </w:pPr>
      <w:r>
        <w:rPr>
          <w:rFonts w:ascii="Arial" w:cs="Arial" w:eastAsia="Arial" w:hAnsi="Arial"/>
          <w:b/>
          <w:bCs/>
          <w:sz w:val="24"/>
          <w:szCs w:val="24"/>
        </w:rPr>
        <w:t xml:space="preserve">Table 22A.</w:t>
      </w:r>
      <w:r>
        <w:rPr>
          <w:rFonts w:ascii="Arial" w:cs="Arial" w:eastAsia="Arial" w:hAnsi="Arial"/>
          <w:b w:val="false"/>
          <w:bCs w:val="false"/>
          <w:sz w:val="24"/>
          <w:szCs w:val="24"/>
        </w:rPr>
        <w:t xml:space="preserve"> Measured and Rated Evidence by Characteristic [rated column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41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0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10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10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1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(Tables 14A to 21A)</w:t>
            </w:r>
          </w:p>
        </w:tc>
        <w:tc>
          <w:tcPr>
            <w:tcW w:type="dxa" w:w="10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0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1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0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0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1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0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0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1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0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0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1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0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0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1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0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0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1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0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0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1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w:t>
            </w:r>
          </w:p>
        </w:tc>
        <w:tc>
          <w:tcPr>
            <w:tcW w:type="dxa" w:w="10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0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0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1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0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10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10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10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1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0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25010:2011 also defines quality in use, the quality of the system as experienced by its users in their own context. The acceptance test of Section 4.3.7 measured it directly, in the manner of ISO/IEC 25022, and Table 22B reports those measures.</w:t>
      </w:r>
    </w:p>
    <w:p>
      <w:pPr>
        <w:spacing w:after="0" w:before="0" w:line="480" w:lineRule="auto"/>
        <w:ind w:firstLine="720"/>
        <w:jc w:val="both"/>
      </w:pPr>
      <w:r>
        <w:rPr>
          <w:rFonts w:ascii="Arial" w:cs="Arial" w:eastAsia="Arial" w:hAnsi="Arial"/>
          <w:b/>
          <w:bCs/>
          <w:sz w:val="24"/>
          <w:szCs w:val="24"/>
        </w:rPr>
        <w:t xml:space="preserve">Table 22B.</w:t>
      </w:r>
      <w:r>
        <w:rPr>
          <w:rFonts w:ascii="Arial" w:cs="Arial" w:eastAsia="Arial" w:hAnsi="Arial"/>
          <w:b w:val="false"/>
          <w:bCs w:val="false"/>
          <w:sz w:val="24"/>
          <w:szCs w:val="24"/>
        </w:rPr>
        <w:t xml:space="preserve"> Quality in Use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21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8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2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21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28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completed, X = A / B</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 without help 31 / 34 = 0.91</w:t>
            </w:r>
          </w:p>
        </w:tc>
        <w:tc>
          <w:tcPr>
            <w:tcW w:type="dxa" w:w="1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21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28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walkthrough steps executed that passed, X = A / B</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21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Efficiency</w:t>
            </w:r>
          </w:p>
        </w:tc>
        <w:tc>
          <w:tcPr>
            <w:tcW w:type="dxa" w:w="28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Median time per task; mean wrong turns per task</w:t>
            </w:r>
          </w:p>
        </w:tc>
        <w:tc>
          <w:tcPr>
            <w:tcW w:type="dxa" w:w="327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 s; 0.2</w:t>
            </w:r>
          </w:p>
        </w:tc>
        <w:tc>
          <w:tcPr>
            <w:tcW w:type="dxa" w:w="129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21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Satisfaction</w:t>
            </w:r>
          </w:p>
        </w:tc>
        <w:tc>
          <w:tcPr>
            <w:tcW w:type="dxa" w:w="28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with a satisfaction scale. The open answers: two of three tenants found nothing confusing, and one said the system still felt lacking</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21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Freedom from risk</w:t>
            </w:r>
          </w:p>
        </w:tc>
        <w:tc>
          <w:tcPr>
            <w:tcW w:type="dxa" w:w="28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of the owner changed or lost by testing</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4.3.2 and 4.3.4</w:t>
            </w:r>
          </w:p>
        </w:tc>
      </w:tr>
      <w:tr>
        <w:trPr>
          <w:cantSplit/>
        </w:trPr>
        <w:tc>
          <w:tcPr>
            <w:tcW w:type="dxa" w:w="121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 coverage</w:t>
            </w:r>
          </w:p>
        </w:tc>
        <w:tc>
          <w:tcPr>
            <w:tcW w:type="dxa" w:w="28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Contexts in which the tasks were done</w:t>
            </w:r>
          </w:p>
        </w:tc>
        <w:tc>
          <w:tcPr>
            <w:tcW w:type="dxa" w:w="32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4.3.6 and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3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2026-10-06T12:47:12.637Z</dcterms:created>
  <dcterms:modified xsi:type="dcterms:W3CDTF">2026-10-06T12:47:12.638Z</dcterms:modified>
</cp:coreProperties>
</file>

<file path=docProps/custom.xml><?xml version="1.0" encoding="utf-8"?>
<Properties xmlns="http://schemas.openxmlformats.org/officeDocument/2006/custom-properties" xmlns:vt="http://schemas.openxmlformats.org/officeDocument/2006/docPropsVTypes"/>
</file>