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Nothing recorded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before the latest receipt with no receipt of its own is shown as "Nothing recorded", never as owed, because the records do not establish that it is.</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Later the same morning a GCash checkout on the live site loaded Adyen with no report from the policy, and the policy was switched to enforcing; the Observatory figure above predates that switch (Chapter 5, recommendation 9). [DATA PENDING: securityheaders.com grade and PageSpeed Insights scores from the team's runs, with dates.]</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2026-09-30T06:32:31.570Z</dcterms:created>
  <dcterms:modified xsi:type="dcterms:W3CDTF">2026-09-30T06:32:31.571Z</dcterms:modified>
</cp:coreProperties>
</file>

<file path=docProps/custom.xml><?xml version="1.0" encoding="utf-8"?>
<Properties xmlns="http://schemas.openxmlformats.org/officeDocument/2006/custom-properties" xmlns:vt="http://schemas.openxmlformats.org/officeDocument/2006/docPropsVTypes"/>
</file>