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removable storage,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One question remains open, the move-in date of each current tenancy (Chapter 5, recommendation 1).</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supports Magno et al. (2024), for whom digitizing records does not by itself remove fragmentation: every record here was already in one database, yet six screens disagreed with it.</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laptop in Google Chrome over the boarding house's Wi-Fi and on a phone,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recorded as a defect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the edition on which the instrument was built.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which requires reading the source code.</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left open, the ₱0 of step 23b.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§4.4.3)</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2026-10-12T14:07:51.176Z</dcterms:created>
  <dcterms:modified xsi:type="dcterms:W3CDTF">2026-10-12T14:07:51.177Z</dcterms:modified>
</cp:coreProperties>
</file>

<file path=docProps/custom.xml><?xml version="1.0" encoding="utf-8"?>
<Properties xmlns="http://schemas.openxmlformats.org/officeDocument/2006/custom-properties" xmlns:vt="http://schemas.openxmlformats.org/officeDocument/2006/docPropsVTypes"/>
</file>