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invoice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of the four areas through the hands that touched it. Every path ends in a record kept apart from the others, or in no record at all, which is where each problem in Table 5 begins.</w:t>
      </w:r>
    </w:p>
    <w:p>
      <w:pPr>
        <w:keepNext/>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invoice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0" w:before="0" w:line="480" w:lineRule="auto"/>
        <w:ind w:firstLine="720"/>
        <w:jc w:val="both"/>
      </w:pPr>
      <w:r>
        <w:rPr>
          <w:rFonts w:ascii="Arial" w:cs="Arial" w:eastAsia="Arial" w:hAnsi="Arial"/>
          <w:b w:val="false"/>
          <w:bCs w:val="false"/>
          <w:sz w:val="24"/>
          <w:szCs w:val="24"/>
        </w:rPr>
        <w:t xml:space="preserve">Figures 4 to 9 model the system as built, and Figures 10 to 14 show its screens as they stood on 5 October 2026. The units, their rates and their status in Figures 10 and 11 are the property's own, as the public site shows them. To protect the tenants' privacy, the names, payments, expenses and repair requests in Figures 10, 12, 13 and 14 are sample records, and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seventy by 5 October 2026), so the history of the data can be reviewed and repeated.</w:t>
      </w:r>
    </w:p>
    <w:p>
      <w:pPr>
        <w:spacing w:after="0" w:before="0" w:line="480" w:lineRule="auto"/>
        <w:ind w:firstLine="720"/>
        <w:jc w:val="both"/>
      </w:pPr>
      <w:r>
        <w:rPr>
          <w:rFonts w:ascii="Arial" w:cs="Arial" w:eastAsia="Arial" w:hAnsi="Arial"/>
          <w:b/>
          <w:bCs/>
          <w:sz w:val="24"/>
          <w:szCs w:val="24"/>
        </w:rPr>
        <w:t xml:space="preserve">Architecture.</w:t>
      </w:r>
      <w:r>
        <w:rPr>
          <w:rFonts w:ascii="Arial" w:cs="Arial" w:eastAsia="Arial" w:hAnsi="Arial"/>
          <w:b w:val="false"/>
          <w:bCs w:val="false"/>
          <w:sz w:val="24"/>
          <w:szCs w:val="24"/>
        </w:rPr>
        <w:t xml:space="preserve"> Figure 5 shows where each part of the system runs. The application is delivered to the browser as a Progressive Web Application and talks to one server program, an Express API that runs on Vercel as a serverless function. Only that API reads or writes the database: row-level security is switched on for every table and no rule opens a table to a browser, so a request that does not pass through the API's sign-in and role checks reaches no data. Payment details are typed into Adyen's own form and go from it to Adyen directly. The API only creates the payment session, and records a payment once Adyen confirms it (Section 4.2.4).</w:t>
      </w:r>
    </w:p>
    <w:p>
      <w:pPr>
        <w:keepNext/>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0" w:before="0" w:line="480" w:lineRule="auto"/>
        <w:ind w:firstLine="720"/>
        <w:jc w:val="both"/>
      </w:pPr>
      <w:r>
        <w:rPr>
          <w:rFonts w:ascii="Arial" w:cs="Arial" w:eastAsia="Arial" w:hAnsi="Arial"/>
          <w:b/>
          <w:bCs/>
          <w:sz w:val="24"/>
          <w:szCs w:val="24"/>
        </w:rPr>
        <w:t xml:space="preserve">Process model.</w:t>
      </w:r>
      <w:r>
        <w:rPr>
          <w:rFonts w:ascii="Arial" w:cs="Arial" w:eastAsia="Arial" w:hAnsi="Arial"/>
          <w:b w:val="false"/>
          <w:bCs w:val="false"/>
          <w:sz w:val="24"/>
          <w:szCs w:val="24"/>
        </w:rPr>
        <w:t xml:space="preserve"> Figure 6 is the context diagram: the system as one process, with the four parties outside it and the data that passes between them. Figure 7 opens that process into its eight processes and the stores each reads and writes. Two stores are written by nearly every process and are left out of Figure 7 for readability: the notifications, and the audit record of every change (Section 4.4.8). The tenants, tenancies and store D2 is drawn twice, marked by a second bar, to avoid crossing lines.</w:t>
      </w:r>
    </w:p>
    <w:p>
      <w:pPr>
        <w:keepNext/>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6. Context Diagram.</w:t>
      </w:r>
    </w:p>
    <w:p>
      <w:pPr>
        <w:keepNext/>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 Sign in, own details, notifications and recent actions are shared by tenants and the owner, each seeing only their own.</w:t>
      </w:r>
    </w:p>
    <w:p>
      <w:pPr>
        <w:keepNext/>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8. Use Case Diagram.</w:t>
      </w:r>
    </w:p>
    <w:p>
      <w:pPr>
        <w:spacing w:after="0" w:before="0" w:line="480" w:lineRule="auto"/>
        <w:ind w:firstLine="720"/>
        <w:jc w:val="both"/>
      </w:pPr>
      <w:r>
        <w:rPr>
          <w:rFonts w:ascii="Arial" w:cs="Arial" w:eastAsia="Arial" w:hAnsi="Arial"/>
          <w:b/>
          <w:bCs/>
          <w:sz w:val="24"/>
          <w:szCs w:val="24"/>
        </w:rPr>
        <w:t xml:space="preserve">Data model.</w:t>
      </w:r>
      <w:r>
        <w:rPr>
          <w:rFonts w:ascii="Arial" w:cs="Arial" w:eastAsia="Arial" w:hAnsi="Arial"/>
          <w:b w:val="false"/>
          <w:bCs w:val="false"/>
          <w:sz w:val="24"/>
          <w:szCs w:val="24"/>
        </w:rPr>
        <w:t xml:space="preserve"> Figure 9 is the entity-relationship diagram of the database as it stood on 5 October 2026. It was drawn from the database's own catalogue of tables, keys and constraints, not from a design document, so it shows what the database enforces: 21 tables, each with a primary key, and 37 foreign keys. Rooms and profiles are the two centres of the design. Every bill, payment, receipt, tenancy, repair request and inquiry belongs to one unit, and every tenancy, bill and payment to one person. The owner's two ledgers are kept as she kept them, a Monthly Income table of receipts and a Monthly Expenses table whose entries are split across property areas.</w:t>
      </w:r>
    </w:p>
    <w:p>
      <w:pPr>
        <w:keepNext/>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0" w:before="0" w:line="480" w:lineRule="auto"/>
        <w:ind w:firstLine="720"/>
        <w:jc w:val="both"/>
      </w:pPr>
      <w:r>
        <w:rPr>
          <w:rFonts w:ascii="Arial" w:cs="Arial" w:eastAsia="Arial" w:hAnsi="Arial"/>
          <w:b w:val="false"/>
          <w:bCs w:val="false"/>
          <w:sz w:val="24"/>
          <w:szCs w:val="24"/>
        </w:rPr>
        <w:t xml:space="preserve">Several of the rules in Section 4.2.4 live in the database itself rather than in the program, so no screen or script can bypass them. One unit cannot have two active tenancies; one invoice number cannot be used twice for the same unit and month on receipts that stand; an online payment's gateway reference cannot be recorded twice; and the 50% Share and the remitted amount are computed columns, so they cannot disagree with the rent and water beside them. Table 7A describes the Monthly Income table, the one the owner reads most, as an extract of the data dictionary.</w:t>
      </w:r>
    </w:p>
    <w:p>
      <w:pPr>
        <w:spacing w:after="0" w:before="0" w:line="480" w:lineRule="auto"/>
        <w:ind w:firstLine="720"/>
        <w:jc w:val="both"/>
      </w:pPr>
      <w:r>
        <w:rPr>
          <w:rFonts w:ascii="Arial" w:cs="Arial" w:eastAsia="Arial" w:hAnsi="Arial"/>
          <w:b/>
          <w:bCs/>
          <w:sz w:val="24"/>
          <w:szCs w:val="24"/>
        </w:rPr>
        <w:t xml:space="preserve">Table 7A.</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11. Public Unit Catalogue (top) and Enquiry Form (bottom).</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for every unit. The two Linda units' money is recorded separately and kept out of the property's grand totals, as in the owner's own workbook (BR-040).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number of the invoice she issued, written INV#, or with none, since not every payment has an invoice. The system never makes up an invoice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 entered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with no payment entered, whether between two payments or after the last one, is shown as "Not entered", never as owed or overdue, because the records alone cannot tell an unpaid month from one the owner has not entered yet; only a bill actually raised is shown as due.</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bringing payment records into one structured ledger improves oversight and reduces administrative errors. This study adds one observation to theirs: the consolidation did not only prevent new errors, it exposed errors already present in the owner's records (Section 4.1.1).</w:t>
      </w:r>
    </w:p>
    <w:p>
      <w:pPr>
        <w:spacing w:after="0" w:before="0" w:line="480" w:lineRule="auto"/>
        <w:ind w:firstLine="720"/>
        <w:jc w:val="both"/>
      </w:pPr>
      <w:r>
        <w:rPr>
          <w:rFonts w:ascii="Arial" w:cs="Arial" w:eastAsia="Arial" w:hAnsi="Arial"/>
          <w:b w:val="false"/>
          <w:bCs w:val="false"/>
          <w:sz w:val="24"/>
          <w:szCs w:val="24"/>
        </w:rPr>
        <w:t xml:space="preserve">Every figure the owner reads is worked out by the system from the rules in Table 7B rather than typed, so the same inputs always give the same amount.</w:t>
      </w:r>
    </w:p>
    <w:p>
      <w:pPr>
        <w:spacing w:after="0" w:before="0" w:line="480" w:lineRule="auto"/>
        <w:ind w:firstLine="720"/>
        <w:jc w:val="both"/>
      </w:pPr>
      <w:r>
        <w:rPr>
          <w:rFonts w:ascii="Arial" w:cs="Arial" w:eastAsia="Arial" w:hAnsi="Arial"/>
          <w:b/>
          <w:bCs/>
          <w:sz w:val="24"/>
          <w:szCs w:val="24"/>
        </w:rPr>
        <w:t xml:space="preserve">Table 7B.</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w:t>
      </w:r>
    </w:p>
    <w:p>
      <w:pPr>
        <w:spacing w:after="0" w:before="0" w:line="480" w:lineRule="auto"/>
        <w:ind w:firstLine="720"/>
        <w:jc w:val="both"/>
      </w:pPr>
      <w:r>
        <w:rPr>
          <w:rFonts w:ascii="Arial" w:cs="Arial" w:eastAsia="Arial" w:hAnsi="Arial"/>
          <w:b w:val="false"/>
          <w:bCs w:val="false"/>
          <w:sz w:val="24"/>
          <w:szCs w:val="24"/>
        </w:rPr>
        <w:t xml:space="preserve">This is the change Saputra et al. (2025) report, in which turning tenant complaints into recorded, traceable requests improved accountability and response management, and it bears on the responsiveness that Jing and Lim (2021) found central to residents' satisfaction: a request now carries its status from submission to closing, where before it left no record (Figure 4).</w:t>
      </w:r>
    </w:p>
    <w:p>
      <w:pPr>
        <w:keepNext/>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 On the capstone adviser's advice the trail is kept in the database for the developers and is not shown in the application: its Activity screen was removed on 1 October 2026.</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0" w:before="0" w:line="480" w:lineRule="auto"/>
        <w:ind w:firstLine="720"/>
        <w:jc w:val="both"/>
      </w:pPr>
      <w:r>
        <w:rPr>
          <w:rFonts w:ascii="Arial" w:cs="Arial" w:eastAsia="Arial" w:hAnsi="Arial"/>
          <w:b w:val="false"/>
          <w:bCs w:val="false"/>
          <w:sz w:val="24"/>
          <w:szCs w:val="24"/>
        </w:rPr>
        <w:t xml:space="preserve">Table 7C sets out which role may use which function. It is read from the permission table in the server's code, which every request is checked against before it reaches the data.</w:t>
      </w:r>
    </w:p>
    <w:p>
      <w:pPr>
        <w:spacing w:after="0" w:before="0" w:line="480" w:lineRule="auto"/>
        <w:ind w:firstLine="720"/>
        <w:jc w:val="both"/>
      </w:pPr>
      <w:r>
        <w:rPr>
          <w:rFonts w:ascii="Arial" w:cs="Arial" w:eastAsia="Arial" w:hAnsi="Arial"/>
          <w:b/>
          <w:bCs/>
          <w:sz w:val="24"/>
          <w:szCs w:val="24"/>
        </w:rPr>
        <w:t xml:space="preserve">Table 7C.</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 prospect, someone recorded from an inquiry who has not moved in, holds a visitor's permissions. "Own" means the server reads the person from their sign-in token and returns only their own records; anyone else's answers "not found".</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A separate, read-only copy was added on 1 and 2 October 2026: the essential figures, names and notifications the signed-in person's screens last loaded are kept in the browser on that person's own device, so the installed application can still show them with no connection under one notice giving the time they were saved. For a tenant these are their rent, balance, payments, repair requests and details; for the owner, the units, tenants, income and expense records, repairs and inquiries. Paying, recording and every other action still need the connection and are not offered without it, and the copy is removed when the person signs out or someone else signs in on the device. This stays within the delimitation in Section 1.4: current data and every change to it need an internet connection. Screens adapt to the device: tables on a computer become cards on a phone. As Biørn-Hansen et al. (2019) describe, one application served every device: the same code ran on the owner's laptop, an Android phone in Chrome and an iPhone in Safari during testing (Section 4.3.7), with no separate mobile application to build or install from an app store.</w:t>
      </w:r>
    </w:p>
    <w:p>
      <w:pPr>
        <w:keepNext/>
        <w:spacing w:after="120" w:before="240"/>
        <w:jc w:val="center"/>
      </w:pPr>
      <w:r>
        <w:drawing>
          <wp:inline distT="0" distB="0" distL="0" distR="0">
            <wp:extent cx="54578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57825" cy="7772400"/>
                    </a:xfrm>
                    <a:prstGeom prst="rect">
                      <a:avLst/>
                    </a:prstGeom>
                  </pic:spPr>
                </pic:pic>
              </a:graphicData>
            </a:graphic>
          </wp:inline>
        </w:drawing>
      </w:r>
    </w:p>
    <w:p>
      <w:pPr>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invoice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3).</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invoice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0" w:before="0" w:line="480" w:lineRule="auto"/>
        <w:ind w:firstLine="720"/>
        <w:jc w:val="both"/>
      </w:pPr>
      <w:r>
        <w:rPr>
          <w:rFonts w:ascii="Arial" w:cs="Arial" w:eastAsia="Arial" w:hAnsi="Arial"/>
          <w:b w:val="false"/>
          <w:bCs w:val="false"/>
          <w:sz w:val="24"/>
          <w:szCs w:val="24"/>
        </w:rPr>
        <w:t xml:space="preserve">This supports the observation of Magno et al. (2024) that digitizing records does not by itself remove fragmentation. Here every record was already in one database, yet the audit found six places where a screen disagreed with it. The consistency that Pressman and Maxim (2020) attribute to integrated systems had to be verified screen by screen; it did not follow from the shared database alone.</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in Table 10, counting the sub-steps 15b, 19b, 22b and 23b)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invoice prevention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invoice numbers,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Since 1 and 2 October the essential figures, names and notifications a person last loaded stay readable offline on that person's device (Section 4.2.7), and they are removed at sign-out, so none are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5).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by the procedure and measures described in Section 3.3.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Mia et al. (2024) name limited technical capacity as a barrier when small Philippine enterprises adopt digital tools. The tenants' results locate that barrier precisely: the only help needed was at the first sign-in and in finding the unit and rent, the first two things a new user does, and none afterwards.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0" w:before="0" w:line="480" w:lineRule="auto"/>
        <w:ind w:firstLine="720"/>
        <w:jc w:val="both"/>
      </w:pPr>
      <w:r>
        <w:rPr>
          <w:rFonts w:ascii="Arial" w:cs="Arial" w:eastAsia="Arial" w:hAnsi="Arial"/>
          <w:b w:val="false"/>
          <w:bCs w:val="false"/>
          <w:sz w:val="24"/>
          <w:szCs w:val="24"/>
        </w:rPr>
        <w:t xml:space="preserve">Table 11E brings the testing of Section 4.3 together by level.</w:t>
      </w:r>
    </w:p>
    <w:p>
      <w:pPr>
        <w:spacing w:after="0" w:before="0" w:line="480" w:lineRule="auto"/>
        <w:ind w:firstLine="720"/>
        <w:jc w:val="both"/>
      </w:pPr>
      <w:r>
        <w:rPr>
          <w:rFonts w:ascii="Arial" w:cs="Arial" w:eastAsia="Arial" w:hAnsi="Arial"/>
          <w:b/>
          <w:bCs/>
          <w:sz w:val="24"/>
          <w:szCs w:val="24"/>
        </w:rPr>
        <w:t xml:space="preserve">Table 11E.</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2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2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8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(Table 10)</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2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2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(Table 11D)</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8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2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2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8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The one failure, at the system level, is classified in Table 23A; it was not critical, and no critical defect was found in any activity.</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product quality model of ISO/IEC 25010:2011, the edition on whose eight characteristics the instrument was built: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An accessibility audit on 2 October 2026 extended the earlier scan (Section 4.3.6) to every kind of screen: 19 screens, eight public, seven of the owner's and four of the tenant's, each in light and dark mode at phone (375 pixels) and computer (1,366 pixels) widths, 76 scans in all with axe-core 4 against WCAG 2.2 levels A and AA. None found a violation, nor did scans of the menus and forms in their open state. The 76 scans were repeated on 5 October 2026, after the changes made for the technical evaluators. They found one defect, on three screens: the name of a cluster had become part of an element's identifier, and a name with a space in it made the identifier invalid, so assistive technology could not tell which section a button opens. It was corrected the same night, and the repeated scans found no violation. By keyboard alone, focus moved into every dialog, stayed inside it, and returned to the button that opened it when the dialog was closed with Escape; every focused control showed a visible outline; and with the device set to reduce motion, only fades remained. The audit used a local copy of the system with invented records, and no screen reader was tried, so these results show that the screens are built correctly for assistive technology, not that a user of one has tried them (</w:t>
      </w:r>
      <w:r>
        <w:rPr>
          <w:rFonts w:ascii="Courier New" w:cs="Courier New" w:eastAsia="Courier New" w:hAnsi="Courier New"/>
          <w:b w:val="false"/>
          <w:bCs w:val="false"/>
          <w:sz w:val="22"/>
          <w:szCs w:val="22"/>
        </w:rPr>
        <w:t xml:space="preserve">docs/AUDIT_2026-10-02_SECURITY_ACCESSIBILITY.md</w:t>
      </w:r>
      <w:r>
        <w:rPr>
          <w:rFonts w:ascii="Arial" w:cs="Arial" w:eastAsia="Arial" w:hAnsi="Arial"/>
          <w:b w:val="false"/>
          <w:bCs w:val="false"/>
          <w:sz w:val="24"/>
          <w:szCs w:val="24"/>
        </w:rPr>
        <w:t xml:space="preserve">, Section 2).</w:t>
      </w: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A security review of the code on 2 October 2026 read every one of the system's 71 request handlers. Every administrative route requires a signed-in administrator; every tenant route takes the tenant from the sign-in token, never from the request, and answers "not found" for another tenant's record; every request that changes data is checked against a schema before it is used; and every database function is callable by the server only. It found no high-severity problem in the code. Four low-severity improvements were made the same day: return addresses that a browser could read as another site are refused, the sign-in token's algorithm is named, a repair photo may no longer be an SVG document, and the page security policy gained two directives. Row-level security was added to three old backup tables that had been created without it (migration 076). Probed from outside without signing in, the live site refused every protected endpoint with 401, served none of its configuration or source files, and answered a request from a foreign website with a server error; that request is now refused with 403 before any route runs. The technical evaluators' review the next day led to two further input checks: phone numbers and photo formats are now checked by the server as well as the page (Table 23). On 5 October 2026, Supabase's own security advisor raised no warning on the database. Its only notes were informational, one for each of the 24 tables: row-level security is on and no policy grants access. That is the intended design: the public keys can read and write nothing, and every request goes through the server, which checks the user's role first. The same day, </w:t>
      </w:r>
      <w:r>
        <w:rPr>
          <w:rFonts w:ascii="Courier New" w:cs="Courier New" w:eastAsia="Courier New" w:hAnsi="Courier New"/>
          <w:b w:val="false"/>
          <w:bCs w:val="false"/>
          <w:sz w:val="22"/>
          <w:szCs w:val="22"/>
        </w:rPr>
        <w:t xml:space="preserve">npm audit</w:t>
      </w:r>
      <w:r>
        <w:rPr>
          <w:rFonts w:ascii="Arial" w:cs="Arial" w:eastAsia="Arial" w:hAnsi="Arial"/>
          <w:b w:val="false"/>
          <w:bCs w:val="false"/>
          <w:sz w:val="24"/>
          <w:szCs w:val="24"/>
        </w:rPr>
        <w:t xml:space="preserve"> found no known vulnerability in the production dependencies of the frontend, the backend or the project root.</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made during the pilot, followed by the fourteen comments of the technical evaluators who reviewed the system on 3 October 2026, each addressed by 5 October; the last row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7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0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2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check of the evaluation account, 2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2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sent from another website received a server error (500) instead of a refusal</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Refused with 403 before any route runs</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the top bar of every public page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email address was checked only when the form was sent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Checked as soon as the visitor leaves the field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Links were underlined throughout the site</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Underlines kept only in the footer; other links are shown in bold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one", the way to start an inquiry from the inquiry lookup page, did not stand out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in bold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opened in a pop-up window and needed an Apply button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 session ran out, signing in again did not return to the page that had been open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Signing in returns each person to the page they last had open</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Photos of any image format could be attached</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JPG and PNG only, checked when the file is chosen and again by the server</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could not withdraw a repair request</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Moving a tenant out recorded no reason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optional reason, kept in the activity record with the move-out</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Rows opened with "Show more" or "Show all" on the owner's lists could not be hidden again</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 fewer" returns the list to its first page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Action history, and its error handling</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footer was tall, with too much empty space</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Spacing reduced and its columns placed side by side on a phone</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 2026</w:t>
            </w:r>
          </w:p>
        </w:tc>
        <w:tc>
          <w:tcPr>
            <w:tcW w:type="dxa" w:w="27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privacy policy's list of contents crowded the page on a phone</w:t>
            </w:r>
          </w:p>
        </w:tc>
        <w:tc>
          <w:tcPr>
            <w:tcW w:type="dxa" w:w="30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phone the list opens from a side panel; on wider screens it stays beside the text</w:t>
            </w:r>
          </w:p>
        </w:tc>
        <w:tc>
          <w:tcPr>
            <w:tcW w:type="dxa" w:w="12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78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0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28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test activity in Sections 4.3 and 4.4, by their highest severity and what became of them. Severity follows four levels: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 weakness that could be exploited;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spacing w:after="0" w:before="0" w:line="480" w:lineRule="auto"/>
        <w:ind w:firstLine="720"/>
        <w:jc w:val="both"/>
      </w:pPr>
      <w:r>
        <w:rPr>
          <w:rFonts w:ascii="Arial" w:cs="Arial" w:eastAsia="Arial" w:hAnsi="Arial"/>
          <w:b/>
          <w:bCs/>
          <w:sz w:val="24"/>
          <w:szCs w:val="24"/>
        </w:rPr>
        <w:t xml:space="preserve">Table 23A.</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19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4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1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(Table 10)</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19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1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19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4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1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in these activities was critical. The three accepted items are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§4.4.5)</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2026-10-05T15:56:52.640Z</dcterms:created>
  <dcterms:modified xsi:type="dcterms:W3CDTF">2026-10-05T15:56:52.641Z</dcterms:modified>
</cp:coreProperties>
</file>

<file path=docProps/custom.xml><?xml version="1.0" encoding="utf-8"?>
<Properties xmlns="http://schemas.openxmlformats.org/officeDocument/2006/custom-properties" xmlns:vt="http://schemas.openxmlformats.org/officeDocument/2006/docPropsVTypes"/>
</file>