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a technical evaluator. The respondents rated it 4.53 overall, Very High Quality, with every characteristic at least High Quality; Portability rated highest and Maintainability and Usability lowest, and the measurements agreed with the ratings on every characteristic but Usability.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Right-click the table and choose Update Field if it is empty, after adding the lists of tables and figures from the inserted captions.</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proposes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and removable storage devices,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to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manual,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on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was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The technical evaluator was an IT professional who works in software quality assurance; he reviewed the running system and did not inspect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read aloud to each tester, in English and Filipino; an observation sheet recording, for each task, whether it was completed without help, with help, or not at all, the time taken, and the number of wrong turns; a defect log; and the ISO/IEC 25010 survey questionnaire, with a separate section for each of the four respondent groups (the administrator, tenants, prospective tenants and technical evaluators), and the tenant and prospective tenant sections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and the technical evaluator the day after the evaluators' review.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are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24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required</w:t>
            </w:r>
          </w:p>
        </w:tc>
        <w:tc>
          <w:tcPr>
            <w:tcW w:type="dxa" w:w="43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How it was carried out</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Establish the evaluation requirements</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purpose, the product, the quality model and who judges it</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Specify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Design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activities, their order and schedule</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Execute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the measures and apply the criteria</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Conclude the evaluation</w:t>
            </w:r>
          </w:p>
        </w:tc>
        <w:tc>
          <w:tcPr>
            <w:tcW w:type="dxa" w:w="24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 the results, report them, and act on them</w:t>
            </w:r>
          </w:p>
        </w:tc>
        <w:tc>
          <w:tcPr>
            <w:tcW w:type="dxa" w:w="43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4-16 works one weighted mean in full, WM = Σ(f × w) / N.</w:t>
      </w:r>
    </w:p>
    <w:p>
      <w:pPr>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21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Rank</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r>
      <w:tr>
        <w:trPr>
          <w:cantSplit/>
        </w:trPr>
        <w:tc>
          <w:tcPr>
            <w:tcW w:type="dxa" w:w="20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Overall</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c>
          <w:tcPr>
            <w:tcW w:type="dxa" w:w="21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Side</w:t>
            </w:r>
          </w:p>
        </w:tc>
        <w:tc>
          <w:tcPr>
            <w:tcW w:type="dxa" w:w="33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9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Used in testing, 30 September 2026</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§4.4.3)</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and visitors</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Administration</w:t>
            </w:r>
          </w:p>
        </w:tc>
        <w:tc>
          <w:tcPr>
            <w:tcW w:type="dxa" w:w="33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Stage</w:t>
            </w:r>
          </w:p>
        </w:tc>
        <w:tc>
          <w:tcPr>
            <w:tcW w:type="dxa" w:w="29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4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Status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Environment preparation</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Record transfer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Pilot use</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 progress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Training and hand-over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Full transition</w:t>
            </w:r>
          </w:p>
        </w:tc>
        <w:tc>
          <w:tcPr>
            <w:tcW w:type="dxa" w:w="29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a technical evaluator.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six respondents rated the system 4.53 overall: Functional Suitability 4.86, Performance Efficiency 4.42, Compatibility 4.67, Usability 4.12, Reliability 4.62, Security 4.70, Maintainability 4.00 and Portability 4.89.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keeping her own report layout, invoice numbers and cash as the main way to pay, so that using it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 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and its users rated it Very High Quality overall (4.53), with every characteristic at least High Quality on the scale of Chapter 3's Table 3-5 (Chapter 4, Tables 4-17 and 4-19). The ratings agree with the measured evidence on every characteristic but Usability, and they describe how six people rated the system over one week, three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since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having been excluded from this study by its delimitation (Sections 1.4 and 4.3.2); and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and extend the rule that refuses a second copy of a receipt to receipts with no invoice number and to acknowledgement receipts (Sections 4.3.3, 4.3.4 and 4.3.6).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(4.00) by moving the database work now written inside the request handlers, three calls in four, into service modules, one per kind of record, with the result reviewed by more than one developer.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(4.12)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email, 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email,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email,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phone number or email. Your name can only be changed by the landlady. A phone number is spaced as you type it (0917 123 4567), and an email is checked as soon as you leave its box.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and your password</w:t>
      </w:r>
    </w:p>
    <w:p>
      <w:pPr>
        <w:spacing w:after="0" w:before="0" w:line="480" w:lineRule="auto"/>
        <w:ind w:firstLine="720"/>
        <w:jc w:val="both"/>
      </w:pPr>
      <w:r>
        <w:rPr>
          <w:rFonts w:ascii="Arial" w:cs="Arial" w:eastAsia="Arial" w:hAnsi="Arial"/>
          <w:b w:val="false"/>
          <w:bCs w:val="false"/>
          <w:sz w:val="24"/>
          <w:szCs w:val="24"/>
        </w:rPr>
        <w:t xml:space="preserve">Sign in with your email or phone number and your password. To change it: your initials at the top right &gt; </w:t>
      </w:r>
      <w:r>
        <w:rPr>
          <w:rFonts w:ascii="Arial" w:cs="Arial" w:eastAsia="Arial" w:hAnsi="Arial"/>
          <w:b/>
          <w:bCs/>
          <w:sz w:val="24"/>
          <w:szCs w:val="24"/>
        </w:rPr>
        <w:t xml:space="preserve">Change password</w:t>
      </w:r>
      <w:r>
        <w:rPr>
          <w:rFonts w:ascii="Arial" w:cs="Arial" w:eastAsia="Arial" w:hAnsi="Arial"/>
          <w:b w:val="false"/>
          <w:bCs w:val="false"/>
          <w:sz w:val="24"/>
          <w:szCs w:val="24"/>
        </w:rPr>
        <w:t xml:space="preserve">. Only you should know it;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email and 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4.83</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payments I have made.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send an inquiry about a unit without difficulty.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4.86</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quickly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reports are produced without a long wait.</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generation completes within a reasonable time.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uses client and server resources efficiently.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4.42</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4-8 and M-1</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learn the system without technical help.</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in the system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understandable without prior training.</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Error messages are actionable rather than 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on the website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4.12</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4.3.5 and 4.4.6</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I enter are still there when I come back to them.</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try to use it.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1.15</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to me is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4.22</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Recorded data is retained reliably.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recovers from interruption without data loss.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4.25</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4.62</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I can reach the financial records.</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see only their own information.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change my password myself when I need to.</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account cannot reach administrative data.</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Credentials are handled and stored appropriately.</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4.70</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checks exist that would catch a regression.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4.3.6 and 4.3.7</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0.80 s</w:t>
            </w:r>
          </w:p>
        </w:tc>
      </w:tr>
    </w:tbl>
    <w:p>
      <w:pPr>
        <w:spacing w:after="240" w:before="0"/>
      </w:pPr>
    </w:p>
    <w:p>
      <w:pPr>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auth_user_id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 address, optional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 name</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phone_number</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emergency_contact_phone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contact's number</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facebook_url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 profile,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user_role_type (admin, tenant, prospect)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 tenant, prospect or guest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account_status_type (active, inactive)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password_hash</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last_login_at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successful sign-in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failed_login_count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locked_until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password_changed_at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must_change_password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4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login_id</w:t>
            </w:r>
          </w:p>
        </w:tc>
        <w:tc>
          <w:tcPr>
            <w:tcW w:type="dxa" w:w="1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asked about</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prospect_name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name</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prospect_email</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email</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prospect_phone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question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inquiry_status_type (Pending, Contacted, Converted, Closed)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converted_tenant_id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access_token_hash</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30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reference_code</w:t>
            </w:r>
          </w:p>
        </w:tc>
        <w:tc>
          <w:tcPr>
            <w:tcW w:type="dxa" w:w="18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varchar(9)</w:t>
            </w: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2026-10-13T08:32:16.616Z</dcterms:created>
  <dcterms:modified xsi:type="dcterms:W3CDTF">2026-10-13T08:32:16.616Z</dcterms:modified>
</cp:coreProperties>
</file>

<file path=docProps/custom.xml><?xml version="1.0" encoding="utf-8"?>
<Properties xmlns="http://schemas.openxmlformats.org/officeDocument/2006/custom-properties" xmlns:vt="http://schemas.openxmlformats.org/officeDocument/2006/docPropsVTypes"/>
</file>