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5 compares each practice with the problem it caused.</w:t>
      </w:r>
    </w:p>
    <w:p>
      <w:pPr>
        <w:keepNext/>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7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7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7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arrived through Facebook, referrals from other people, contact and text messages, or walk-ins in person</w:t>
            </w:r>
          </w:p>
        </w:tc>
        <w:tc>
          <w:tcPr>
            <w:tcW w:type="dxa" w:w="37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area through the hands that touched it. Every path ends in a record kept apart from the others, or in no record at all, which is where each problem in Table 5 begins.</w:t>
      </w:r>
    </w:p>
    <w:p>
      <w:pPr>
        <w:keepNext/>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6 traces each gap to the requirement and the module that meets it.</w:t>
      </w:r>
    </w:p>
    <w:p>
      <w:pPr>
        <w:keepNext/>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6B lists them with the section that reports how each was met.</w:t>
      </w:r>
    </w:p>
    <w:p>
      <w:pPr>
        <w:keepNext/>
        <w:spacing w:after="120" w:before="360" w:line="480" w:lineRule="auto"/>
        <w:jc w:val="left"/>
      </w:pPr>
      <w:r>
        <w:rPr>
          <w:rFonts w:ascii="Arial" w:cs="Arial" w:eastAsia="Arial" w:hAnsi="Arial"/>
          <w:b/>
          <w:bCs/>
          <w:sz w:val="24"/>
          <w:szCs w:val="24"/>
        </w:rPr>
        <w:t xml:space="preserve">Table 6B.</w:t>
      </w:r>
      <w:r>
        <w:rPr>
          <w:rFonts w:ascii="Arial" w:cs="Arial" w:eastAsia="Arial" w:hAnsi="Arial"/>
          <w:b/>
          <w:bCs/>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Code</w:t>
            </w:r>
          </w:p>
        </w:tc>
        <w:tc>
          <w:tcPr>
            <w:tcW w:type="dxa" w:w="4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0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in</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NFR-001</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provide the required business functions accurately</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to 4.3.4; Section 4.4.3</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NFR-002</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understandable to a non-technical administrator</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 Section 4.4.3 (Usability)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NFR-003</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protect personal and financial information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Section 4.4.4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NFR-004</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Common operations should respond efficiently under the expected workload</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 and 11B</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NFR-005</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function on modern desktop and mobile browsers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24; Section 4.4.3 (Compatibility)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NFR-006</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preserve data consistency and avoid silent data loss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4.3.3 and 4.3.6 (Table 11F)</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NFR-007</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shall use a modular, documented, maintainable architecture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4.4.3 (Maintainability): partly met</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NFR-008</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deployable to a hosting environment the team can maintain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 Table 24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NFR-009</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Important financial and administrative changes shall be traceable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(audit trail)</w:t>
            </w:r>
          </w:p>
        </w:tc>
      </w:tr>
      <w:tr>
        <w:trPr>
          <w:cantSplit/>
        </w:trPr>
        <w:tc>
          <w:tcPr>
            <w:tcW w:type="dxa" w:w="14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NFR-010</w:t>
            </w:r>
          </w:p>
        </w:tc>
        <w:tc>
          <w:tcPr>
            <w:tcW w:type="dxa" w:w="4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Relevant business data shall be usable outside the application</w:t>
            </w:r>
          </w:p>
        </w:tc>
        <w:tc>
          <w:tcPr>
            <w:tcW w:type="dxa" w:w="30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(Excel downloads)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5 to 9 model the system as built, and Figures 10 to 14 show its screens as they stood on 5 October 2026. The units, rates and statuses in Figures 10 and 11 are the property's own; the names, payments, expenses and repair requests in Figures 10, 12, 13 and 14 are sample records, so that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7 lists the technology used.</w:t>
      </w:r>
    </w:p>
    <w:p>
      <w:pPr>
        <w:keepNext/>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5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6 is the context diagram: the system as one process, with the four parties outside it and the data that passes between them. Figure 7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7 for readability.</w:t>
      </w:r>
    </w:p>
    <w:p>
      <w:pPr>
        <w:keepNext/>
        <w:spacing w:after="240" w:before="240" w:line="480" w:lineRule="auto"/>
        <w:jc w:val="center"/>
      </w:pPr>
      <w:r>
        <w:rPr>
          <w:rFonts w:ascii="Arial" w:cs="Arial" w:eastAsia="Arial" w:hAnsi="Arial"/>
          <w:b w:val="false"/>
          <w:bCs w:val="false"/>
          <w:i/>
          <w:iCs/>
          <w:sz w:val="24"/>
          <w:szCs w:val="24"/>
        </w:rPr>
        <w:t xml:space="preserve">Figure 6. Context diagram.</w:t>
      </w:r>
    </w:p>
    <w:p>
      <w:pPr>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keepNext/>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w:t>
      </w:r>
    </w:p>
    <w:p>
      <w:pPr>
        <w:keepNext/>
        <w:spacing w:after="240" w:before="240" w:line="480" w:lineRule="auto"/>
        <w:jc w:val="center"/>
      </w:pPr>
      <w:r>
        <w:rPr>
          <w:rFonts w:ascii="Arial" w:cs="Arial" w:eastAsia="Arial" w:hAnsi="Arial"/>
          <w:b w:val="false"/>
          <w:bCs w:val="false"/>
          <w:i/>
          <w:iCs/>
          <w:sz w:val="24"/>
          <w:szCs w:val="24"/>
        </w:rPr>
        <w:t xml:space="preserve">Figure 8. Use case diagram.</w:t>
      </w:r>
    </w:p>
    <w:p>
      <w:pPr>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9, in Crow's Foot notation, is the entity-relationship diagram drawn from the database's own catalogue on 5 October 2026: 21 tables, each with a primary key, and 37 foreign keys. Rooms and profiles are its two centres: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7A is an extract of the data dictionary for the table the owner reads most; the complete dictionary, every column of all 24 tables, is in Appendix N.</w:t>
      </w:r>
    </w:p>
    <w:p>
      <w:pPr>
        <w:keepNext/>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keepNext/>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10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23).</w:t>
      </w:r>
    </w:p>
    <w:p>
      <w:pPr>
        <w:keepNext/>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11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240" w:before="240" w:line="480" w:lineRule="auto"/>
        <w:jc w:val="center"/>
      </w:pPr>
      <w:r>
        <w:rPr>
          <w:rFonts w:ascii="Arial" w:cs="Arial" w:eastAsia="Arial" w:hAnsi="Arial"/>
          <w:b w:val="false"/>
          <w:bCs w:val="false"/>
          <w:i/>
          <w:iCs/>
          <w:sz w:val="24"/>
          <w:szCs w:val="24"/>
        </w:rPr>
        <w:t xml:space="preserve">Figure 11. Public unit catalogue (top) and inquiry form (bottom).</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12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7B rather than typed, so the same inputs always give the same amount.</w:t>
      </w:r>
    </w:p>
    <w:p>
      <w:pPr>
        <w:keepNext/>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13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w:t>
      </w:r>
    </w:p>
    <w:p>
      <w:pPr>
        <w:keepNext/>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7C sets out which role may use which function.</w:t>
      </w:r>
    </w:p>
    <w:p>
      <w:pPr>
        <w:keepNext/>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14 presents the tenant portal on a phone. The client is a Progressive Web Application with a service worker and a manifest, so it installs on a phone or computer without an app store. Installing it means adding it to the home screen from the browser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Safari,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Chrome): nothing is downloaded from a store, it opens in its own window like an application, and the application files it keeps on the device come to about 1.2 MB (as built on 13 October 2026).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(2019) describe, one code base served every device: the owner's laptop, an Android phone in Chrome and an iPhone in Safari (Section 4.3.7).</w:t>
      </w:r>
    </w:p>
    <w:p>
      <w:pPr>
        <w:keepNext/>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1950" cy="5943600"/>
                    </a:xfrm>
                    <a:prstGeom prst="rect">
                      <a:avLst/>
                    </a:prstGeom>
                  </pic:spPr>
                </pic:pic>
              </a:graphicData>
            </a:graphic>
          </wp:inline>
        </w:drawing>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Table 7D lists each test activity with every characteristic it measured. The measures are brought together by characteristic in Section 4.4.</w:t>
      </w:r>
    </w:p>
    <w:p>
      <w:pPr>
        <w:keepNext/>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8 shows the principal results.</w:t>
      </w:r>
    </w:p>
    <w:p>
      <w:pPr>
        <w:keepNext/>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9 shows the result.</w:t>
      </w:r>
    </w:p>
    <w:p>
      <w:pPr>
        <w:keepNext/>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qualifies Magno et al. (2024), who found that digitizing transaction tracking improves data accuracy: here every record was already digital and in one database, yet six screens disagreed with it, so digitizing alone did not make the records agree.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23A). A rate change and its reversal were skipped, and an expense split across two areas was entered as two expenses, so splitting, editing and deleting an expense were not exercised by the owner.</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11).</w:t>
      </w:r>
    </w:p>
    <w:p>
      <w:pPr>
        <w:keepNext/>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6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 (Dell XPS 15, Chrome 154, Wi-Fi)</w:t>
            </w:r>
          </w:p>
        </w:tc>
        <w:tc>
          <w:tcPr>
            <w:tcW w:type="dxa" w:w="27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Phone (iPhone 15, Safari, mobile data)</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3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6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7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Table 11A gives the results without a connection and once installed. Table 11B gives those of a load test in which a script played several users at once, each pausing between requests as a person reading does; these were simulated users, not people (the owner and tenants together are reported in Section 4.3.7).</w:t>
      </w:r>
    </w:p>
    <w:p>
      <w:pPr>
        <w:keepNext/>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(Table 11F).</w:t>
      </w:r>
    </w:p>
    <w:p>
      <w:pPr>
        <w:keepNext/>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11C gives each task's result.</w:t>
      </w:r>
    </w:p>
    <w:p>
      <w:pPr>
        <w:keepNext/>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Table 11A, except that the Android phone showed the "cannot tell whether it was saved" message after 60 to 80 seconds instead of 45; corrected on 1 October, it was on time when re-tested on that phone on 13 October 2026 (Table 23A).</w:t>
      </w:r>
    </w:p>
    <w:p>
      <w:pPr>
        <w:spacing w:after="0" w:before="0" w:line="480" w:lineRule="auto"/>
        <w:ind w:firstLine="720"/>
        <w:jc w:val="both"/>
      </w:pPr>
      <w:r>
        <w:rPr>
          <w:rFonts w:ascii="Arial" w:cs="Arial" w:eastAsia="Arial" w:hAnsi="Arial"/>
          <w:b w:val="false"/>
          <w:bCs w:val="false"/>
          <w:sz w:val="24"/>
          <w:szCs w:val="24"/>
        </w:rPr>
        <w:t xml:space="preserve">Table 11E brings the testing together by the test levels of ISO/IEC/IEEE 29119 (Section 3.2.4).</w:t>
      </w:r>
    </w:p>
    <w:p>
      <w:pPr>
        <w:keepNext/>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3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(Appendix M, Table M-1)</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(Appendix M, Table M-22)</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3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against the course standard of 90 per cent. The one failure, at the system level, was not critical, and no critical defect was found in any activity. Table 23A, in Section 4.4.6, lists the defects by activity, severity and disposition.</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12B),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4B). Each respondent group rated only what it can judge: tenants did not rate Security or Maintainability, prospective tenants rated neither, and only technical evaluators rated Maintainability, the group with the background to judge it.</w:t>
      </w:r>
    </w:p>
    <w:p>
      <w:pPr>
        <w:keepNext/>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2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9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9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 and Table 12A how many forms were given out and returned.</w:t>
      </w:r>
    </w:p>
    <w:p>
      <w:pPr>
        <w:keepNext/>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and means are read using Table 13.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13A works one weighted mean in full, WM = Σ(f × w) / N.</w:t>
      </w:r>
    </w:p>
    <w:p>
      <w:pPr>
        <w:keepNext/>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22 summarizes the result for each characteristic; the rating of every item by every group is in Appendix M (Tables M-2 to M-17, ratings and measured evidence for each characteristic).</w:t>
      </w:r>
    </w:p>
    <w:p>
      <w:pPr>
        <w:keepNext/>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 This is the range Canlas et al. (2026) report for a Philippine dormitory system rated by the same kinds of respondents, tenants, administrators and IT professionals; here, each rating is also read beside the measured evidence for its characteristic (Section 4.4.5).</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 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found, the ₱0 of step 23b, since resolved.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after reviewing the running system, without inspecting its source code, so here the measurement, read from the code itself, carries more weight than the rating.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spacing w:after="120" w:before="240" w:line="480" w:lineRule="auto"/>
        <w:jc w:val="left"/>
      </w:pPr>
      <w:r>
        <w:rPr>
          <w:rFonts w:ascii="Arial" w:cs="Arial" w:eastAsia="Arial" w:hAnsi="Arial"/>
          <w:b/>
          <w:bCs/>
          <w:sz w:val="24"/>
          <w:szCs w:val="24"/>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spacing w:after="120" w:before="240" w:line="480" w:lineRule="auto"/>
        <w:jc w:val="left"/>
      </w:pPr>
      <w:r>
        <w:rPr>
          <w:rFonts w:ascii="Arial" w:cs="Arial" w:eastAsia="Arial" w:hAnsi="Arial"/>
          <w:b/>
          <w:bCs/>
          <w:sz w:val="24"/>
          <w:szCs w:val="24"/>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1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3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(Appendix M)</w:t>
            </w:r>
          </w:p>
        </w:tc>
        <w:tc>
          <w:tcPr>
            <w:tcW w:type="dxa" w:w="114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1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3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38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4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spacing w:after="120" w:before="240" w:line="480" w:lineRule="auto"/>
        <w:jc w:val="left"/>
      </w:pPr>
      <w:r>
        <w:rPr>
          <w:rFonts w:ascii="Arial" w:cs="Arial" w:eastAsia="Arial" w:hAnsi="Arial"/>
          <w:b/>
          <w:bCs/>
          <w:sz w:val="24"/>
          <w:szCs w:val="24"/>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9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Changes</w:t>
            </w:r>
          </w:p>
        </w:tc>
        <w:tc>
          <w:tcPr>
            <w:tcW w:type="dxa" w:w="2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served</w:t>
            </w:r>
          </w:p>
        </w:tc>
        <w:tc>
          <w:tcPr>
            <w:tcW w:type="dxa" w:w="27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Examples of what was found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 Usability, Security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and Lighthouse, 29 and 30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 Performance Efficiency,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Evaluation account and security reviews, 2 and 7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Security,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survey, 30 Sep to 4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 Functional Suitability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51</w:t>
            </w:r>
          </w:p>
        </w:tc>
        <w:tc>
          <w:tcPr>
            <w:tcW w:type="dxa" w:w="2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7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39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(Appendix M, Table M-1)</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passed when re-tested on the owner's laptop,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on time when re-tested on the same phone,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39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32</w:t>
            </w:r>
          </w:p>
        </w:tc>
        <w:tc>
          <w:tcPr>
            <w:tcW w:type="dxa" w:w="2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keepNext/>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9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11, §4.4.3)</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9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6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9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2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9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2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2026-10-13T06:32:21.812Z</dcterms:created>
  <dcterms:modified xsi:type="dcterms:W3CDTF">2026-10-13T06:32:21.813Z</dcterms:modified>
</cp:coreProperties>
</file>

<file path=docProps/custom.xml><?xml version="1.0" encoding="utf-8"?>
<Properties xmlns="http://schemas.openxmlformats.org/officeDocument/2006/custom-properties" xmlns:vt="http://schemas.openxmlformats.org/officeDocument/2006/docPropsVTypes"/>
</file>