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5 compares each practice with the problem it caused. Inquiries arrived much as Pernate et al. (2025) found for boarding houses in Ormoc City, through social media and word of mouth, and left no record.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inquiries or which unit an inquiry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6B lists them with the section that reports how each was met.</w:t>
      </w:r>
    </w:p>
    <w:p>
      <w:pPr>
        <w:keepNext/>
        <w:spacing w:after="120" w:before="360" w:line="480" w:lineRule="auto"/>
        <w:jc w:val="left"/>
      </w:pPr>
      <w:r>
        <w:rPr>
          <w:rFonts w:ascii="Arial" w:cs="Arial" w:eastAsia="Arial" w:hAnsi="Arial"/>
          <w:b/>
          <w:bCs/>
          <w:sz w:val="24"/>
          <w:szCs w:val="24"/>
        </w:rPr>
        <w:t xml:space="preserve">Table 6B.</w:t>
      </w:r>
      <w:r>
        <w:rPr>
          <w:rFonts w:ascii="Arial" w:cs="Arial" w:eastAsia="Arial" w:hAnsi="Arial"/>
          <w:b/>
          <w:bCs/>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Code</w:t>
            </w:r>
          </w:p>
        </w:tc>
        <w:tc>
          <w:tcPr>
            <w:tcW w:type="dxa" w:w="4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0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in</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NFR-001</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provide the required business functions accurately</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to 4.3.4; Section 4.4.3</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NFR-002</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understandable to a non-technical administrator</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 Section 4.4.3 (Usability)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NFR-003</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protect personal and financial information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Section 4.4.4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NFR-004</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Common operations should respond efficiently under the expected workload</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 and 11B</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NFR-005</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function on modern desktop and mobile browsers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24; Section 4.4.3 (Compatibility)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NFR-006</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preserve data consistency and avoid silent data loss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4.3.3 and 4.3.6 (Table 11F)</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NFR-007</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shall use a modular, documented, maintainable architecture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4.4.3 (Maintainability): partly met</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NFR-008</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deployable to a hosting environment the team can maintain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 Table 24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NFR-009</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Important financial and administrative changes shall be traceable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(audit trail)</w:t>
            </w:r>
          </w:p>
        </w:tc>
      </w:tr>
      <w:tr>
        <w:trPr>
          <w:cantSplit/>
        </w:trPr>
        <w:tc>
          <w:tcPr>
            <w:tcW w:type="dxa" w:w="14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NFR-010</w:t>
            </w:r>
          </w:p>
        </w:tc>
        <w:tc>
          <w:tcPr>
            <w:tcW w:type="dxa" w:w="4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Relevant business data shall be usable outside the application</w:t>
            </w:r>
          </w:p>
        </w:tc>
        <w:tc>
          <w:tcPr>
            <w:tcW w:type="dxa" w:w="30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(Excel downloads)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4B); Appendix M, Table 7D lists them by test activity. The measures are brought together by characteristic in Section 4.4.</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11A and 11B.</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11F).</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the group with the background to judge it.</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3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3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0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0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3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Chapter 3's Table 4A for every mean, and for tests the course standard of at least 90 percent passed with no critical defect open</w:t>
            </w:r>
          </w:p>
        </w:tc>
      </w:tr>
      <w:tr>
        <w:trPr>
          <w:cantSplit/>
        </w:trPr>
        <w:tc>
          <w:tcPr>
            <w:tcW w:type="dxa" w:w="18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3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3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33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Chapter 3's Table 4A.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4A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3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4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percent of correctness checks passed</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percent of tasks without help; 0 accessibility violations in 76 scans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3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3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4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9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2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9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2026-10-13T07:03:21.368Z</dcterms:created>
  <dcterms:modified xsi:type="dcterms:W3CDTF">2026-10-13T07:03:21.369Z</dcterms:modified>
</cp:coreProperties>
</file>

<file path=docProps/custom.xml><?xml version="1.0" encoding="utf-8"?>
<Properties xmlns="http://schemas.openxmlformats.org/officeDocument/2006/custom-properties" xmlns:vt="http://schemas.openxmlformats.org/officeDocument/2006/docPropsVTypes"/>
</file>