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The remaining questions were collected in one list and answered on 12 October 2026: the figure at the bottom of her income sheet is a year-to-date total; the thirteen expense categories stay, and she may add her own; tenants do not report cash payments, because the administrators record every payment; the spending she booked as personal in 2025 was a renovation of her house; past Penthouse spending stays where it was filed; and the three months with no receipt for one unit stay blank. One question is still open, the move-in date of each current tenancy, and it is named in Chapter 5 as a recommendation.</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from 15 September 2026 to the defense, took the owner's answers to the open questions, put the system in her and her tenants' hands, and refined it from their feedback, the testing and the evaluation. Table 6A shows what each iteration did in each phase of the life cycle in Section 3.2.</w:t>
      </w:r>
    </w:p>
    <w:p>
      <w:pPr>
        <w:spacing w:after="120" w:before="360" w:line="480" w:lineRule="auto"/>
        <w:jc w:val="left"/>
      </w:pPr>
      <w:r>
        <w:rPr>
          <w:rFonts w:ascii="Arial" w:cs="Arial" w:eastAsia="Arial" w:hAnsi="Arial"/>
          <w:b/>
          <w:bCs/>
          <w:sz w:val="24"/>
          <w:szCs w:val="24"/>
        </w:rPr>
        <w:t xml:space="preserve">Table 6A.</w:t>
      </w:r>
      <w:r>
        <w:rPr>
          <w:rFonts w:ascii="Arial" w:cs="Arial" w:eastAsia="Arial" w:hAnsi="Arial"/>
          <w:b/>
          <w:bCs/>
          <w:sz w:val="24"/>
          <w:szCs w:val="24"/>
        </w:rPr>
        <w:t xml:space="preserve"> The Three Iterations, Phase by Phase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8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Phase (Section 3.2)</w:t>
            </w:r>
          </w:p>
        </w:tc>
        <w:tc>
          <w:tcPr>
            <w:tcW w:type="dxa" w:w="24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1: Construction (24 Jul to 28 Aug 2026, 95 commits)</w:t>
            </w:r>
          </w:p>
        </w:tc>
        <w:tc>
          <w:tcPr>
            <w:tcW w:type="dxa" w:w="245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2: Verification and correction (12 to 14 Sep 2026, 87 commits)</w:t>
            </w:r>
          </w:p>
        </w:tc>
        <w:tc>
          <w:tcPr>
            <w:tcW w:type="dxa" w:w="29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3: Consolidation and testing (15 Sep 2026 onward, 1,447 commits to 9 Oct)</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Design</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with GCash working end to end on the test account (26 September); updates every five seconds; offline reading; the breached-password check (7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by demonstration only; no automated check existed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Seven automated check suites, over 100 assertions, each defect covered by one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Deployment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Run from the team's machines against the live database</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Hosted on Vercel from 24 September; tenant accounts prepared on 29 September; in use beside the owner's own records (Table 25)</w:t>
            </w:r>
          </w:p>
        </w:tc>
      </w:tr>
      <w:tr>
        <w:trPr>
          <w:cantSplit/>
        </w:trPr>
        <w:tc>
          <w:tcPr>
            <w:tcW w:type="dxa" w:w="8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w:t>
            </w:r>
          </w:p>
        </w:tc>
        <w:tc>
          <w:tcPr>
            <w:tcW w:type="dxa" w:w="24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Module 01 submission, whose documents became Iteration 2's input</w:t>
            </w:r>
          </w:p>
        </w:tc>
        <w:tc>
          <w:tcPr>
            <w:tcW w:type="dxa" w:w="245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evaluators' 14 comments, all acted on by 5 October (Table 23); the ISO/IEC 25010 survey (Section 4.4)</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Each iteration was tested and reviewed, but by different means. The formal evaluation against ISO/IEC 25010 was carried out once, in the third iteration, because Section 3.3 places it during actual use in the deployment environment, and only the third iteration put the system in use. The first two iterations were checked by the means available at the time: demonstration in the first, and in the second the automated checks and the correction of the recorded errors.</w:t>
      </w:r>
    </w:p>
    <w:p>
      <w:pPr>
        <w:spacing w:after="0" w:before="0" w:line="480" w:lineRule="auto"/>
        <w:ind w:firstLine="720"/>
        <w:jc w:val="both"/>
      </w:pPr>
      <w:r>
        <w:rPr>
          <w:rFonts w:ascii="Arial" w:cs="Arial" w:eastAsia="Arial" w:hAnsi="Arial"/>
          <w:b w:val="false"/>
          <w:bCs w:val="false"/>
          <w:sz w:val="24"/>
          <w:szCs w:val="24"/>
        </w:rPr>
        <w:t xml:space="preserve">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 A new password must have at least</w:t>
      </w:r>
    </w:p>
    <w:p>
      <w:pPr>
        <w:spacing w:after="0" w:before="0" w:line="480" w:lineRule="auto"/>
        <w:ind w:firstLine="720"/>
        <w:jc w:val="both"/>
      </w:pPr>
      <w:r>
        <w:rPr>
          <w:rFonts w:ascii="Arial" w:cs="Arial" w:eastAsia="Arial" w:hAnsi="Arial"/>
          <w:b w:val="false"/>
          <w:bCs w:val="false"/>
          <w:sz w:val="24"/>
          <w:szCs w:val="24"/>
        </w:rPr>
        <w:t xml:space="preserve">ten characters, a letter and a number, checked by the server, and since 7 October 2026 it is also refused if it appears in a public list of breached passwords. Only the first five characters of its SHA-1 hash are sent to the list's service, so the password itself never leaves the server.</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authorized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 Table 11 gives the times.</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behavior a real day of use would test was measured on the live system on 29 September 2026: what happens without a connection, on a weak one, when the application is installed, and when many requests arrive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 Table 11A gives the results without a connection and once installed. Table 11B gives those of a load test, in which a script on the same laptop played several users at once, each pausing a quarter to three quarters of a second between requests, as a person reading a page does. These were simulated users, not people; the owner and tenants using the system together are reported in Section 4.3.7 (Table 11D).</w:t>
      </w:r>
    </w:p>
    <w:p>
      <w:pPr>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That reproduces a double click, a retry after a timeout, or two people pressing Save together, with closer timing than people can produce by hand. Table 11F gives the results.</w:t>
      </w:r>
    </w:p>
    <w:p>
      <w:pPr>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the server answered every duplicate receipt as saved. Neither could be fixed in the program alone, since a check followed by a save can always be outrun by a second request. Each fix is therefore a rule in the database itself, which refuses the second save whatever order the requests arrive in: a receipt number is accepted once per unit per month among receipts that stand, and a bill is held for 15 minutes from the moment a checkout is opened on it. The database already refused, in the same way, a second active tenancy on one unit, a second bill for one tenant in one period, and a gateway payment recorded twice, and the saves that change several records together, such as settling a payment against bills or splitting an expense across areas, each run as one database operation, so none is left half done. The rows these tests wrote were removed: the rule could not have been created while a duplicate remained, and no row saved between 18 and 20 September 2026 is in the records (checked 12 October 2026).</w:t>
      </w:r>
    </w:p>
    <w:p>
      <w:pPr>
        <w:spacing w:after="0" w:before="0" w:line="480" w:lineRule="auto"/>
        <w:ind w:firstLine="720"/>
        <w:jc w:val="both"/>
      </w:pPr>
      <w:r>
        <w:rPr>
          <w:rFonts w:ascii="Arial" w:cs="Arial" w:eastAsia="Arial" w:hAnsi="Arial"/>
          <w:b w:val="false"/>
          <w:bCs w:val="false"/>
          <w:sz w:val="24"/>
          <w:szCs w:val="24"/>
        </w:rPr>
        <w:t xml:space="preserve">Because these rules are kept by the database, they hold however many people save at once: ten requests arriving together meet the same refusal as two. Two things were not tested. Two people changing the same record in different ways at the same moment, for example the owner closing a repair while its tenant cancels it, was not tried, and these tests were run once during development and are not among the automated suites of Section 4.3.1, so they are not repeated on every change (Chapter 5, recommendation 4).</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 Table 11C gives each task's result, and Table 11D the session in which the owner and two tenants used the system at the same time.</w:t>
      </w:r>
    </w:p>
    <w:p>
      <w:pPr>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11D.</w:t>
      </w:r>
      <w:r>
        <w:rPr>
          <w:rFonts w:ascii="Arial" w:cs="Arial" w:eastAsia="Arial" w:hAnsi="Arial"/>
          <w:b/>
          <w:bCs/>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four groups: the owner, the tenants, prospective tenants who used only the public website, and technical evaluators (IT professionals, developers or IT faculty). Each group rated only what it is in a position to judge. Tenants use only the tenant portal, so they did not rate Security or Maintainability, and prospective tenants, who see only the public website, rated neither. Only technical evaluators rated Maintainability, because judging it requires reading the source code and documentation.</w:t>
      </w:r>
    </w:p>
    <w:p>
      <w:pPr>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120" w:before="360" w:line="480" w:lineRule="auto"/>
        <w:jc w:val="left"/>
      </w:pPr>
      <w:r>
        <w:rPr>
          <w:rFonts w:ascii="Arial" w:cs="Arial" w:eastAsia="Arial" w:hAnsi="Arial"/>
          <w:b/>
          <w:bCs/>
          <w:sz w:val="24"/>
          <w:szCs w:val="24"/>
        </w:rPr>
        <w:t xml:space="preserve">Table 12C.</w:t>
      </w:r>
      <w:r>
        <w:rPr>
          <w:rFonts w:ascii="Arial" w:cs="Arial" w:eastAsia="Arial" w:hAnsi="Arial"/>
          <w:b/>
          <w:bCs/>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each after giving consent on the form's first page: the prospective tenant on the afternoon of 30 September 2026, after browsing the public site and sending an inquiry; the three tenants that evening, after their tasks in Section 4.3.7; the owner that night, after her walkthrough (Section 4.3.4); and one technical evaluator on 4 October, the day after the evaluators' review of the live system (Table 23). Three of the four groups therefore have one respondent each. For those groups a mean is one person's rating and no standard deviation can be computed, and the results below describe how these six people rated the system, not a sample from which a wider population can be inferred. Table 12A shows how many forms were given out and returned in each group.</w:t>
      </w:r>
    </w:p>
    <w:p>
      <w:pPr>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form was given only to those who had used the system for the evaluation: the administrator, the three tenants and the prospective tenant who took part on 30 September, and the technical evaluator. Every one of them answered, and every answer was complete.</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composite mean of each characteristic is the mean of the group means, so that one owner is not outweighed by three tenants on functions only she uses; the overall mean is the mean of the eight composites. Averaging every response together instead gives an overall mean of 4.55 rather than 4.53, with the same interpretation and the same highest and two lowest characteristics.</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WM = Σ(f × w) / N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Functional Suitability</w:t>
      </w:r>
    </w:p>
    <w:p>
      <w:pPr>
        <w:spacing w:after="0" w:before="0" w:line="480" w:lineRule="auto"/>
        <w:ind w:firstLine="720"/>
        <w:jc w:val="both"/>
      </w:pPr>
      <w:r>
        <w:rPr>
          <w:rFonts w:ascii="Arial" w:cs="Arial" w:eastAsia="Arial" w:hAnsi="Arial"/>
          <w:b w:val="false"/>
          <w:bCs w:val="false"/>
          <w:sz w:val="24"/>
          <w:szCs w:val="24"/>
        </w:rPr>
        <w:t xml:space="preserve">Table 14 gives the ratings for Functional Suitability by group, and Table 14A the measured evidence for it.</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4.83</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send an inquiry about a unit without difficulty.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4.86</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14A.</w:t>
      </w:r>
      <w:r>
        <w:rPr>
          <w:rFonts w:ascii="Arial" w:cs="Arial" w:eastAsia="Arial" w:hAnsi="Arial"/>
          <w:b/>
          <w:bCs/>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Every group rated Functional Suitability Very High Quality (composite 4.86, second of eight), and the tenants and the prospective tenant gave every item 5. The ratings agree with the measured evidence. The lowest item was the technical evaluator's 3.00 for the maintenance workflow (submission, tracking and closure). The same evaluators had asked the day before for tenants to be able to withdraw a request, which was added on 5 October (Table 23), after the rating was given. The owner gave 4.00 to the reports matching the records she keeps, her one item below 5, without giving a reason.</w:t>
      </w:r>
    </w:p>
    <w:p>
      <w:pPr>
        <w:spacing w:after="120" w:before="240" w:line="480" w:lineRule="auto"/>
        <w:jc w:val="left"/>
      </w:pPr>
      <w:r>
        <w:rPr>
          <w:rFonts w:ascii="Arial" w:cs="Arial" w:eastAsia="Arial" w:hAnsi="Arial"/>
          <w:b/>
          <w:bCs/>
          <w:sz w:val="24"/>
          <w:szCs w:val="24"/>
        </w:rPr>
        <w:t xml:space="preserve">4.4.4 Performance Efficiency</w:t>
      </w:r>
    </w:p>
    <w:p>
      <w:pPr>
        <w:spacing w:after="0" w:before="0" w:line="480" w:lineRule="auto"/>
        <w:ind w:firstLine="720"/>
        <w:jc w:val="both"/>
      </w:pPr>
      <w:r>
        <w:rPr>
          <w:rFonts w:ascii="Arial" w:cs="Arial" w:eastAsia="Arial" w:hAnsi="Arial"/>
          <w:b w:val="false"/>
          <w:bCs w:val="false"/>
          <w:sz w:val="24"/>
          <w:szCs w:val="24"/>
        </w:rPr>
        <w:t xml:space="preserve">Table 15 gives the ratings for Performance Efficiency by group, and Table 15A the measured evidence for it.</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4.42</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15A.</w:t>
      </w:r>
      <w:r>
        <w:rPr>
          <w:rFonts w:ascii="Arial" w:cs="Arial" w:eastAsia="Arial" w:hAnsi="Arial"/>
          <w:b/>
          <w:bCs/>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simulated simultaneous users, X = A / B</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1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simulated simultaneous readers of the owner's records, X = A / B</w:t>
            </w:r>
          </w:p>
        </w:tc>
        <w:tc>
          <w:tcPr>
            <w:tcW w:type="dxa" w:w="2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0" w:before="0" w:line="480" w:lineRule="auto"/>
        <w:ind w:firstLine="720"/>
        <w:jc w:val="both"/>
      </w:pPr>
      <w:r>
        <w:rPr>
          <w:rFonts w:ascii="Arial" w:cs="Arial" w:eastAsia="Arial" w:hAnsi="Arial"/>
          <w:b w:val="false"/>
          <w:bCs w:val="false"/>
          <w:sz w:val="24"/>
          <w:szCs w:val="24"/>
        </w:rPr>
        <w:t xml:space="preserve">Performance Efficiency was rated Very High Quality (4.42) but sixth of eight. The tenants gave every item 5; the technical evaluator and the prospective tenant gave every item 4, and the owner gave 4 to the wait for financial reports and 5 to the rest. This matches the measurements: no request failed, but the slowest screens took two to three seconds on a phone, and on a simulated slow phone Google's PageSpeed Insights drew the public page's largest element at 3.4 to 3.6 seconds (Section 4.3.5).</w:t>
      </w:r>
    </w:p>
    <w:p>
      <w:pPr>
        <w:spacing w:after="120" w:before="240" w:line="480" w:lineRule="auto"/>
        <w:jc w:val="left"/>
      </w:pPr>
      <w:r>
        <w:rPr>
          <w:rFonts w:ascii="Arial" w:cs="Arial" w:eastAsia="Arial" w:hAnsi="Arial"/>
          <w:b/>
          <w:bCs/>
          <w:sz w:val="24"/>
          <w:szCs w:val="24"/>
        </w:rPr>
        <w:t xml:space="preserve">4.4.5 Compatibility</w:t>
      </w:r>
    </w:p>
    <w:p>
      <w:pPr>
        <w:spacing w:after="0" w:before="0" w:line="480" w:lineRule="auto"/>
        <w:ind w:firstLine="720"/>
        <w:jc w:val="both"/>
      </w:pPr>
      <w:r>
        <w:rPr>
          <w:rFonts w:ascii="Arial" w:cs="Arial" w:eastAsia="Arial" w:hAnsi="Arial"/>
          <w:b w:val="false"/>
          <w:bCs w:val="false"/>
          <w:sz w:val="24"/>
          <w:szCs w:val="24"/>
        </w:rPr>
        <w:t xml:space="preserve">Table 16 gives the ratings for Compatibility by group, and Table 16A the measured evidence for it.</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16A.</w:t>
      </w:r>
      <w:r>
        <w:rPr>
          <w:rFonts w:ascii="Arial" w:cs="Arial" w:eastAsia="Arial" w:hAnsi="Arial"/>
          <w:b/>
          <w:bCs/>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0" w:before="0" w:line="480" w:lineRule="auto"/>
        <w:ind w:firstLine="720"/>
        <w:jc w:val="both"/>
      </w:pPr>
      <w:r>
        <w:rPr>
          <w:rFonts w:ascii="Arial" w:cs="Arial" w:eastAsia="Arial" w:hAnsi="Arial"/>
          <w:b w:val="false"/>
          <w:bCs w:val="false"/>
          <w:sz w:val="24"/>
          <w:szCs w:val="24"/>
        </w:rPr>
        <w:t xml:space="preserve">Compatibility was rated Very High Quality (4.67). The owner and the technical evaluator gave every item 5; two tenants each gave one of the two items 4, and the prospective tenant gave 4. The ratings agree with the browser matrix, on which every combination tried worked. Co-existence, which no test measured, was rated 4.67 by the tenants and 5 by the owner and the evaluator.</w:t>
      </w:r>
    </w:p>
    <w:p>
      <w:pPr>
        <w:spacing w:after="120" w:before="240" w:line="480" w:lineRule="auto"/>
        <w:jc w:val="left"/>
      </w:pPr>
      <w:r>
        <w:rPr>
          <w:rFonts w:ascii="Arial" w:cs="Arial" w:eastAsia="Arial" w:hAnsi="Arial"/>
          <w:b/>
          <w:bCs/>
          <w:sz w:val="24"/>
          <w:szCs w:val="24"/>
        </w:rPr>
        <w:t xml:space="preserve">4.4.6 Usability</w:t>
      </w:r>
    </w:p>
    <w:p>
      <w:pPr>
        <w:spacing w:after="0" w:before="0" w:line="480" w:lineRule="auto"/>
        <w:ind w:firstLine="720"/>
        <w:jc w:val="both"/>
      </w:pPr>
      <w:r>
        <w:rPr>
          <w:rFonts w:ascii="Arial" w:cs="Arial" w:eastAsia="Arial" w:hAnsi="Arial"/>
          <w:b w:val="false"/>
          <w:bCs w:val="false"/>
          <w:sz w:val="24"/>
          <w:szCs w:val="24"/>
        </w:rPr>
        <w:t xml:space="preserve">Table 17 gives the ratings for Usability by group, and Table 17A the measured evidence for it.</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4.47</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on the website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4.12</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17A.</w:t>
      </w:r>
      <w:r>
        <w:rPr>
          <w:rFonts w:ascii="Arial" w:cs="Arial" w:eastAsia="Arial" w:hAnsi="Arial"/>
          <w:b/>
          <w:bCs/>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Usability was rated </w:t>
      </w:r>
      <w:r>
        <w:rPr>
          <w:rFonts w:ascii="Arial" w:cs="Arial" w:eastAsia="Arial" w:hAnsi="Arial"/>
          <w:b/>
          <w:bCs/>
          <w:sz w:val="24"/>
          <w:szCs w:val="24"/>
        </w:rPr>
        <w:t xml:space="preserve">High Quality (4.12), the lowest of the characteristics that all four groups rated</w:t>
      </w:r>
      <w:r>
        <w:rPr>
          <w:rFonts w:ascii="Arial" w:cs="Arial" w:eastAsia="Arial" w:hAnsi="Arial"/>
          <w:b w:val="false"/>
          <w:bCs w:val="false"/>
          <w:sz w:val="24"/>
          <w:szCs w:val="24"/>
        </w:rPr>
        <w:t xml:space="preserve">, and seventh of eight overall. The ratings divide by group. The prospective tenant gave every item 5 and the tenants 4.47. The owner gave 4.00, with 3 for being able to tell what each screen is for without being taught and for learning the system without technical help. The technical evaluator gave 3 to all five items. Two facts explain most of this. The evaluator answered on the night of 4 October, after the review of 3 October and before its fourteen comments, eleven of them about usability, were acted on the next day (Table 23), so the rating describes the system before those changes. And the owner's walkthrough was read to her step by step (Section 4.3.4), so she learned the system with help, as her answer says. Here the rating and the measurement disagree, and both are right: the tenants completed nine tasks in ten without help and the screens passed every accessibility check, but those measure whether a task can be done and whether the screens are built correctly, not how easily a first-time user finds their way. Mia et al. (2024) name limited technical capacity as a barrier for small Philippine enterprises adopting digital tools; the owner's two ratings of 3 place that barrier at the start of use, where the tenants' need for help also fell (Section 4.3.7). Chapter 5 takes this up in recommendation 6.</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0" w:before="0" w:line="480" w:lineRule="auto"/>
        <w:ind w:firstLine="720"/>
        <w:jc w:val="both"/>
      </w:pPr>
      <w:r>
        <w:rPr>
          <w:rFonts w:ascii="Arial" w:cs="Arial" w:eastAsia="Arial" w:hAnsi="Arial"/>
          <w:b w:val="false"/>
          <w:bCs w:val="false"/>
          <w:sz w:val="24"/>
          <w:szCs w:val="24"/>
        </w:rPr>
        <w:t xml:space="preserve">Table 18 gives the ratings for Reliability by group, and Table 18A the measured evidence for it.</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1.15</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4.22</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4.25</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4.62</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18A.</w:t>
      </w:r>
      <w:r>
        <w:rPr>
          <w:rFonts w:ascii="Arial" w:cs="Arial" w:eastAsia="Arial" w:hAnsi="Arial"/>
          <w:b/>
          <w:bCs/>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0" w:before="0" w:line="480" w:lineRule="auto"/>
        <w:ind w:firstLine="720"/>
        <w:jc w:val="both"/>
      </w:pPr>
      <w:r>
        <w:rPr>
          <w:rFonts w:ascii="Arial" w:cs="Arial" w:eastAsia="Arial" w:hAnsi="Arial"/>
          <w:b w:val="false"/>
          <w:bCs w:val="false"/>
          <w:sz w:val="24"/>
          <w:szCs w:val="24"/>
        </w:rPr>
        <w:t xml:space="preserve">Reliability was rated Very High Quality (4.62). The owner gave every item 5. The tenants' ratings spread more than on any other characteristic: one tenant rated both availability and the notice when something cannot be loaded 3, where the other two gave 4 or 5. The technical evaluator gave 3 to the system handling a failed request without presenting incorrect data. </w:t>
      </w:r>
      <w:r>
        <w:rPr>
          <w:rFonts w:ascii="Arial" w:cs="Arial" w:eastAsia="Arial" w:hAnsi="Arial"/>
          <w:b/>
          <w:bCs/>
          <w:sz w:val="24"/>
          <w:szCs w:val="24"/>
        </w:rPr>
        <w:t xml:space="preserve">That rating agrees with the one open defect of the testing</w:t>
      </w:r>
      <w:r>
        <w:rPr>
          <w:rFonts w:ascii="Arial" w:cs="Arial" w:eastAsia="Arial" w:hAnsi="Arial"/>
          <w:b w:val="false"/>
          <w:bCs w:val="false"/>
          <w:sz w:val="24"/>
          <w:szCs w:val="24"/>
        </w:rPr>
        <w:t xml:space="preserve">: in the walkthrough the Overview showed ₱0 instead of "—" with the connection cut (step 23b), a failed request presented as a figure. The ratings and the measurements point at the same weakness.</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0" w:before="0" w:line="480" w:lineRule="auto"/>
        <w:ind w:firstLine="720"/>
        <w:jc w:val="both"/>
      </w:pPr>
      <w:r>
        <w:rPr>
          <w:rFonts w:ascii="Arial" w:cs="Arial" w:eastAsia="Arial" w:hAnsi="Arial"/>
          <w:b w:val="false"/>
          <w:bCs w:val="false"/>
          <w:sz w:val="24"/>
          <w:szCs w:val="24"/>
        </w:rPr>
        <w:t xml:space="preserve">Table 19 gives the ratings for Security by group, and Table 19A the measured evidence for it.</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4.70</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19A.</w:t>
      </w:r>
      <w:r>
        <w:rPr>
          <w:rFonts w:ascii="Arial" w:cs="Arial" w:eastAsia="Arial" w:hAnsi="Arial"/>
          <w:b/>
          <w:bCs/>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Security was rated Very High Quality (4.70) by the owner and the technical evaluator, the two groups who rated it. The owner gave every item 5. The evaluator gave 5 to role restriction, to a tenant being kept out of administrative data and to the audit trail, 4 to authentication and session handling, and 3 to the handling and storage of credentials. The 4 agrees with the code review, which accepted two low-risk session weaknesses: sign-in attempt limits counted per server instance, and signing out not revoking a token already issued (Table 23A). The 3 is not explained by the measured evidence, in which passwords are stored only as bcrypt hashes and accounts lock after five wrong attempts, and the evaluator gave no reason on the form; it is reported as given.</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0" w:before="0" w:line="480" w:lineRule="auto"/>
        <w:ind w:firstLine="720"/>
        <w:jc w:val="both"/>
      </w:pPr>
      <w:r>
        <w:rPr>
          <w:rFonts w:ascii="Arial" w:cs="Arial" w:eastAsia="Arial" w:hAnsi="Arial"/>
          <w:b w:val="false"/>
          <w:bCs w:val="false"/>
          <w:sz w:val="24"/>
          <w:szCs w:val="24"/>
        </w:rPr>
        <w:t xml:space="preserve">Two weaknesses remain by design and are named here. The sign-in token is kept in the browser's own storage, where a script injected into the page could read it. What stands against that is the enforced Content Security Policy, which lets the browser run scripts only from the site itself and from Adyen, and the fact that no screen inserts raw HTML: every value shown is escaped. Keeping the token in a cookie that no script can read would remove the weakness itself. And signing in takes a password only; there is no second factor, even for the administrator. Public sign-up is closed (a request to create an account is refused, checked on the live site on 7 October 2026), so no one can create an account for themselves, but whoever learns the owner's password can use her account. Both are left to Chapter 5, recommendation 3.</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0" w:before="0" w:line="480" w:lineRule="auto"/>
        <w:ind w:firstLine="720"/>
        <w:jc w:val="both"/>
      </w:pPr>
      <w:r>
        <w:rPr>
          <w:rFonts w:ascii="Arial" w:cs="Arial" w:eastAsia="Arial" w:hAnsi="Arial"/>
          <w:b w:val="false"/>
          <w:bCs w:val="false"/>
          <w:sz w:val="24"/>
          <w:szCs w:val="24"/>
        </w:rPr>
        <w:t xml:space="preserve">Table 20 gives the ratings for Maintainability by group, and Table 20A the measured evidence for it.</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3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20A.</w:t>
      </w:r>
      <w:r>
        <w:rPr>
          <w:rFonts w:ascii="Arial" w:cs="Arial" w:eastAsia="Arial" w:hAnsi="Arial"/>
          <w:b/>
          <w:bCs/>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7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Database calls made through service modules rather than inside the request handlers,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50 / 204 = 0.25; the owner's handlers are one file of 5,120 lines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server's code, counted 7 October 2026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7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Its parts are less separate than its checks: three database calls in four are written inside the request handlers, so the rules for one record are spread across the handlers that touch it. Reusability was neither measured nor asked about.</w:t>
      </w:r>
    </w:p>
    <w:p>
      <w:pPr>
        <w:spacing w:after="0" w:before="0" w:line="480" w:lineRule="auto"/>
        <w:ind w:firstLine="720"/>
        <w:jc w:val="both"/>
      </w:pPr>
      <w:r>
        <w:rPr>
          <w:rFonts w:ascii="Arial" w:cs="Arial" w:eastAsia="Arial" w:hAnsi="Arial"/>
          <w:b w:val="false"/>
          <w:bCs w:val="false"/>
          <w:sz w:val="24"/>
          <w:szCs w:val="24"/>
        </w:rPr>
        <w:t xml:space="preserve">Maintainability was rated High Quality (4.00), </w:t>
      </w:r>
      <w:r>
        <w:rPr>
          <w:rFonts w:ascii="Arial" w:cs="Arial" w:eastAsia="Arial" w:hAnsi="Arial"/>
          <w:b/>
          <w:bCs/>
          <w:sz w:val="24"/>
          <w:szCs w:val="24"/>
        </w:rPr>
        <w:t xml:space="preserve">the lowest composite of the eight</w:t>
      </w:r>
      <w:r>
        <w:rPr>
          <w:rFonts w:ascii="Arial" w:cs="Arial" w:eastAsia="Arial" w:hAnsi="Arial"/>
          <w:b w:val="false"/>
          <w:bCs w:val="false"/>
          <w:sz w:val="24"/>
          <w:szCs w:val="24"/>
        </w:rPr>
        <w:t xml:space="preserve">. It rests on one respondent: only technical evaluators rated it, and one answered, giving every item 4. With one rating and no spread, the result says that the evaluator found the code base, its documentation, its configuration, its checks and its separation of parts good but not excellent, and no more. The measured evidence agrees with that reading. Testability and analysability measured strongly (Table 20A), but modularity did not: three database calls in four sit inside the request handlers, which is what the item about a change in one part disturbing another asks about. Chapter 5 takes this up in recommendation 6.</w:t>
      </w:r>
    </w:p>
    <w:p>
      <w:pPr>
        <w:spacing w:after="120" w:before="240" w:line="480" w:lineRule="auto"/>
        <w:jc w:val="left"/>
      </w:pPr>
      <w:r>
        <w:rPr>
          <w:rFonts w:ascii="Arial" w:cs="Arial" w:eastAsia="Arial" w:hAnsi="Arial"/>
          <w:b/>
          <w:bCs/>
          <w:sz w:val="24"/>
          <w:szCs w:val="24"/>
        </w:rPr>
        <w:t xml:space="preserve">4.4.10 Portability</w:t>
      </w:r>
    </w:p>
    <w:p>
      <w:pPr>
        <w:spacing w:after="0" w:before="0" w:line="480" w:lineRule="auto"/>
        <w:ind w:firstLine="720"/>
        <w:jc w:val="both"/>
      </w:pPr>
      <w:r>
        <w:rPr>
          <w:rFonts w:ascii="Arial" w:cs="Arial" w:eastAsia="Arial" w:hAnsi="Arial"/>
          <w:b w:val="false"/>
          <w:bCs w:val="false"/>
          <w:sz w:val="24"/>
          <w:szCs w:val="24"/>
        </w:rPr>
        <w:t xml:space="preserve">Table 21 gives the ratings for Portability by group, and Table 21A the measured evidence for it.</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on my own phone.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21A.</w:t>
      </w:r>
      <w:r>
        <w:rPr>
          <w:rFonts w:ascii="Arial" w:cs="Arial" w:eastAsia="Arial" w:hAnsi="Arial"/>
          <w:b/>
          <w:bCs/>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0" w:before="0" w:line="480" w:lineRule="auto"/>
        <w:ind w:firstLine="720"/>
        <w:jc w:val="both"/>
      </w:pPr>
      <w:r>
        <w:rPr>
          <w:rFonts w:ascii="Arial" w:cs="Arial" w:eastAsia="Arial" w:hAnsi="Arial"/>
          <w:b w:val="false"/>
          <w:bCs w:val="false"/>
          <w:sz w:val="24"/>
          <w:szCs w:val="24"/>
        </w:rPr>
        <w:t xml:space="preserve">Portability was rated highest of the eight (4.89, Very High Quality). Every group gave 5 to the system working on their own device and needing nothing else installed; the one item below 5 was the tenants' opening it on more than one device, which one tenant rated 4. The rating agrees with the measurement: the same code was installed on an Android phone and an iPhone without an app store.</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Six of the eight characteristics were rated Very High Quality, Portability highest (4.89) and Functional Suitability next (4.86). Two were rated High Quality: Usability (4.12), the lowest of the characteristics every group rated, and Maintainability (4.00), the lowest composite, which rests on a single technical evaluator. No characteristic, and no group mean, fell below High Quality; the lowest single ratings were 3, Moderate Quality, given by the owner to two Usability items, by one tenant to two Reliability items, and by the technical evaluator to eight items across four characteristics. n is the number of respondents who rated the characteristic, and Rank 1 is the highest composite.</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1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for six, a strong measured result and a rating of Very High Quality, and for Maintainability, discussed below, a weaker result on both. The agreement is closest where it matters most. The one low rating on Reliability, a failed request presented as data, names the one defect the testing left open. </w:t>
      </w:r>
      <w:r>
        <w:rPr>
          <w:rFonts w:ascii="Arial" w:cs="Arial" w:eastAsia="Arial" w:hAnsi="Arial"/>
          <w:b/>
          <w:bCs/>
          <w:sz w:val="24"/>
          <w:szCs w:val="24"/>
        </w:rPr>
        <w:t xml:space="preserve">The two disagree on Usability.</w:t>
      </w:r>
      <w:r>
        <w:rPr>
          <w:rFonts w:ascii="Arial" w:cs="Arial" w:eastAsia="Arial" w:hAnsi="Arial"/>
          <w:b w:val="false"/>
          <w:bCs w:val="false"/>
          <w:sz w:val="24"/>
          <w:szCs w:val="24"/>
        </w:rPr>
        <w:t xml:space="preserve"> Every measure of it was met, yet it was rated below every characteristic but one. The difference lies in what each kind of evidence can see. The measures show that the tasks can be done and that the screens are built correctly; the ratings record how hard the system was to learn for its owner, who learned it with help, and how it looked to a technical evaluator the night before fourteen changes were made in response to that evaluator's group. Neither cancels the other, and the lesson for the evaluation is the one Section 4.3.3 drew for testing: passing measures show what was measured. Maintainability, rated lowest, rests on one person's rating, but here the measurement agrees with it: the system is easy to test and to trace, and its database logic is not yet separated from its request handlers.</w:t>
      </w: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120" w:before="360" w:line="480" w:lineRule="auto"/>
        <w:jc w:val="left"/>
      </w:pPr>
      <w:r>
        <w:rPr>
          <w:rFonts w:ascii="Arial" w:cs="Arial" w:eastAsia="Arial" w:hAnsi="Arial"/>
          <w:b/>
          <w:bCs/>
          <w:sz w:val="24"/>
          <w:szCs w:val="24"/>
        </w:rPr>
        <w:t xml:space="preserve">Table 22B.</w:t>
      </w:r>
      <w:r>
        <w:rPr>
          <w:rFonts w:ascii="Arial" w:cs="Arial" w:eastAsia="Arial" w:hAnsi="Arial"/>
          <w:b/>
          <w:bCs/>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35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1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07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35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28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1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4.3.7 and 4.4</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0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35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28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four rows come from the survey.</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7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to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all five Usability items 3, on 4 October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rated 3 her telling what each screen is for, and learning the system, without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change to the screens; the user manual (Appendix K) describes every screen in her words, and training at hand-over is stage 4 of Table 25 (Chapter 5, recommendation 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asked for the deposit paid and the electric bill to be shown</w:t>
            </w:r>
          </w:p>
        </w:tc>
        <w:tc>
          <w:tcPr>
            <w:tcW w:type="dxa" w:w="3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changed. The deposit is recorded for every tenancy but shown only to the owner; the electric bill is outside the system, since each tenant pays the electric company directly (Section 4.2.4)</w:t>
            </w:r>
          </w:p>
        </w:tc>
        <w:tc>
          <w:tcPr>
            <w:tcW w:type="dxa" w:w="12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2026-10-12T10:42:54.391Z</dcterms:created>
  <dcterms:modified xsi:type="dcterms:W3CDTF">2026-10-12T10:42:54.391Z</dcterms:modified>
</cp:coreProperties>
</file>

<file path=docProps/custom.xml><?xml version="1.0" encoding="utf-8"?>
<Properties xmlns="http://schemas.openxmlformats.org/officeDocument/2006/custom-properties" xmlns:vt="http://schemas.openxmlformats.org/officeDocument/2006/docPropsVTypes"/>
</file>