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in the order of the four specific objectives in Section 1.2: the analysis of existing practices (4.1), the development of the system (4.2), pilot testing (4.3), and evaluation and optimization against ISO/IEC 25010 (4.4), followed by the deployment plan (4.5). Testing and evaluation follow one family of standards, ISO/IEC 25000 (SQuaRE), as declared in Section 3.3: the quality model of ISO/IEC 25010:2011, its measures in the manner of ISO/IEC 25023 and 25022, and the evaluation process of ISO/IEC 25040. Every quality characteristic is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on three residential floors and a rooftop penthouse level (11, 11, 10 and 1 units). At the time of writing, 32 of the 33 units are occupied. The owner confirmed these figures on 13 September 2026, and they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the system, the owner kept a spreadsheet workbook with two sheets, a Monthly Income Report and a Monthly Expenses Report, on a USB flash drive, together with a paper invoice book. Rent was collected in cash on site, and requests arrived by messaging application or in person. Table 5 compares each practice with the problem it caused. Enquiries arrived much as Pernate et al. (2025) found for boarding houses in Ormoc City, through social media and word of mouth, and left no record.</w:t>
      </w:r>
    </w:p>
    <w:p>
      <w:pPr>
        <w:keepNext/>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7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7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2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a USB flash drive is the only copy</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7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arrived through Facebook, referrals from other people, contact and text messages, or walk-ins in person</w:t>
            </w:r>
          </w:p>
        </w:tc>
        <w:tc>
          <w:tcPr>
            <w:tcW w:type="dxa" w:w="37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area through the hands that touched it. Every path ends in a record kept apart from the others, or in no record at all, which is where each problem in Table 5 begins.</w:t>
      </w:r>
    </w:p>
    <w:p>
      <w:pPr>
        <w:keepNext/>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 strongest evidence came from the owner's own records. Transferring her workbook into the system (937 income rows and 1,327 expense allocations) exposed problems the spreadsheet had hidden: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and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once for two tenants on the same day. They were kept exactly as she wrote them and are reported on every verification run. The decisive finding is that the problems did not sit in one area: </w:t>
      </w:r>
      <w:r>
        <w:rPr>
          <w:rFonts w:ascii="Arial" w:cs="Arial" w:eastAsia="Arial" w:hAnsi="Arial"/>
          <w:b/>
          <w:bCs/>
          <w:sz w:val="24"/>
          <w:szCs w:val="24"/>
        </w:rPr>
        <w:t xml:space="preserve">each area kept its own informal record, and nothing connected one to another</w:t>
      </w:r>
      <w:r>
        <w:rPr>
          <w:rFonts w:ascii="Arial" w:cs="Arial" w:eastAsia="Arial" w:hAnsi="Arial"/>
          <w:b w:val="false"/>
          <w:bCs w:val="false"/>
          <w:sz w:val="24"/>
          <w:szCs w:val="24"/>
        </w:rPr>
        <w:t xml:space="preserve">, the fragmentation described in Chapter 2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each traced in a traceability matrix to the part of the system that implements it. Graded against the code on 16 September 2026, 25 of the 44 were implemented as worded, 15 in part, 1 in the interface only, and 3 not as worded, although what those three describe is visible to the owner in another form. Table 6 traces each gap to the requirement and the module that meets it.</w:t>
      </w:r>
    </w:p>
    <w:p>
      <w:pPr>
        <w:keepNext/>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analysis also set ten non-functional requirements, one for each ISO/IEC 25010 characteristic and two for auditability and exportability. Table 6B lists them with the section that reports how each was met.</w:t>
      </w:r>
    </w:p>
    <w:p>
      <w:pPr>
        <w:keepNext/>
        <w:spacing w:after="120" w:before="360" w:line="480" w:lineRule="auto"/>
        <w:jc w:val="left"/>
      </w:pPr>
      <w:r>
        <w:rPr>
          <w:rFonts w:ascii="Arial" w:cs="Arial" w:eastAsia="Arial" w:hAnsi="Arial"/>
          <w:b/>
          <w:bCs/>
          <w:sz w:val="24"/>
          <w:szCs w:val="24"/>
        </w:rPr>
        <w:t xml:space="preserve">Table 6B.</w:t>
      </w:r>
      <w:r>
        <w:rPr>
          <w:rFonts w:ascii="Arial" w:cs="Arial" w:eastAsia="Arial" w:hAnsi="Arial"/>
          <w:b/>
          <w:bCs/>
          <w:sz w:val="24"/>
          <w:szCs w:val="24"/>
        </w:rPr>
        <w:t xml:space="preserve"> Non-functional requirements and where each is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Code</w:t>
            </w:r>
          </w:p>
        </w:tc>
        <w:tc>
          <w:tcPr>
            <w:tcW w:type="dxa" w:w="41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0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in</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NFR-001</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provide the required business functions accurately</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4.3.1 to 4.3.4; Section 4.4.3</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NFR-002</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be understandable to a non-technical administrator</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 Section 4.4.3 (Usability)</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NFR-003</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protect personal and financial information</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 Section 4.4.4</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NFR-004</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Common operations should respond efficiently under the expected workload</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11 and 11B</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NFR-005</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function on modern desktop and mobile browsers</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24; Section 4.4.3 (Compatibility)</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NFR-006</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preserve data consistency and avoid silent data loss</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4.3.1, 4.3.3 and 4.3.6 (Table 11F)</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NFR-007</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shall use a modular, documented, maintainable architecture</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4.4.3 (Maintainability): partly met</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NFR-008</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be deployable to a hosting environment the team can maintain</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4.2.1; Table 24</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NFR-009</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Important financial and administrative changes shall be traceable</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 (audit trail)</w:t>
            </w:r>
          </w:p>
        </w:tc>
      </w:tr>
      <w:tr>
        <w:trPr>
          <w:cantSplit/>
        </w:trPr>
        <w:tc>
          <w:tcPr>
            <w:tcW w:type="dxa" w:w="14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NFR-010</w:t>
            </w:r>
          </w:p>
        </w:tc>
        <w:tc>
          <w:tcPr>
            <w:tcW w:type="dxa" w:w="41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Relevant business data shall be usable outside the application</w:t>
            </w:r>
          </w:p>
        </w:tc>
        <w:tc>
          <w:tcPr>
            <w:tcW w:type="dxa" w:w="30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 (Excel downloads)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NFR-008 originally named the university's server; on the adviser's advice the team deployed the system on its own hosting instead (Section 3.2.5), and the requirement was reworded to match.</w:t>
      </w:r>
    </w:p>
    <w:p>
      <w:pPr>
        <w:spacing w:after="0" w:before="0" w:line="480" w:lineRule="auto"/>
        <w:ind w:firstLine="720"/>
        <w:jc w:val="both"/>
      </w:pPr>
      <w:r>
        <w:rPr>
          <w:rFonts w:ascii="Arial" w:cs="Arial" w:eastAsia="Arial" w:hAnsi="Arial"/>
          <w:b w:val="false"/>
          <w:bCs w:val="false"/>
          <w:sz w:val="24"/>
          <w:szCs w:val="24"/>
        </w:rPr>
        <w:t xml:space="preserve">Where a requirement needed the owner's answer, it was asked rather than assumed. She confirmed that a bill is overdue from the day after its due date, that she sets rates by hand (so every rate change is recorded and no increase is applied automatically), that a tenant needs no email address to be recorded, and on 20 September 2026 the rate of every unit, each of which agreed with her receipts. Her answers of 12 October 2026 settled the rest: the figure at the bottom of her income sheet is a year-to-date total; her thirteen expense categories stay and she may add her own; tenants do not report cash payments, because the administrators record every payment; the personal spending booked in 2025 was a renovation of her house; past Penthouse spending stays where it was filed; and three months with no receipt for one unit stay blank. Her workbook never recorded the move-in date of each current tenancy, so the system shows those dates as not recorded (Section 4.2.2).</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the objective names has its own subsection.</w:t>
      </w:r>
    </w:p>
    <w:p>
      <w:pPr>
        <w:spacing w:after="0" w:before="0" w:line="480" w:lineRule="auto"/>
        <w:ind w:firstLine="720"/>
        <w:jc w:val="both"/>
      </w:pPr>
      <w:r>
        <w:rPr>
          <w:rFonts w:ascii="Arial" w:cs="Arial" w:eastAsia="Arial" w:hAnsi="Arial"/>
          <w:b w:val="false"/>
          <w:bCs w:val="false"/>
          <w:sz w:val="24"/>
          <w:szCs w:val="24"/>
        </w:rPr>
        <w:t xml:space="preserve">Figures 5 to 9 model the system as built, and Figures 10 to 14 show its screens as they stood on 5 October 2026. The units, rates and statuses in Figures 10 and 11 are the property's own; the names, payments, expenses and repair requests in Figures 10, 12, 13 and 14 are sample records, so that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(24 July to 28 August 2026) built a working system and transferred the owner's records into it; the second (12 to 14 September) checked the system and its documents against each other, corrected 22 recorded errors and added automated checks; the third (15 September to the defense) took the owner's answers, put the system in her and her tenants' hands, and refined it from their feedback, the testing and the evaluation. Appendix M, Table M-19, sets out what each iteration did in each phase of Section 3.2. Each was tested and reviewed by the means available to it; the formal evaluation against ISO/IEC 25010 was carried out once, in the third, because Section 3.3 places it in actual use. Table 7 lists the technology used.</w:t>
      </w:r>
    </w:p>
    <w:p>
      <w:pPr>
        <w:keepNext/>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5 shows where each part runs. The application reaches the browser as a Progressive Web Application and talks to one server program, an Express API on Vercel, which alone reads or writes the database: row-level security is on for every table, so a request that does not pass the API's sign-in and role checks reaches no data. Payment details go from Adyen's own form to Adyen directly, and every change to the database is a numbered, reviewable migration. The system is hosted rather than run on a server at the property or the university: on the adviser's advice the team deployed it on its own hosting (Section 3.2.5), so the boarding house needs no equipment beyond the owner's own laptop and phone.</w:t>
      </w:r>
    </w:p>
    <w:p>
      <w:pPr>
        <w:keepNext/>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6 is the context diagram: the system as one process, with the four parties outside it and the data that passes between them. Figure 7 opens it into eight processes and the stores each reads and writes, in the Yourdon-DeMarco notation. To trace one path: the owner records a cash receipt through process 4.0, Bill and record payments, which writes it to store D3, Bills and receipts, and process 7.0, Produce reports, reads it from there for the Overview and the Excel workbooks. The notifications and the audit record are written by nearly every process and are left out of Figure 7 for readability.</w:t>
      </w:r>
    </w:p>
    <w:p>
      <w:pPr>
        <w:keepNext/>
        <w:spacing w:after="240" w:before="240" w:line="480" w:lineRule="auto"/>
        <w:jc w:val="center"/>
      </w:pPr>
      <w:r>
        <w:rPr>
          <w:rFonts w:ascii="Arial" w:cs="Arial" w:eastAsia="Arial" w:hAnsi="Arial"/>
          <w:b w:val="false"/>
          <w:bCs w:val="false"/>
          <w:i/>
          <w:iCs/>
          <w:sz w:val="24"/>
          <w:szCs w:val="24"/>
        </w:rPr>
        <w:t xml:space="preserve">Figure 6. Context diagram.</w:t>
      </w:r>
    </w:p>
    <w:p>
      <w:pPr>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keepNext/>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w:t>
      </w:r>
    </w:p>
    <w:p>
      <w:pPr>
        <w:keepNext/>
        <w:spacing w:after="240" w:before="240" w:line="480" w:lineRule="auto"/>
        <w:jc w:val="center"/>
      </w:pPr>
      <w:r>
        <w:rPr>
          <w:rFonts w:ascii="Arial" w:cs="Arial" w:eastAsia="Arial" w:hAnsi="Arial"/>
          <w:b w:val="false"/>
          <w:bCs w:val="false"/>
          <w:i/>
          <w:iCs/>
          <w:sz w:val="24"/>
          <w:szCs w:val="24"/>
        </w:rPr>
        <w:t xml:space="preserve">Figure 8. Use case diagram.</w:t>
      </w:r>
    </w:p>
    <w:p>
      <w:pPr>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9, in Crow's Foot notation, is the entity-relationship diagram drawn from the database's own catalogue on 5 October 2026: 21 tables, each with a primary key, and 37 foreign keys. Rooms and profiles are its two centres: every bill, payment, receipt, tenancy, repair request and inquiry belongs to one unit, and every tenancy, bill and payment to one person. The two ledgers are kept as the owner kept them. Several rules live in the database itself, so no screen or script can bypass them: one unit cannot have two active tenancies, one invoice number cannot be used twice for the same unit and month, a gateway reference cannot be recorded twice, and the 50% Share and the remitted amount are computed columns. Table 7A is an extract of the data dictionary for the table the owner reads most; the complete dictionary, every column of all 24 tables, is in Appendix N.</w:t>
      </w:r>
    </w:p>
    <w:p>
      <w:pPr>
        <w:keepNext/>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keepNext/>
        <w:spacing w:after="120" w:before="360" w:line="480" w:lineRule="auto"/>
        <w:jc w:val="left"/>
      </w:pPr>
      <w:r>
        <w:rPr>
          <w:rFonts w:ascii="Arial" w:cs="Arial" w:eastAsia="Arial" w:hAnsi="Arial"/>
          <w:b/>
          <w:bCs/>
          <w:sz w:val="24"/>
          <w:szCs w:val="24"/>
        </w:rPr>
        <w:t xml:space="preserve">Table 7A.</w:t>
      </w:r>
      <w:r>
        <w:rPr>
          <w:rFonts w:ascii="Arial" w:cs="Arial" w:eastAsia="Arial" w:hAnsi="Arial"/>
          <w:b/>
          <w:bCs/>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Figure 10 presents the Rooms and rates screen. Each unit carries its cluster, floor, current rate and status, and each tenancy the number of occupants, the move-in date and emergency contacts. When the owner changes a rate, a database trigger records the old rate, the new rate, the date and who made the change, so no path can change a rate without leaving that record. The owner's workbook did not record move-in dates, so for the transferred tenancies the screen says the date is not recorded rather than showing a guessed one. Since 13 October 2026 a tenant also sees the deposit held for their tenancy on their own Overview, as one tenant asked in the survey (Table 23).</w:t>
      </w:r>
    </w:p>
    <w:p>
      <w:pPr>
        <w:keepNext/>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Figure 11 presents the public unit catalogue and the inquiry form. A visitor sees each unit with its rate, read live from the database, and sends an inquiry about a specific unit without an account. On sending, the visitor receives a private link and a short reference code; either one (the code with the phone number given) opens the conversation, where the owner's answer appears and the visitor can write back. The link's secret is stored only in hashed form. An accepted inquiry becomes a tenancy linked to it, a reserved unit accepts no new inquiries, and the public site never shows a tenant's name, which is checked on every verification run against all 33 units.</w:t>
      </w:r>
    </w:p>
    <w:p>
      <w:pPr>
        <w:keepNext/>
        <w:spacing w:after="240" w:before="240" w:line="480" w:lineRule="auto"/>
        <w:jc w:val="center"/>
      </w:pPr>
      <w:r>
        <w:rPr>
          <w:rFonts w:ascii="Arial" w:cs="Arial" w:eastAsia="Arial" w:hAnsi="Arial"/>
          <w:b w:val="false"/>
          <w:bCs w:val="false"/>
          <w:i/>
          <w:iCs/>
          <w:sz w:val="24"/>
          <w:szCs w:val="24"/>
        </w:rPr>
        <w:t xml:space="preserve">Figure 11. Public unit catalogue (top) and inquiry form (bottom).</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Figure 12 presents the Monthly Income ledger. The owner records a cash payment with the number of the invoice she issued, or with none, since not every payment has one; the system never makes up an invoice number, and it warns her if the same tenant already has a payment for that month. The receipt is filed under the month the rent is for, not the day it was paid, and both ledgers keep her workbook's layout and download as Excel files in it. Online payments go through Adyen with GCash: a payment made this way enters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and changes nothing on the tenant's bill until the owner verifies it. Tenants see the same record from their side, month by month, where only receipts the owner has verified count as paid and a month with no receipt is shown as "Not entered", never as owed, because the records alone cannot tell an unpaid month from one not yet entered. Electricity is outside the system: each unit has its own meter and the tenant pays the electric company directly.</w:t>
      </w:r>
    </w:p>
    <w:p>
      <w:pPr>
        <w:keepNext/>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one structured ledger improves oversight and reduces administrative errors, and add one observation: the consolidation also exposed errors already in the owner's records (Section 4.1.1). Every figure the owner reads is computed from the rules in Table 7B rather than typed, so the same inputs always give the same amount.</w:t>
      </w:r>
    </w:p>
    <w:p>
      <w:pPr>
        <w:keepNext/>
        <w:spacing w:after="120" w:before="360" w:line="480" w:lineRule="auto"/>
        <w:jc w:val="left"/>
      </w:pPr>
      <w:r>
        <w:rPr>
          <w:rFonts w:ascii="Arial" w:cs="Arial" w:eastAsia="Arial" w:hAnsi="Arial"/>
          <w:b/>
          <w:bCs/>
          <w:sz w:val="24"/>
          <w:szCs w:val="24"/>
        </w:rPr>
        <w:t xml:space="preserve">Table 7B.</w:t>
      </w:r>
      <w:r>
        <w:rPr>
          <w:rFonts w:ascii="Arial" w:cs="Arial" w:eastAsia="Arial" w:hAnsi="Arial"/>
          <w:b/>
          <w:bCs/>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Figure 13 presents the repairs board. A tenant submits a request with a title, description and priority, follows it through to completion, and may cancel it before work starts. The owner can also log a repair she is told about in person, including one for an empty unit. Only the owner closes a request, and the tenant is notified when it is done. In-app notifications also tell a tenant when a payment is verified or declined, and the owner when a payment, inquiry or comment arrives; opening one opens the record it is about. This is the change Saputra et al. (2025) report, in which complaints turned into traceable requests improved accountability, and it bears on the responsiveness Jing and Lim (2021) found central to residents' satisfaction: a request now carries its status from submission to closing, where before it left no record (Figure 4).</w:t>
      </w:r>
    </w:p>
    <w:p>
      <w:pPr>
        <w:keepNext/>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plus a record of each visitor who sends an inquiry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who holds the public's rights. Every role's rights come from one permission matrix, against which each of the 55 administrator and tenant routes is checked on every verification run, and row-level security is on for every table. Table 7C sets out which role may use which function.</w:t>
      </w:r>
    </w:p>
    <w:p>
      <w:pPr>
        <w:keepNext/>
        <w:spacing w:after="120" w:before="360" w:line="480" w:lineRule="auto"/>
        <w:jc w:val="left"/>
      </w:pPr>
      <w:r>
        <w:rPr>
          <w:rFonts w:ascii="Arial" w:cs="Arial" w:eastAsia="Arial" w:hAnsi="Arial"/>
          <w:b/>
          <w:bCs/>
          <w:sz w:val="24"/>
          <w:szCs w:val="24"/>
        </w:rPr>
        <w:t xml:space="preserve">Table 7C.</w:t>
      </w:r>
      <w:r>
        <w:rPr>
          <w:rFonts w:ascii="Arial" w:cs="Arial" w:eastAsia="Arial" w:hAnsi="Arial"/>
          <w:b/>
          <w:bCs/>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Passwords are stored as bcrypt hashes with a per-password salt; a new one needs ten characters, a letter and a number, and is refused if it appears in a public list of breached passwords. An account locks after five failed sign-ins, a new account must change its password at first sign-in, and every administrator action is written to an audit trail the application cannot edit, delete or empty. The testing of these protections is reported in Section 4.4.4.</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Figure 14 presents the tenant portal on a phone. The client is a Progressive Web Application with a service worker and a manifest, so it installs on a phone or computer without an app store. Installing it means adding it to the home screen from the browser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Safari, </w:t>
      </w:r>
      <w:r>
        <w:rPr>
          <w:rFonts w:ascii="Arial" w:cs="Arial" w:eastAsia="Arial" w:hAnsi="Arial"/>
          <w:b/>
          <w:bCs/>
          <w:sz w:val="24"/>
          <w:szCs w:val="24"/>
        </w:rPr>
        <w:t xml:space="preserve">Install app</w:t>
      </w:r>
      <w:r>
        <w:rPr>
          <w:rFonts w:ascii="Arial" w:cs="Arial" w:eastAsia="Arial" w:hAnsi="Arial"/>
          <w:b w:val="false"/>
          <w:bCs w:val="false"/>
          <w:sz w:val="24"/>
          <w:szCs w:val="24"/>
        </w:rPr>
        <w:t xml:space="preserve"> or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Chrome): nothing is downloaded from a store, it opens in its own window like an application, and the application files it keeps on the device come to about 1.2 MB (as built on 13 October 2026). Since 1 and 2 October 2026 it keeps a read-only copy of the figures, names and notifications the signed-in person last loaded on that person's device, so the installed application can show them without a connection under one notice giving the time they were saved; paying and recording still need the connection, and the copy is removed at sign-out. This stays within the delimitation in Section 1.4. Screens adapt to the device, and tables on a computer become cards on a phone. As Biørn-Hansen et al. (2019) describe, one code base served every device: the owner's laptop, an Android phone in Chrome and an iPhone in Safari (Section 4.3.7).</w:t>
      </w:r>
    </w:p>
    <w:p>
      <w:pPr>
        <w:keepNext/>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20" w:before="24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71950" cy="5943600"/>
                    </a:xfrm>
                    <a:prstGeom prst="rect">
                      <a:avLst/>
                    </a:prstGeom>
                  </pic:spPr>
                </pic:pic>
              </a:graphicData>
            </a:graphic>
          </wp:inline>
        </w:drawing>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are characteristics of ISO/IEC 25010:2011: functionality is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its capacity and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A test written for one quality often measures others, so Table 7D lists each test activity with every characteristic it measured. The measures are brought together by characteristic in Section 4.4.</w:t>
      </w:r>
    </w:p>
    <w:p>
      <w:pPr>
        <w:keepNext/>
        <w:spacing w:after="120" w:before="360" w:line="480" w:lineRule="auto"/>
        <w:jc w:val="left"/>
      </w:pPr>
      <w:r>
        <w:rPr>
          <w:rFonts w:ascii="Arial" w:cs="Arial" w:eastAsia="Arial" w:hAnsi="Arial"/>
          <w:b/>
          <w:bCs/>
          <w:sz w:val="24"/>
          <w:szCs w:val="24"/>
        </w:rPr>
        <w:t xml:space="preserve">Table 7D.</w:t>
      </w:r>
      <w:r>
        <w:rPr>
          <w:rFonts w:ascii="Arial" w:cs="Arial" w:eastAsia="Arial" w:hAnsi="Arial"/>
          <w:b/>
          <w:bCs/>
          <w:sz w:val="24"/>
          <w:szCs w:val="24"/>
        </w:rPr>
        <w:t xml:space="preserve"> Test activities and the ISO/IEC 25010:2011 characteristics they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activity (Section)</w:t>
            </w:r>
          </w:p>
        </w:tc>
        <w:tc>
          <w:tcPr>
            <w:tcW w:type="dxa" w:w="1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Test level</w:t>
            </w:r>
          </w:p>
        </w:tc>
        <w:tc>
          <w:tcPr>
            <w:tcW w:type="dxa" w:w="442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measured (sub-characteristics)</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verification (4.3.1)</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 in the live environment (4.3.2)</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 in operation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(4.3.3)</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(4.3.4)</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Responsiveness (4.3.5)</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acceptance testing (4.3.7)</w:t>
            </w:r>
          </w:p>
        </w:tc>
        <w:tc>
          <w:tcPr>
            <w:tcW w:type="dxa" w:w="1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442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perform no writes, which is what makes them safe to run against the owner's real records. On 29 September 2026, the evening before the first test with real users, all 20 passed; Table 8 shows the principal results.</w:t>
      </w:r>
    </w:p>
    <w:p>
      <w:pPr>
        <w:keepNext/>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checks found what nobody had written a check for: the five receipt anomalies of Section 4.1.1 came from the owner's records and are reported on every run rather than corrected, because only her invoice book can say what each should read. More important, the most serious defects found in development gave no error on screen. A cash payment could be confirmed while nothing was written to the ledger, and a partial payment could be recorded while the remaining debt was lost. Each was fixed and now has a check that fails if it returns, which is the case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with the owner's real records since September 2026. On 22 September a checkout raised the first real bill, ₱8,200.00 for unit 1a, exactly as the rules compute it, and a test receipt voided four minutes after it was recorded returned the ledger to its 937 rows. On 23 September the owner found the system hard to use on her phone; the causes were measured (a table 518 pixels wide on a 301-pixel screen, edit buttons touch screens never showed) and fixed the same day. GCash payments were refused at first by a misconfigured acquirer account on Adyen's side, which Adyen support confirmed and replaced (Case 08657379); on 26 September a test payment passed end to end, from Adyen's authorization to the owner's verification queue. Every record the pilot tests created was then removed by one reviewed migration after a backup, leaving the owner's 937 income rows untouched.</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suites prove each part correct on its own, not that a screen shows a person what the database holds for them. On 26 September 2026 a tenant's payment history read "Nothing recorded" although the tenant had seven receipts that year, while every suite passed. The team therefore compared every figure on every owner screen, and on the tenant screens on 29 September, with a read-only query of the live database for the same records. Table 9 shows the result.</w:t>
      </w:r>
    </w:p>
    <w:p>
      <w:pPr>
        <w:keepNext/>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no automated check had caught, all fixed on 26 September: a tenant's payment history that read only online payments, rental and personal expenses in one column, a placeholder move-in date shown for every tenant, an opened checkout listed as a recorded payment, a voided receipt in a tenant's receipt list, and the Boarding House's remitted amount halved on the income screen. The lesson is the reverse side of Section 4.3.1: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It qualifies Magno et al. (2024), who found that digitizing transaction tracking improves data accuracy: here every record was already digital and in one database, yet six screens disagreed with it, so digitizing alone did not make the records agree.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counting its sub-steps, exercises every function that writes data once, on the one unoccupied unit so that no real record is touched. The owner performed it herself on 30 September 2026 on her laptop, signed in to her own account, with a team member reading each step; the full results are in Appendix M, Table M-1. Of the 30 rows, 24 passed the first time, 1 failed and 5 were not performed as written. Every function a tenant uses passed, as did onboarding, the duplicate guards, voiding, inquiry replies, repairs, the Excel export and moving a tenant out. The one failure was step 23b: with the connection cut, the Overview showed ₱0 where the design requires "—", so that a missing figure is never read as a zero balance; re-tested on the owner's laptop on 13 October 2026, it passed (Table 23A). A rate change and its reversal were skipped, and an expense split across two areas was entered as two expenses, so splitting, editing and deleting an expense were not exercised by the owner.</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Response times were measured on 30 September 2026 on the live system, on a Dell XPS 15 laptop in Google Chrome 154 over the boarding house's Wi-Fi and on an iPhone 15 in Safari over mobile data, from the tap until the figures the user came for were on screen (Table 11).</w:t>
      </w:r>
    </w:p>
    <w:p>
      <w:pPr>
        <w:keepNext/>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6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 (Dell XPS 15, Chrome 154, Wi-Fi)</w:t>
            </w:r>
          </w:p>
        </w:tc>
        <w:tc>
          <w:tcPr>
            <w:tcW w:type="dxa" w:w="27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Phone (iPhone 15, Safari, mobile data)</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3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6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7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being the tenant portal's first load (3.05 seconds on the phone). Google's PageSpeed Insights, emulating a mid-range phone on slow 4G, scored the public page 85 to 88 with its largest element at 3.4 to 3.6 seconds, and 100 for accessibility; on the owner's Overview, Lighthouse found the page moving as its figures arrived (a layout shift of 0.22) and 0.7 seconds of script work on the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On 29 September 2026 the live system was measured with no connection, on a weak one, once installed, and with many requests at once, using an automated browser in phone emulation with every save blocked so that nothing was written to the owner's records. Table 11A gives the results without a connection and once installed. Table 11B gives those of a load test in which a script played several users at once, each pausing between requests as a person reading does; these were simulated users, not people (the owner and tenants together are reported in Section 4.3.7).</w:t>
      </w:r>
    </w:p>
    <w:p>
      <w:pPr>
        <w:keepNext/>
        <w:spacing w:after="120" w:before="360" w:line="480" w:lineRule="auto"/>
        <w:jc w:val="left"/>
      </w:pPr>
      <w:r>
        <w:rPr>
          <w:rFonts w:ascii="Arial" w:cs="Arial" w:eastAsia="Arial" w:hAnsi="Arial"/>
          <w:b/>
          <w:bCs/>
          <w:sz w:val="24"/>
          <w:szCs w:val="24"/>
        </w:rPr>
        <w:t xml:space="preserve">Table 11A.</w:t>
      </w:r>
      <w:r>
        <w:rPr>
          <w:rFonts w:ascii="Arial" w:cs="Arial" w:eastAsia="Arial" w:hAnsi="Arial"/>
          <w:b/>
          <w:bCs/>
          <w:sz w:val="24"/>
          <w:szCs w:val="24"/>
        </w:rPr>
        <w:t xml:space="preserve"> Offline and installation behavior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11B.</w:t>
      </w:r>
      <w:r>
        <w:rPr>
          <w:rFonts w:ascii="Arial" w:cs="Arial" w:eastAsia="Arial" w:hAnsi="Arial"/>
          <w:b/>
          <w:bCs/>
          <w:sz w:val="24"/>
          <w:szCs w:val="24"/>
        </w:rPr>
        <w:t xml:space="preserve"> Simulated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3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Simulated users at once</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3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application opens without a connection and says plainly what it cannot do, and under loads several times the property's own no request failed and nineteen in twenty were answered in under a second. The tests found one weakness: on a weak signal a page could wait for minutes with no message. A limit was added that evening, so that a page stops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An accessibility scan of the public pages (axe-core 4, WCAG 2 A and AA) at phone and computer widths found no violation, nor did the same scan of the owner's eight screens.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which reproduces a double click, a retry after a timeout, or two people pressing Save together, with closer timing than people can produce by hand (Table 11F).</w:t>
      </w:r>
    </w:p>
    <w:p>
      <w:pPr>
        <w:keepNext/>
        <w:spacing w:after="120" w:before="360" w:line="480" w:lineRule="auto"/>
        <w:jc w:val="left"/>
      </w:pPr>
      <w:r>
        <w:rPr>
          <w:rFonts w:ascii="Arial" w:cs="Arial" w:eastAsia="Arial" w:hAnsi="Arial"/>
          <w:b/>
          <w:bCs/>
          <w:sz w:val="24"/>
          <w:szCs w:val="24"/>
        </w:rPr>
        <w:t xml:space="preserve">Table 11F.</w:t>
      </w:r>
      <w:r>
        <w:rPr>
          <w:rFonts w:ascii="Arial" w:cs="Arial" w:eastAsia="Arial" w:hAnsi="Arial"/>
          <w:b/>
          <w:bCs/>
          <w:sz w:val="24"/>
          <w:szCs w:val="24"/>
        </w:rPr>
        <w:t xml:space="preserve"> Simultaneous saves (19 and 24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22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Before the change</w:t>
            </w:r>
          </w:p>
        </w:tc>
        <w:tc>
          <w:tcPr>
            <w:tcW w:type="dxa" w:w="29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After the change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twice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saved: 2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1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five times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five saved: 5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4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receipt covering three months,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opened, so both payments could be recorded</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opened, 1 refused</w:t>
            </w:r>
          </w:p>
        </w:tc>
      </w:tr>
      <w:tr>
        <w:trPr>
          <w:cantSplit/>
        </w:trPr>
        <w:tc>
          <w:tcPr>
            <w:tcW w:type="dxa" w:w="3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checkout 16 minutes after one was abandoned</w:t>
            </w:r>
          </w:p>
        </w:tc>
        <w:tc>
          <w:tcPr>
            <w:tcW w:type="dxa" w:w="22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an abandoned checkout holds the bill for 15 minutes, not for good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Neither fault showed an error, and neither could be fixed in the program alone, since a check followed by a save can always be outrun. Each fix is a rule in the database, which refuses the second save whatever order the requests arrive in, so ten requests arriving together meet the same refusal as two. Since 12 October 2026 a twenty-first suite repeats these tests on every run against the system's own request handlers; it passes 15 checks, and each of four deliberate faults made it fail. Two limits remain: the rule covers receipts with an invoice number, so two identical receipts without one, or two acknowledgement receipts, arriving at the same instant would both be saved, which the payment form's confirmation step makes unlikely without ruling out; and two people changing the same record in different ways at once was not tried.</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account, after giving written consent, by the procedure in Section 3.3. Where an observer's sheet and the system's activity record disagreed, the activity record was used. Table 11C gives each task's result.</w:t>
      </w:r>
    </w:p>
    <w:p>
      <w:pPr>
        <w:keepNext/>
        <w:spacing w:after="120" w:before="360" w:line="480" w:lineRule="auto"/>
        <w:jc w:val="left"/>
      </w:pPr>
      <w:r>
        <w:rPr>
          <w:rFonts w:ascii="Arial" w:cs="Arial" w:eastAsia="Arial" w:hAnsi="Arial"/>
          <w:b/>
          <w:bCs/>
          <w:sz w:val="24"/>
          <w:szCs w:val="24"/>
        </w:rPr>
        <w:t xml:space="preserve">Table 11C.</w:t>
      </w:r>
      <w:r>
        <w:rPr>
          <w:rFonts w:ascii="Arial" w:cs="Arial" w:eastAsia="Arial" w:hAnsi="Arial"/>
          <w:b/>
          <w:bCs/>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only at the start: two of the three tenants were helped through their first sign-in and one to find their unit and rent; everything else, from finding payments to reporting a repair and opening the GCash payment, was done alone in one to two minutes. The repairs they sent reached the owner at once, and she acted on them the same evening. Mia et al. (2024) name limited technical capacity as a barrier when small Philippine enterprises adopt digital tools; these results place it precisely, in the first two things a new user does. The tests that needed several tenants saving at once were not performed, because only two attended together; in the session in which the owner and two tenants used the system at the same time, every screen loaded, each tenant saw only their own unit, the owner's full year of Monthly Income opened in about three seconds, and no session affected another (Appendix M, Table M-22). On two phones the offline behavior matched Table 11A, except that the Android phone showed the "cannot tell whether it was saved" message after 60 to 80 seconds instead of 45; corrected on 1 October, it was on time when re-tested on that phone on 13 October 2026 (Table 23A).</w:t>
      </w:r>
    </w:p>
    <w:p>
      <w:pPr>
        <w:spacing w:after="0" w:before="0" w:line="480" w:lineRule="auto"/>
        <w:ind w:firstLine="720"/>
        <w:jc w:val="both"/>
      </w:pPr>
      <w:r>
        <w:rPr>
          <w:rFonts w:ascii="Arial" w:cs="Arial" w:eastAsia="Arial" w:hAnsi="Arial"/>
          <w:b w:val="false"/>
          <w:bCs w:val="false"/>
          <w:sz w:val="24"/>
          <w:szCs w:val="24"/>
        </w:rPr>
        <w:t xml:space="preserve">Table 11E brings the testing together by the test levels of ISO/IEC/IEEE 29119 (Section 3.2.4).</w:t>
      </w:r>
    </w:p>
    <w:p>
      <w:pPr>
        <w:keepNext/>
        <w:spacing w:after="120" w:before="360" w:line="480" w:lineRule="auto"/>
        <w:jc w:val="left"/>
      </w:pPr>
      <w:r>
        <w:rPr>
          <w:rFonts w:ascii="Arial" w:cs="Arial" w:eastAsia="Arial" w:hAnsi="Arial"/>
          <w:b/>
          <w:bCs/>
          <w:sz w:val="24"/>
          <w:szCs w:val="24"/>
        </w:rPr>
        <w:t xml:space="preserve">Table 11E.</w:t>
      </w:r>
      <w:r>
        <w:rPr>
          <w:rFonts w:ascii="Arial" w:cs="Arial" w:eastAsia="Arial" w:hAnsi="Arial"/>
          <w:b/>
          <w:bCs/>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1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3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(Appendix M, Table M-1)</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(Appendix M, Table M-22)</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3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against the course standard of 90 per cent. The one failure, at the system level, was not critical, and no critical defect was found in any activity. Table 23A, in Section 4.4.6, lists the defects by activity, severity and disposition.</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ISO/IEC 25040 (Table 12B), on the quality model of ISO/IEC 25010:2011. That edition was used because the approved proposal (Section 3.3) named its eight characteristics as the evaluation criteria, and the instrument was built on them; the same edition is used in Chapter 3 and here. Each characteristic was judged on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Section 4.3 expressed as measures of its sub-characteristics in the manner of ISO/IEC 25023, and on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a survey in which each item belongs to one sub-characteristic (Chapter 3, Table 4B). Each respondent group rated only what it can judge: tenants did not rate Security or Maintainability, prospective tenants rated neither, and only technical evaluators rated Maintainability, the group with the background to judge it.</w:t>
      </w:r>
    </w:p>
    <w:p>
      <w:pPr>
        <w:keepNext/>
        <w:spacing w:after="120" w:before="360" w:line="480" w:lineRule="auto"/>
        <w:jc w:val="left"/>
      </w:pPr>
      <w:r>
        <w:rPr>
          <w:rFonts w:ascii="Arial" w:cs="Arial" w:eastAsia="Arial" w:hAnsi="Arial"/>
          <w:b/>
          <w:bCs/>
          <w:sz w:val="24"/>
          <w:szCs w:val="24"/>
        </w:rPr>
        <w:t xml:space="preserve">Table 12B.</w:t>
      </w:r>
      <w:r>
        <w:rPr>
          <w:rFonts w:ascii="Arial" w:cs="Arial" w:eastAsia="Arial" w:hAnsi="Arial"/>
          <w:b/>
          <w:bCs/>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29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2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2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29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Table 13 for every mean, and for tests the course standard of at least 90 per cent passed with no critical defect open</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the survey (rated; Appendix M, Tables M-2 to M-17)</w:t>
            </w:r>
          </w:p>
        </w:tc>
      </w:tr>
      <w:tr>
        <w:trPr>
          <w:cantSplit/>
        </w:trPr>
        <w:tc>
          <w:tcPr>
            <w:tcW w:type="dxa" w:w="18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29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renaming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adding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The survey was built and answered on the 2011 characteristics, so its results are reported on them; Appendix M, Table M-21, shows where each falls in the revised model.</w:t>
      </w:r>
    </w:p>
    <w:p>
      <w:pPr>
        <w:spacing w:after="120" w:before="240" w:line="480" w:lineRule="auto"/>
        <w:jc w:val="left"/>
      </w:pPr>
      <w:r>
        <w:rPr>
          <w:rFonts w:ascii="Arial" w:cs="Arial" w:eastAsia="Arial" w:hAnsi="Arial"/>
          <w:b/>
          <w:bCs/>
          <w:sz w:val="24"/>
          <w:szCs w:val="24"/>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12 shows the respondents by group, and Table 12A how many forms were given out and returned.</w:t>
      </w:r>
    </w:p>
    <w:p>
      <w:pPr>
        <w:keepNext/>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12A.</w:t>
      </w:r>
      <w:r>
        <w:rPr>
          <w:rFonts w:ascii="Arial" w:cs="Arial" w:eastAsia="Arial" w:hAnsi="Arial"/>
          <w:b/>
          <w:bCs/>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6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6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giving consent: the prospective tenant and the three tenants on 30 September 2026, after their tasks in Section 4.3.7, the owner that night after her walkthrough, and one technical evaluator on 4 October, the day after the evaluators' review. No member of the development team was among them. Three of the four groups have one respondent each, so for those groups a mean is one person's rating, and the results describe how these six people rated the system, not a sample from which a wider population can be inferred.</w:t>
      </w: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and means are read using Table 13. The composite of each characteristic is the mean of its group means, so that one owner is not outweighed by three tenants on functions only she uses, and the overall mean is the mean of the eight composites. Averaging every response together instead gives 4.55 rather than 4.53, with the same interpretation and ranking. Table 13A works one weighted mean in full, WM = Σ(f × w) / N.</w:t>
      </w:r>
    </w:p>
    <w:p>
      <w:pPr>
        <w:keepNext/>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13A.</w:t>
      </w:r>
      <w:r>
        <w:rPr>
          <w:rFonts w:ascii="Arial" w:cs="Arial" w:eastAsia="Arial" w:hAnsi="Arial"/>
          <w:b/>
          <w:bCs/>
          <w:sz w:val="24"/>
          <w:szCs w:val="24"/>
        </w:rPr>
        <w:t xml:space="preserve"> Worked computation of a weighted mean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 WM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13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Results by Characteristic</w:t>
      </w:r>
    </w:p>
    <w:p>
      <w:pPr>
        <w:spacing w:after="0" w:before="0" w:line="480" w:lineRule="auto"/>
        <w:ind w:firstLine="720"/>
        <w:jc w:val="both"/>
      </w:pPr>
      <w:r>
        <w:rPr>
          <w:rFonts w:ascii="Arial" w:cs="Arial" w:eastAsia="Arial" w:hAnsi="Arial"/>
          <w:b w:val="false"/>
          <w:bCs w:val="false"/>
          <w:sz w:val="24"/>
          <w:szCs w:val="24"/>
        </w:rPr>
        <w:t xml:space="preserve">Table 22 summarizes the result for each characteristic; the rating of every item by every group is in Appendix M (Tables M-2 to M-17, ratings and measured evidence for each characteristic).</w:t>
      </w:r>
    </w:p>
    <w:p>
      <w:pPr>
        <w:keepNext/>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and no characteristic, and no group mean, fell below High Quality. This is the range Canlas et al. (2026) report for a Philippine dormitory system rated by the same kinds of respondents, tenants, administrators and IT professionals; here, each rating is also read beside the measured evidence for its characteristic (Section 4.4.5).</w:t>
      </w:r>
    </w:p>
    <w:p>
      <w:pPr>
        <w:spacing w:after="0" w:before="0" w:line="480" w:lineRule="auto"/>
        <w:ind w:firstLine="720"/>
        <w:jc w:val="both"/>
      </w:pPr>
      <w:r>
        <w:rPr>
          <w:rFonts w:ascii="Arial" w:cs="Arial" w:eastAsia="Arial" w:hAnsi="Arial"/>
          <w:b/>
          <w:bCs/>
          <w:sz w:val="24"/>
          <w:szCs w:val="24"/>
        </w:rPr>
        <w:t xml:space="preserve">Portability</w:t>
      </w:r>
      <w:r>
        <w:rPr>
          <w:rFonts w:ascii="Arial" w:cs="Arial" w:eastAsia="Arial" w:hAnsi="Arial"/>
          <w:b w:val="false"/>
          <w:bCs w:val="false"/>
          <w:sz w:val="24"/>
          <w:szCs w:val="24"/>
        </w:rPr>
        <w:t xml:space="preserve"> was rated highest (4.89), as one code base installed on an Android phone and an iPhone without an app store.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followed (4.86): every feature the objective names is present, and 96 to 100 per cent of the executed checks of correctness gave the right result. </w:t>
      </w:r>
      <w:r>
        <w:rPr>
          <w:rFonts w:ascii="Arial" w:cs="Arial" w:eastAsia="Arial" w:hAnsi="Arial"/>
          <w:b/>
          <w:bCs/>
          <w:sz w:val="24"/>
          <w:szCs w:val="24"/>
        </w:rPr>
        <w:t xml:space="preserve">Security</w:t>
      </w:r>
      <w:r>
        <w:rPr>
          <w:rFonts w:ascii="Arial" w:cs="Arial" w:eastAsia="Arial" w:hAnsi="Arial"/>
          <w:b w:val="false"/>
          <w:bCs w:val="false"/>
          <w:sz w:val="24"/>
          <w:szCs w:val="24"/>
        </w:rPr>
        <w:t xml:space="preserve"> (4.70) is discussed in Section 4.4.4. </w:t>
      </w:r>
      <w:r>
        <w:rPr>
          <w:rFonts w:ascii="Arial" w:cs="Arial" w:eastAsia="Arial" w:hAnsi="Arial"/>
          <w:b/>
          <w:bCs/>
          <w:sz w:val="24"/>
          <w:szCs w:val="24"/>
        </w:rPr>
        <w:t xml:space="preserve">Compatibility</w:t>
      </w:r>
      <w:r>
        <w:rPr>
          <w:rFonts w:ascii="Arial" w:cs="Arial" w:eastAsia="Arial" w:hAnsi="Arial"/>
          <w:b w:val="false"/>
          <w:bCs w:val="false"/>
          <w:sz w:val="24"/>
          <w:szCs w:val="24"/>
        </w:rPr>
        <w:t xml:space="preserve"> (4.67) agrees with the browser matrix, on which every combination tried worked.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(4.62) agrees most closely with the testing: the technical evaluator's 3 for handling a failed request without presenting incorrect data names the one defect the testing found, the ₱0 of step 23b, since resolved.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(4.42) matches the measurements: no failed request, but screens of two to three seconds on a phone.</w:t>
      </w:r>
    </w:p>
    <w:p>
      <w:pPr>
        <w:spacing w:after="0" w:before="0" w:line="480" w:lineRule="auto"/>
        <w:ind w:firstLine="720"/>
        <w:jc w:val="both"/>
      </w:pPr>
      <w:r>
        <w:rPr>
          <w:rFonts w:ascii="Arial" w:cs="Arial" w:eastAsia="Arial" w:hAnsi="Arial"/>
          <w:b w:val="false"/>
          <w:bCs w:val="false"/>
          <w:sz w:val="24"/>
          <w:szCs w:val="24"/>
        </w:rPr>
        <w:t xml:space="preserve">The two lowest were rated High Quality. </w:t>
      </w:r>
      <w:r>
        <w:rPr>
          <w:rFonts w:ascii="Arial" w:cs="Arial" w:eastAsia="Arial" w:hAnsi="Arial"/>
          <w:b/>
          <w:bCs/>
          <w:sz w:val="24"/>
          <w:szCs w:val="24"/>
        </w:rPr>
        <w:t xml:space="preserve">Usability (4.12)</w:t>
      </w:r>
      <w:r>
        <w:rPr>
          <w:rFonts w:ascii="Arial" w:cs="Arial" w:eastAsia="Arial" w:hAnsi="Arial"/>
          <w:b w:val="false"/>
          <w:bCs w:val="false"/>
          <w:sz w:val="24"/>
          <w:szCs w:val="24"/>
        </w:rPr>
        <w:t xml:space="preserve"> is the lowest of the characteristics all four groups rated. The prospective tenant gave every item 5 and the tenants 4.47, but the owner gave 3 to telling what each screen is for and to learning the system without help, and the technical evaluator gave 3 to all five items. The evaluator answered before the fourteen changes made for that evaluator's group, eleven of them about usability, and the owner learned the system with each step read to her (Section 4.3.4). Here the rating and the measurement disagree and both are right: nine tasks in ten were done without help and 76 accessibility scans of 19 screens found no violation once one defect on three screens was corrected, but those measure whether a task can be done and whether a screen is built correctly, not how easily a first-time user finds the way. </w:t>
      </w:r>
      <w:r>
        <w:rPr>
          <w:rFonts w:ascii="Arial" w:cs="Arial" w:eastAsia="Arial" w:hAnsi="Arial"/>
          <w:b/>
          <w:bCs/>
          <w:sz w:val="24"/>
          <w:szCs w:val="24"/>
        </w:rPr>
        <w:t xml:space="preserve">Maintainability (4.00)</w:t>
      </w:r>
      <w:r>
        <w:rPr>
          <w:rFonts w:ascii="Arial" w:cs="Arial" w:eastAsia="Arial" w:hAnsi="Arial"/>
          <w:b w:val="false"/>
          <w:bCs w:val="false"/>
          <w:sz w:val="24"/>
          <w:szCs w:val="24"/>
        </w:rPr>
        <w:t xml:space="preserve"> is the lowest composite and rests on one respondent, who gave every item 4 after reviewing the running system, without inspecting its source code, so here the measurement, read from the code itself, carries more weight than the rating. The measurement agrees: the system can be checked as a whole on every change, but three database calls in four are written inside the request handlers, so the rules for one record are spread across the handlers that touch it. Both are taken up in Chapter 5, recommendation 6.</w:t>
      </w:r>
    </w:p>
    <w:p>
      <w:pPr>
        <w:spacing w:after="120" w:before="240" w:line="480" w:lineRule="auto"/>
        <w:jc w:val="left"/>
      </w:pPr>
      <w:r>
        <w:rPr>
          <w:rFonts w:ascii="Arial" w:cs="Arial" w:eastAsia="Arial" w:hAnsi="Arial"/>
          <w:b/>
          <w:bCs/>
          <w:sz w:val="24"/>
          <w:szCs w:val="24"/>
        </w:rPr>
        <w:t xml:space="preserve">4.4.4 Security</w:t>
      </w:r>
    </w:p>
    <w:p>
      <w:pPr>
        <w:spacing w:after="0" w:before="0" w:line="480" w:lineRule="auto"/>
        <w:ind w:firstLine="720"/>
        <w:jc w:val="both"/>
      </w:pPr>
      <w:r>
        <w:rPr>
          <w:rFonts w:ascii="Arial" w:cs="Arial" w:eastAsia="Arial" w:hAnsi="Arial"/>
          <w:b w:val="false"/>
          <w:bCs w:val="false"/>
          <w:sz w:val="24"/>
          <w:szCs w:val="24"/>
        </w:rPr>
        <w:t xml:space="preserve">The owner gave every Security item 5. The technical evaluator gave 5 to role restriction, to a tenant being kept out of administrative data and to the audit trail, 4 to authentication and session handling, which agrees with two low-risk session weaknesses the code review accepted, and 3 to the handling of credentials, for which the measured evidence gives no cause and the form gave no reason. Three passive external scans graded the site </w:t>
      </w:r>
      <w:r>
        <w:rPr>
          <w:rFonts w:ascii="Arial" w:cs="Arial" w:eastAsia="Arial" w:hAnsi="Arial"/>
          <w:b/>
          <w:bCs/>
          <w:sz w:val="24"/>
          <w:szCs w:val="24"/>
        </w:rPr>
        <w:t xml:space="preserve">A+</w:t>
      </w:r>
      <w:r>
        <w:rPr>
          <w:rFonts w:ascii="Arial" w:cs="Arial" w:eastAsia="Arial" w:hAnsi="Arial"/>
          <w:b w:val="false"/>
          <w:bCs w:val="false"/>
          <w:sz w:val="24"/>
          <w:szCs w:val="24"/>
        </w:rPr>
        <w:t xml:space="preserve">: Qualys SSL Labs, Mozilla HTTP Observatory (all 12 tests passed once the Content Security Policy was enforced) and securityheaders.com, on 29 and 30 September 2026. Twelve checks by hand passed, among them an account locking after five wrong passwords, no personal data behind the Back button after signing out, and another tenant's repair answering "not found". A review of all 71 request handlers on 2 October found no high-severity problem, and Supabase's security advisor raised no warning on 5 October. Two weaknesses remain by design. The sign-in token is kept in the browser's storage, where an injected script could read it, which the enforced Content Security Policy and the absence of any raw HTML on the screens stand against; and sign-in takes a password only, with no second factor even for the administrator. Both are left to Chapter 5, recommendation 3.</w:t>
      </w:r>
    </w:p>
    <w:p>
      <w:pPr>
        <w:spacing w:after="120" w:before="240" w:line="480" w:lineRule="auto"/>
        <w:jc w:val="left"/>
      </w:pPr>
      <w:r>
        <w:rPr>
          <w:rFonts w:ascii="Arial" w:cs="Arial" w:eastAsia="Arial" w:hAnsi="Arial"/>
          <w:b/>
          <w:bCs/>
          <w:sz w:val="24"/>
          <w:szCs w:val="24"/>
        </w:rPr>
        <w:t xml:space="preserve">4.4.5 Measured and Rated Evidence Together</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and twenty-five are rated by at least one survey item; two, user interface aesthetics and reusability, have neither, and no conclusion is drawn about them.</w:t>
      </w:r>
    </w:p>
    <w:p>
      <w:pPr>
        <w:keepNext/>
        <w:spacing w:after="120" w:before="360" w:line="480" w:lineRule="auto"/>
        <w:jc w:val="left"/>
      </w:pPr>
      <w:r>
        <w:rPr>
          <w:rFonts w:ascii="Arial" w:cs="Arial" w:eastAsia="Arial" w:hAnsi="Arial"/>
          <w:b/>
          <w:bCs/>
          <w:sz w:val="24"/>
          <w:szCs w:val="24"/>
        </w:rPr>
        <w:t xml:space="preserve">Table 22A.</w:t>
      </w:r>
      <w:r>
        <w:rPr>
          <w:rFonts w:ascii="Arial" w:cs="Arial" w:eastAsia="Arial" w:hAnsi="Arial"/>
          <w:b/>
          <w:bCs/>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1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3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(Appendix M)</w:t>
            </w:r>
          </w:p>
        </w:tc>
        <w:tc>
          <w:tcPr>
            <w:tcW w:type="dxa" w:w="114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 cent of correctness checks passed</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 cent of tasks without help; 0 accessibility violations in 76 scans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the two offline defects found on real devices, a ₱0 shown for a figure that could not load and a late message, both passed on re-test, 13 October</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1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3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38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4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and they disagree on Usability for the reason given in Section 4.4.3: passing measures show what was measured. Quality in use, which ISO/IEC 25010:2011 defines as the quality experienced by users in their own context, was measured by the acceptance test of Section 4.3.7 in the manner of ISO/IEC 25022: effectiveness, all 34 attempted tasks completed, 31 of them without help; efficiency, a median of 60 seconds a task with 0.2 wrong turns; and context coverage, the owner's laptop, an Android phone and an iPhone (Appendix M, Table M-20).</w:t>
      </w:r>
    </w:p>
    <w:p>
      <w:pPr>
        <w:spacing w:after="120" w:before="240" w:line="480" w:lineRule="auto"/>
        <w:jc w:val="left"/>
      </w:pPr>
      <w:r>
        <w:rPr>
          <w:rFonts w:ascii="Arial" w:cs="Arial" w:eastAsia="Arial" w:hAnsi="Arial"/>
          <w:b/>
          <w:bCs/>
          <w:sz w:val="24"/>
          <w:szCs w:val="24"/>
        </w:rPr>
        <w:t xml:space="preserve">4.4.6 Optimization in Response to the Evaluation</w:t>
      </w: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groups the 51 changes made in response to feedback and testing by where each finding came from; every change, with its finding and the characteristic it serves, is in Appendix M, Table M-18. Most were made the day the finding arrived, and each of the technical evaluators' fourteen comments of 3 October 2026 was addressed on the live system by 5 October.</w:t>
      </w:r>
    </w:p>
    <w:p>
      <w:pPr>
        <w:keepNext/>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 by source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6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9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Changes</w:t>
            </w:r>
          </w:p>
        </w:tc>
        <w:tc>
          <w:tcPr>
            <w:tcW w:type="dxa" w:w="2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served</w:t>
            </w:r>
          </w:p>
        </w:tc>
        <w:tc>
          <w:tcPr>
            <w:tcW w:type="dxa" w:w="27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Examples of what was found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review on a phone, 23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that touch screens never showed; a tenant register wider than the phone</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 Usability, Security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history showing no payments; a placeholder move-in date for every tenant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Development reviews, 26 to 28 Sep 2026 (performance, requirements, team, client, mobile, checks, final review)</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Reliability, Performance Efficiency,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for an empty unit; page names that differed between menu, tab and heading</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and Lighthouse, 29 and 30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 Performance Efficiency,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shared starting password for every tenant; no way back for a forgotten password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30 Sep 2026 (owner's use, walkthrough, Android phone)</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not reaching the other person until a refresh; ₱0 shown with no connection</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Evaluation account and security reviews, 2 and 7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from another website answered with a server error; breached passwords accepted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review, 3 Oct 2026 (all addressed by 5 Oct)</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Security,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in a pop-up with an Apply button; no way for a tenant to withdraw a request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survey, 30 Sep to 4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 Functional Suitability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items rated 3 before the evaluators' changes; a tenant asking to see the deposit</w:t>
            </w:r>
          </w:p>
        </w:tc>
      </w:tr>
      <w:tr>
        <w:trPr>
          <w:cantSplit/>
        </w:trPr>
        <w:tc>
          <w:tcPr>
            <w:tcW w:type="dxa" w:w="26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51</w:t>
            </w:r>
          </w:p>
        </w:tc>
        <w:tc>
          <w:tcPr>
            <w:tcW w:type="dxa" w:w="2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7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activity in Sections 4.3 and 4.4, by their highest severity and what became of them: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an exploitable weakness;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keepNext/>
        <w:spacing w:after="120" w:before="360" w:line="480" w:lineRule="auto"/>
        <w:jc w:val="left"/>
      </w:pPr>
      <w:r>
        <w:rPr>
          <w:rFonts w:ascii="Arial" w:cs="Arial" w:eastAsia="Arial" w:hAnsi="Arial"/>
          <w:b/>
          <w:bCs/>
          <w:sz w:val="24"/>
          <w:szCs w:val="24"/>
        </w:rPr>
        <w:t xml:space="preserve">Table 23A.</w:t>
      </w:r>
      <w:r>
        <w:rPr>
          <w:rFonts w:ascii="Arial" w:cs="Arial" w:eastAsia="Arial" w:hAnsi="Arial"/>
          <w:b/>
          <w:bCs/>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39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(Appendix M, Table M-1)</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passed when re-tested on the owner's laptop, 13 October</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on time when re-tested on the same phone, 13 October</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39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32</w:t>
            </w:r>
          </w:p>
        </w:tc>
        <w:tc>
          <w:tcPr>
            <w:tcW w:type="dxa" w:w="2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was critical. The three accepted items are low-risk session weaknesses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keepNext/>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9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administrator's laptop, an Acer Nitro V 15 with Chrome; the team's laptop, a Dell XPS 15 on Windows 11 with Chrome 154, Edge and Firefox 157 (Table 11, §4.4.3)</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9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6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29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42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every tenant account prepared with its own starting password on 29 September 2026; the owner guided through the system, and the owner and three tenants using it on their own accounts, on 30 September 2026 (Section 4.3.7); the first change taken from the owner's own practice, acknowledgement receipts for payments with no invoice number, made on 1 October 2026</w:t>
            </w:r>
          </w:p>
        </w:tc>
      </w:tr>
      <w:tr>
        <w:trPr>
          <w:cantSplit/>
        </w:trPr>
        <w:tc>
          <w:tcPr>
            <w:tcW w:type="dxa" w:w="146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29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42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2026-10-13T06:36:33.269Z</dcterms:created>
  <dcterms:modified xsi:type="dcterms:W3CDTF">2026-10-13T06:36:33.270Z</dcterms:modified>
</cp:coreProperties>
</file>

<file path=docProps/custom.xml><?xml version="1.0" encoding="utf-8"?>
<Properties xmlns="http://schemas.openxmlformats.org/officeDocument/2006/custom-properties" xmlns:vt="http://schemas.openxmlformats.org/officeDocument/2006/docPropsVTypes"/>
</file>