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empirical results of the study and discusses their operational implications. It is structured in strict accordance with the four specific research objectives outlined in Section 1.2: the analysis of existing management practices and operational requirements (Section 4.1), the architectural and functional development of the Hivelet system (Section 4.2), the pilot testing of the system across automated and human verification channels (Section 4.3), and the software quality evaluation and subsequent optimization based on the ISO/IEC 25010 model (Section 4.4). The chapter concludes with the comprehensive deployment plan and risk mitigation strategies (Section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sz w:val="24"/>
          <w:szCs w:val="24"/>
        </w:rPr>
        <w:t xml:space="preserve">The target facility, the Fe Galang Da Silva Boarding House, comprises 33 rentable units categorized into five distinct architectural clusters: the main Boarding House (22 units), the Back Apartment (5 units), the Front Apartment (3 units), the Penthouse (1 unit), and Linda (2 units). The physical units are arranged across three residential floors and a rooftop penthouse level, distributed as 11, 11, 10, and 1 unit per floor, respectively. At the time of this evaluation, 32 of the 33 rentable units are actively occupied. These property dimensions were confirmed through direct on-site interviews with the property owner on 13 September 2026 and are programmatically validated against live database records during automated verification routines.</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Prior to the deployment of Hivelet, administrative operations were executed using an unintegrated spreadsheet workbook consisting of two worksheets—a Monthly Income Report and a Monthly Expenses Report—stored on removable flash media, supplemented by physical official receipt (OR) booklets. Rental collections were transacted exclusively in physical cash on premises. Tenant maintenance notifications and general inquiries were communicated informally through messaging applications or via ad-hoc verbal exchanges. Table 5 presents a comparative analysis of baseline practices against the operational deficiencies identified during the field analysis.</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2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8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2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8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2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official receipts written in a paper book</w:t>
            </w:r>
          </w:p>
        </w:tc>
        <w:tc>
          <w:tcPr>
            <w:tcW w:type="dxa" w:w="389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 receipt number against the book; one file on removable storage is the only copy</w:t>
            </w:r>
          </w:p>
        </w:tc>
      </w:tr>
      <w:tr>
        <w:trPr>
          <w:cantSplit/>
        </w:trPr>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2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8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26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conducted via informal walk-ins, phone calls, and verbal referrals</w:t>
            </w:r>
          </w:p>
        </w:tc>
        <w:tc>
          <w:tcPr>
            <w:tcW w:type="dxa" w:w="38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structured record of prospective tenant enquiries or unit availability history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empirical necessity for centralizing records was evidenced directly during the transcription and migration of the owner’s historical workbook, which contained 937 income entries and 1,327 property-area expense allocations spanning historical operations. Programmatic data ingestion revealed substantial structural anomalies that had remained latent within the spreadsheet:</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Missing Tenancy Timelines:</w:t>
      </w:r>
      <w:r>
        <w:rPr>
          <w:rFonts w:ascii="Arial" w:cs="Arial" w:eastAsia="Arial" w:hAnsi="Arial"/>
          <w:b w:val="false"/>
          <w:bCs w:val="false"/>
          <w:sz w:val="24"/>
          <w:szCs w:val="24"/>
        </w:rPr>
        <w:t xml:space="preserve"> A total of 402 out of the 937 historical income records (42.9%) lacked anniversary dates and security deposit notations.</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Duplicate Official Receipts:</w:t>
      </w:r>
      <w:r>
        <w:rPr>
          <w:rFonts w:ascii="Arial" w:cs="Arial" w:eastAsia="Arial" w:hAnsi="Arial"/>
          <w:b w:val="false"/>
          <w:bCs w:val="false"/>
          <w:sz w:val="24"/>
          <w:szCs w:val="24"/>
        </w:rPr>
        <w:t xml:space="preserve"> Five distinct official receipt numbers had each been assigned to two separate financial transactions. In one critical instance, the exact same receipt number was issued to two different tenants on the same calendar day.</w:t>
      </w:r>
    </w:p>
    <w:p>
      <w:pPr>
        <w:spacing w:after="0" w:before="0" w:line="480" w:lineRule="auto"/>
        <w:ind w:firstLine="720"/>
        <w:jc w:val="both"/>
      </w:pPr>
      <w:r>
        <w:rPr>
          <w:rFonts w:ascii="Arial" w:cs="Arial" w:eastAsia="Arial" w:hAnsi="Arial"/>
          <w:b w:val="false"/>
          <w:bCs w:val="false"/>
          <w:sz w:val="24"/>
          <w:szCs w:val="24"/>
        </w:rPr>
        <w:t xml:space="preserve">These findings do not signify personal negligence on the part of the property owner; rather, they reflect the inherent vulnerability of fragmented, uncoupled record-keeping mechanisms. Crucially, the operational vulnerabilities were not localized to a single business function. Each domain maintained an isolated, informal record with no mechanism for relational cross-verification, aligning directly with the property management fragmentation literature cited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 Derived from the Operational Analysis</w:t>
      </w:r>
    </w:p>
    <w:p>
      <w:pPr>
        <w:spacing w:after="0" w:before="0" w:line="480" w:lineRule="auto"/>
        <w:ind w:firstLine="720"/>
        <w:jc w:val="both"/>
      </w:pPr>
      <w:r>
        <w:rPr>
          <w:rFonts w:ascii="Arial" w:cs="Arial" w:eastAsia="Arial" w:hAnsi="Arial"/>
          <w:b w:val="false"/>
          <w:bCs w:val="false"/>
          <w:sz w:val="24"/>
          <w:szCs w:val="24"/>
        </w:rPr>
        <w:t xml:space="preserve">The operational analysis yielded 44 Functional Requirements (FRs) and 49 Business Rules (BRs). To ensure systematic accountability, every requirement was mapped to its concrete architectural implementation in a formal Requirements Traceability Matrix, while business rules were cataloged in a Business Rule Register.</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6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real receipt numbers, reproduce the owner's reports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3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6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Operational constraints were confirmed through direct client consultations. The owner confirmed that monthly rental obligations become overdue the day following their designated due date, that unit pricing is determined manually without automated annual escalations, and that tenant profiles do not require email addresses for operational validity. On 20 September 2026, the owner verified the current base rental rates for all 33 units, establishing an exact match against physical receipts.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sz w:val="24"/>
          <w:szCs w:val="24"/>
        </w:rPr>
        <w:t xml:space="preserve">Hivelet was developed following an Agile Software Development Life Cycle (SDLC) across three successive iterations. Iteration 1 (24 July – 28 August 2026) established the core architecture and ingested the historical spreadsheet records. Iteration 2 (12 – 14 September 2026) reconciled documentation with the code base, rectified 22 operational discrepancies, and implemented automated regression check suites. Iteration 3 finalized business workflows, client review feedback, and security hardening.</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Hivelet utilizes a decoupled, multi-tier web architecture designed for security, maintainability, and mobile accessibility. Table 7 summarizes the technical stack.</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6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1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8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6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1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Vite 5.4, Tailwind CSS 4.0</w:t>
            </w:r>
          </w:p>
        </w:tc>
        <w:tc>
          <w:tcPr>
            <w:tcW w:type="dxa" w:w="38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 single-page client interface for public, tenants, and admin</w:t>
            </w:r>
          </w:p>
        </w:tc>
      </w:tr>
      <w:tr>
        <w:trPr>
          <w:cantSplit/>
        </w:trPr>
        <w:tc>
          <w:tcPr>
            <w:tcW w:type="dxa" w:w="16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1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8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RESTful API, business rule enforcement, and computational logic</w:t>
            </w:r>
          </w:p>
        </w:tc>
      </w:tr>
      <w:tr>
        <w:trPr>
          <w:cantSplit/>
        </w:trPr>
        <w:tc>
          <w:tcPr>
            <w:tcW w:type="dxa" w:w="16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1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8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Relational data persistence with row-level security and triggers</w:t>
            </w:r>
          </w:p>
        </w:tc>
      </w:tr>
      <w:tr>
        <w:trPr>
          <w:cantSplit/>
        </w:trPr>
        <w:tc>
          <w:tcPr>
            <w:tcW w:type="dxa" w:w="16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1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8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Optional digital payment processing with HMAC signature validation</w:t>
            </w:r>
          </w:p>
        </w:tc>
      </w:tr>
      <w:tr>
        <w:trPr>
          <w:cantSplit/>
        </w:trPr>
        <w:tc>
          <w:tcPr>
            <w:tcW w:type="dxa" w:w="16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1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8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Service worker caching and installability on mobile viewports</w:t>
            </w:r>
          </w:p>
        </w:tc>
      </w:tr>
      <w:tr>
        <w:trPr>
          <w:cantSplit/>
        </w:trPr>
        <w:tc>
          <w:tcPr>
            <w:tcW w:type="dxa" w:w="16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1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80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Cloud hosting and continuous deployment via Git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Schema changes and data manipulations are managed strictly through 59 version-controlled, numbered SQL migration scripts, providing a fully auditable database evolution history.</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The system models all 33 units across their respective floors and clusters. To prevent undocumented rate alterations, a PostgreSQL database trigger automatically writes historical rate changes, timestamps, and modifier IDs to an immutable price history log. Tenancy records capture active occupants, formal move-in dates, and emergency contacts. </w:t>
      </w:r>
      <w:r>
        <w:rPr>
          <w:rFonts w:ascii="Arial" w:cs="Arial" w:eastAsia="Arial" w:hAnsi="Arial"/>
          <w:b w:val="false"/>
          <w:bCs w:val="false"/>
          <w:i/>
          <w:iCs/>
          <w:sz w:val="24"/>
          <w:szCs w:val="24"/>
        </w:rPr>
        <w:t xml:space="preserve">(Figure 4.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catalogue provides real-time unit availability and pricing without exposing tenant identities. Prospective occupants submit structured booking inquiries linked to specific rooms. When an inquiry is accepted by the administrator, the system initiates onboarding while maintaining an audit link back to the originating inquiry. Reserved units remain visible to the public but dynamically block new booking submissions. </w:t>
      </w:r>
      <w:r>
        <w:rPr>
          <w:rFonts w:ascii="Arial" w:cs="Arial" w:eastAsia="Arial" w:hAnsi="Arial"/>
          <w:b w:val="false"/>
          <w:bCs w:val="false"/>
          <w:i/>
          <w:iCs/>
          <w:sz w:val="24"/>
          <w:szCs w:val="24"/>
        </w:rPr>
        <w:t xml:space="preserve">(Figure 5. Public Unit Catalogue and Enquiry Form)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Monthly billing derives charges using business rule logic: total bill equals room rate plus water utility charges. Water is calculated as the active occupant count multiplied by the configured rate (₱200.00 per occupant), with the exception of the two Linda units, which are billed a fixed water charge and excluded from property grand totals per historical practice. On-site cash receipts are recorded against official receipt numbers. Online transactions processed through Adyen with GCash enter an intermediate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status and do not adjust tenant balances until explicitly verified by the administrator. Financial ledgers are rendered in two primary views—</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—mirroring the owner's spreadsheet structure and supporting native Excel export. The system does not calculate electricity charges, as each unit possesses an independent electric utility meter paid directly by the tenant. </w:t>
      </w:r>
      <w:r>
        <w:rPr>
          <w:rFonts w:ascii="Arial" w:cs="Arial" w:eastAsia="Arial" w:hAnsi="Arial"/>
          <w:b w:val="false"/>
          <w:bCs w:val="false"/>
          <w:i/>
          <w:iCs/>
          <w:sz w:val="24"/>
          <w:szCs w:val="24"/>
        </w:rPr>
        <w:t xml:space="preserve">(Figure 6. The Monthly Income Ledger)</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Tenants log maintenance requests with title, description, category, and photographic attachments. The administrator tracks ticket progression from </w:t>
      </w:r>
      <w:r>
        <w:rPr>
          <w:rFonts w:ascii="Arial" w:cs="Arial" w:eastAsia="Arial" w:hAnsi="Arial"/>
          <w:b w:val="false"/>
          <w:bCs w:val="false"/>
          <w:i/>
          <w:iCs/>
          <w:sz w:val="24"/>
          <w:szCs w:val="24"/>
        </w:rPr>
        <w:t xml:space="preserve">Submitted</w:t>
      </w:r>
      <w:r>
        <w:rPr>
          <w:rFonts w:ascii="Arial" w:cs="Arial" w:eastAsia="Arial" w:hAnsi="Arial"/>
          <w:b w:val="false"/>
          <w:bCs w:val="false"/>
          <w:sz w:val="24"/>
          <w:szCs w:val="24"/>
        </w:rPr>
        <w:t xml:space="preserve"> to </w:t>
      </w:r>
      <w:r>
        <w:rPr>
          <w:rFonts w:ascii="Arial" w:cs="Arial" w:eastAsia="Arial" w:hAnsi="Arial"/>
          <w:b w:val="false"/>
          <w:bCs w:val="false"/>
          <w:i/>
          <w:iCs/>
          <w:sz w:val="24"/>
          <w:szCs w:val="24"/>
        </w:rPr>
        <w:t xml:space="preserve">In Progress</w:t>
      </w:r>
      <w:r>
        <w:rPr>
          <w:rFonts w:ascii="Arial" w:cs="Arial" w:eastAsia="Arial" w:hAnsi="Arial"/>
          <w:b w:val="false"/>
          <w:bCs w:val="false"/>
          <w:sz w:val="24"/>
          <w:szCs w:val="24"/>
        </w:rPr>
        <w:t xml:space="preserve"> and </w:t>
      </w:r>
      <w:r>
        <w:rPr>
          <w:rFonts w:ascii="Arial" w:cs="Arial" w:eastAsia="Arial" w:hAnsi="Arial"/>
          <w:b w:val="false"/>
          <w:bCs w:val="false"/>
          <w:i/>
          <w:iCs/>
          <w:sz w:val="24"/>
          <w:szCs w:val="24"/>
        </w:rPr>
        <w:t xml:space="preserve">Resolved</w:t>
      </w:r>
      <w:r>
        <w:rPr>
          <w:rFonts w:ascii="Arial" w:cs="Arial" w:eastAsia="Arial" w:hAnsi="Arial"/>
          <w:b w:val="false"/>
          <w:bCs w:val="false"/>
          <w:sz w:val="24"/>
          <w:szCs w:val="24"/>
        </w:rPr>
        <w:t xml:space="preserve">. Ticket closure is restricted exclusively to the administrator role, triggering an automated in-app notification to the tenant. The notification subsystem dispatches real-time alerts for payment verifications, rejections, and administrative inquiry updates. </w:t>
      </w:r>
      <w:r>
        <w:rPr>
          <w:rFonts w:ascii="Arial" w:cs="Arial" w:eastAsia="Arial" w:hAnsi="Arial"/>
          <w:b w:val="false"/>
          <w:bCs w:val="false"/>
          <w:i/>
          <w:iCs/>
          <w:sz w:val="24"/>
          <w:szCs w:val="24"/>
        </w:rPr>
        <w:t xml:space="preserve">(Figure 7. Maintenance Requests Board)</w:t>
      </w:r>
    </w:p>
    <w:p>
      <w:pPr>
        <w:spacing w:after="120" w:before="240" w:line="480" w:lineRule="auto"/>
        <w:jc w:val="left"/>
      </w:pPr>
      <w:r>
        <w:rPr>
          <w:rFonts w:ascii="Arial" w:cs="Arial" w:eastAsia="Arial" w:hAnsi="Arial"/>
          <w:b/>
          <w:bCs/>
          <w:sz w:val="24"/>
          <w:szCs w:val="24"/>
        </w:rPr>
        <w:t xml:space="preserve">4.2.6 Role-Based Access Control and Security</w:t>
      </w:r>
    </w:p>
    <w:p>
      <w:pPr>
        <w:spacing w:after="0" w:before="0" w:line="480" w:lineRule="auto"/>
        <w:ind w:firstLine="720"/>
        <w:jc w:val="both"/>
      </w:pPr>
      <w:r>
        <w:rPr>
          <w:rFonts w:ascii="Arial" w:cs="Arial" w:eastAsia="Arial" w:hAnsi="Arial"/>
          <w:b w:val="false"/>
          <w:bCs w:val="false"/>
          <w:sz w:val="24"/>
          <w:szCs w:val="24"/>
        </w:rPr>
        <w:t xml:space="preserve">Access permissions are strictly governed across three principal roles: Public/Prospect, Tenant, and Administrator. Access control is enforced at both the API routing layer via permission middleware and at the data storage layer through PostgreSQL Row-Level Security (RLS) enabled across all 22 operational tables. Passwords are encrypted using salted bcrypt hashing. Anti-brute-force account lockouts activate upon consecutive failed authentication attempts. Administrative actions are logged to an append-only audit trail protected against update or deletion. Payment webhooks require cryptographic HMAC signature validation.</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utilizes a service worker and web app manifest, enabling the system to be installed directly onto Android and iOS home screens without third-party app stores. The responsive layout adapts dynamically: multi-column tabular ledgers on desktop environments transform into stacked card views on mobile devices. Sensitive financial records are never cached offline on client storage, enforcing data security in compliance with Section 1.4. </w:t>
      </w:r>
      <w:r>
        <w:rPr>
          <w:rFonts w:ascii="Arial" w:cs="Arial" w:eastAsia="Arial" w:hAnsi="Arial"/>
          <w:b w:val="false"/>
          <w:bCs w:val="false"/>
          <w:i/>
          <w:iCs/>
          <w:sz w:val="24"/>
          <w:szCs w:val="24"/>
        </w:rPr>
        <w:t xml:space="preserve">(Figure 8.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120" w:before="240" w:line="480" w:lineRule="auto"/>
        <w:jc w:val="left"/>
      </w:pPr>
      <w:r>
        <w:rPr>
          <w:rFonts w:ascii="Arial" w:cs="Arial" w:eastAsia="Arial" w:hAnsi="Arial"/>
          <w:b/>
          <w:bCs/>
          <w:sz w:val="24"/>
          <w:szCs w:val="24"/>
        </w:rPr>
        <w:t xml:space="preserve">4.3.1 Automated Verification Results</w:t>
      </w:r>
    </w:p>
    <w:p>
      <w:pPr>
        <w:spacing w:after="0" w:before="0" w:line="480" w:lineRule="auto"/>
        <w:ind w:firstLine="720"/>
        <w:jc w:val="both"/>
      </w:pPr>
      <w:r>
        <w:rPr>
          <w:rFonts w:ascii="Arial" w:cs="Arial" w:eastAsia="Arial" w:hAnsi="Arial"/>
          <w:b w:val="false"/>
          <w:bCs w:val="false"/>
          <w:sz w:val="24"/>
          <w:szCs w:val="24"/>
        </w:rPr>
        <w:t xml:space="preserve">The engineering team constructed 20 automated check suites that execute against the operational system. Crucially, all suites operate strictly in a </w:t>
      </w:r>
      <w:r>
        <w:rPr>
          <w:rFonts w:ascii="Arial" w:cs="Arial" w:eastAsia="Arial" w:hAnsi="Arial"/>
          <w:b/>
          <w:bCs/>
          <w:sz w:val="24"/>
          <w:szCs w:val="24"/>
        </w:rPr>
        <w:t xml:space="preserve">read-only</w:t>
      </w:r>
      <w:r>
        <w:rPr>
          <w:rFonts w:ascii="Arial" w:cs="Arial" w:eastAsia="Arial" w:hAnsi="Arial"/>
          <w:b w:val="false"/>
          <w:bCs w:val="false"/>
          <w:sz w:val="24"/>
          <w:szCs w:val="24"/>
        </w:rPr>
        <w:t xml:space="preserve"> capacity, allowing verification against live production data without risking record corruption. The comprehensive test suite was executed on 28 September 2026, with </w:t>
      </w:r>
      <w:r>
        <w:rPr>
          <w:rFonts w:ascii="Arial" w:cs="Arial" w:eastAsia="Arial" w:hAnsi="Arial"/>
          <w:b/>
          <w:bCs/>
          <w:sz w:val="24"/>
          <w:szCs w:val="24"/>
        </w:rPr>
        <w:t xml:space="preserve">all 20 check suites passing</w:t>
      </w:r>
      <w:r>
        <w:rPr>
          <w:rFonts w:ascii="Arial" w:cs="Arial" w:eastAsia="Arial" w:hAnsi="Arial"/>
          <w:b w:val="false"/>
          <w:bCs w:val="false"/>
          <w:sz w:val="24"/>
          <w:szCs w:val="24"/>
        </w:rPr>
        <w:t xml:space="preserve">. Table 8 details the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(28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been active in production on Vercel since early September 2026. Key operational pilot events include: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System generated its first operational on-demand bill: ₱8,200.00 for Unit 1A (₱8,000 base rent plus ₱200 water for one occupant).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An on-site cash collection was logged and subsequently voided four minutes later, verifying that the void audit path successfully restored the ledger to its exact baseline.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26 September 2026:</w:t>
      </w:r>
      <w:r>
        <w:rPr>
          <w:rFonts w:ascii="Arial" w:cs="Arial" w:eastAsia="Arial" w:hAnsi="Arial"/>
          <w:b w:val="false"/>
          <w:bCs w:val="false"/>
          <w:sz w:val="24"/>
          <w:szCs w:val="24"/>
        </w:rPr>
        <w:t xml:space="preserve"> End-to-end testing of the Adyen GCash payment integration was completed following the resolution of Adyen acquirer configuration (Support Case 08657379). A test transaction generated a signed webhook, entered the Pending Verification queue, and preserved correct billing status upon administrative rejection.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26 September 2026:</w:t>
      </w:r>
      <w:r>
        <w:rPr>
          <w:rFonts w:ascii="Arial" w:cs="Arial" w:eastAsia="Arial" w:hAnsi="Arial"/>
          <w:b w:val="false"/>
          <w:bCs w:val="false"/>
          <w:sz w:val="24"/>
          <w:szCs w:val="24"/>
        </w:rPr>
        <w:t xml:space="preserve"> Migration 055 purged all 20 test payment records and demo billing artifacts after a database backup, restoring the ledger to the baseline 937 rows.</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Automated unit tests ensure code correctness but do not guarantee that UI components accurately render backend records. On 26 September 2026, the team audited every administrative screen and tenant interface against direct database queries. Table 9 presents the audit findings and the six latent discrepancies resolved during the procedure.</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2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3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2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3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2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water and garbage; collections by cluster</w:t>
            </w:r>
          </w:p>
        </w:tc>
        <w:tc>
          <w:tcPr>
            <w:tcW w:type="dxa" w:w="23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2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3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2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3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2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3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2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3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2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3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0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2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3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resolved defects encompassed: (1) tenant payment history omitting historical receipts, (2) personal and property expenses sharing a merged column, (3) default placeholder move-in dates misrepresenting tenancies, (4) initiated GCash checkouts erroneously labelled as recorded payments, (5) voided receipts appearing in tenant receipt lists, and (6) an erroneous calculation halving Boarding House remitted figures on screen.</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To validate all write pathways, a 26-step comprehensive functional walkthrough was formulated based on </w:t>
      </w:r>
      <w:r>
        <w:rPr>
          <w:rFonts w:ascii="Courier New" w:cs="Courier New" w:eastAsia="Courier New" w:hAnsi="Courier New"/>
          <w:b w:val="false"/>
          <w:bCs w:val="false"/>
          <w:sz w:val="22"/>
          <w:szCs w:val="22"/>
        </w:rPr>
        <w:t xml:space="preserve">TESTING_REHEARSAL.md</w:t>
      </w:r>
      <w:r>
        <w:rPr>
          <w:rFonts w:ascii="Arial" w:cs="Arial" w:eastAsia="Arial" w:hAnsi="Arial"/>
          <w:b w:val="false"/>
          <w:bCs w:val="false"/>
          <w:sz w:val="24"/>
          <w:szCs w:val="24"/>
        </w:rPr>
        <w:t xml:space="preserve">. The walkthrough is executed exclusively against the single vacant unit (</w:t>
      </w:r>
      <w:r>
        <w:rPr>
          <w:rFonts w:ascii="Arial" w:cs="Arial" w:eastAsia="Arial" w:hAnsi="Arial"/>
          <w:b/>
          <w:bCs/>
          <w:sz w:val="24"/>
          <w:szCs w:val="24"/>
        </w:rPr>
        <w:t xml:space="preserve">Penthouse `PH`</w:t>
      </w:r>
      <w:r>
        <w:rPr>
          <w:rFonts w:ascii="Arial" w:cs="Arial" w:eastAsia="Arial" w:hAnsi="Arial"/>
          <w:b w:val="false"/>
          <w:bCs w:val="false"/>
          <w:sz w:val="24"/>
          <w:szCs w:val="24"/>
        </w:rPr>
        <w:t xml:space="preserve">) to ensure zero risk to active tenancies.</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0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8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receipt REHEARSAL-001; bill marked settled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receipt prevention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identical receipt number is blocked with explicit alert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209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8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2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8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Operational response times were profiled across target hardware environments specified in Chapter 3.</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1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7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Workstation (Table 2)</w:t>
            </w:r>
          </w:p>
        </w:tc>
        <w:tc>
          <w:tcPr>
            <w:tcW w:type="dxa" w:w="27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 (Table 3)</w:t>
            </w:r>
          </w:p>
        </w:tc>
      </w:tr>
      <w:tr>
        <w:trPr>
          <w:cantSplit/>
        </w:trPr>
        <w:tc>
          <w:tcPr>
            <w:tcW w:type="dxa" w:w="31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7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1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7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1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7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1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7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19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7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3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sz w:val="24"/>
          <w:szCs w:val="24"/>
        </w:rPr>
        <w:t xml:space="preserve">The quality evaluation was conducted using a customized survey based on the ISO/IEC 25010 software product quality standard. Evaluators were segmented into three groups: the Property Owner, Tenants, and Technical Evaluators (IT faculty and developers).</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07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8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7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07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8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07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8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07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8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07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85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271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Survey responses were collected on a 5-point Likert scale. Composite characteristic scores are computed as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to prevent owner ratings from being diluted by the tenant sample size. Scores are interpreted per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8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3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7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7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8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3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3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3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3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3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3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31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1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73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8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3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3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3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31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1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73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8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3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3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3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3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3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31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1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73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8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31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1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73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5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0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8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8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40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8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40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8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40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8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0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5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5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40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8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40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8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0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5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5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40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8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40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8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40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8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0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5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55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0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2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6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38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7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8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6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3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3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3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3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38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9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2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6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3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3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3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38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9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2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6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3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3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3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3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38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9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2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6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38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9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2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8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3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7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7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3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75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3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75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3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8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3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75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8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3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75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35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7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7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3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3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3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3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35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7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3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3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3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35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7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3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3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3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35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7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35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7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7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35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7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as they possess access strictly to their authenticated tenant portal and cannot evaluate system-wide defensive mechanisms.</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55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8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8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4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4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4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4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0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5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4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4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4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4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4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55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0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55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2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5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evaluated Maintainability following inspection of the GitHub source code repository, migration files, and technical architecture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3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7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8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7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3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3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3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3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3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74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3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6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3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7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6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38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9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6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38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9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6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3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6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38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9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36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38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9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8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8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8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30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81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281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mandates system </w:t>
      </w:r>
      <w:r>
        <w:rPr>
          <w:rFonts w:ascii="Arial" w:cs="Arial" w:eastAsia="Arial" w:hAnsi="Arial"/>
          <w:b/>
          <w:bCs/>
          <w:sz w:val="24"/>
          <w:szCs w:val="24"/>
        </w:rPr>
        <w:t xml:space="preserve">optimization</w:t>
      </w:r>
      <w:r>
        <w:rPr>
          <w:rFonts w:ascii="Arial" w:cs="Arial" w:eastAsia="Arial" w:hAnsi="Arial"/>
          <w:b w:val="false"/>
          <w:bCs w:val="false"/>
          <w:sz w:val="24"/>
          <w:szCs w:val="24"/>
        </w:rPr>
        <w:t xml:space="preserve"> based on empirical evaluation. Table 23 documents the full record of optimizations implemented across testing phases.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8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28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45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28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45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8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8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Optimizations identified through statistical analysis of survey feedback</w:t>
            </w:r>
          </w:p>
        </w:tc>
        <w:tc>
          <w:tcPr>
            <w:tcW w:type="dxa" w:w="145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deployed to Vercel with database hosting on Supabase and payment integration via Adyen. System deployment is executed through five distinct stages managed with risk mitigation protocols.</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46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16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46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16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46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16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46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16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46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16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46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16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2026-09-28T13:09:03.047Z</dcterms:created>
  <dcterms:modified xsi:type="dcterms:W3CDTF">2026-09-28T13:09:03.048Z</dcterms:modified>
</cp:coreProperties>
</file>

<file path=docProps/custom.xml><?xml version="1.0" encoding="utf-8"?>
<Properties xmlns="http://schemas.openxmlformats.org/officeDocument/2006/custom-properties" xmlns:vt="http://schemas.openxmlformats.org/officeDocument/2006/docPropsVTypes"/>
</file>