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if the team runs the external security scans in </w:t>
      </w:r>
      <w:r>
        <w:rPr>
          <w:rFonts w:ascii="Courier New" w:cs="Courier New" w:eastAsia="Courier New" w:hAnsi="Courier New"/>
          <w:b w:val="false"/>
          <w:bCs w:val="false"/>
          <w:sz w:val="22"/>
          <w:szCs w:val="22"/>
        </w:rPr>
        <w:t xml:space="preserve">TEAM_TASKS_WE_DO_OURSELVES.md</w:t>
      </w:r>
      <w:r>
        <w:rPr>
          <w:rFonts w:ascii="Arial" w:cs="Arial" w:eastAsia="Arial" w:hAnsi="Arial"/>
          <w:b w:val="false"/>
          <w:bCs w:val="false"/>
          <w:sz w:val="24"/>
          <w:szCs w:val="24"/>
        </w:rPr>
        <w:t xml:space="preserve">, report their grades here as supporting evidence, with the date and tool name.]</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8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2026-09-29T16:00:16.605Z</dcterms:created>
  <dcterms:modified xsi:type="dcterms:W3CDTF">2026-09-29T16:00:16.606Z</dcterms:modified>
</cp:coreProperties>
</file>

<file path=docProps/custom.xml><?xml version="1.0" encoding="utf-8"?>
<Properties xmlns="http://schemas.openxmlformats.org/officeDocument/2006/custom-properties" xmlns:vt="http://schemas.openxmlformats.org/officeDocument/2006/docPropsVTypes"/>
</file>