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0" w:before="0" w:line="480" w:lineRule="auto"/>
        <w:ind w:firstLine="720"/>
        <w:jc w:val="both"/>
      </w:pPr>
      <w:r>
        <w:rPr>
          <w:rFonts w:ascii="Arial" w:cs="Arial" w:eastAsia="Arial" w:hAnsi="Arial"/>
          <w:b w:val="false"/>
          <w:bCs w:val="false"/>
          <w:sz w:val="24"/>
          <w:szCs w:val="24"/>
        </w:rPr>
        <w:t xml:space="preserve">The testing and the evaluation are aligned with one set of international standards, the ISO/IEC 25000 series on software quality (SQuaRE), as declared in Section 3.3. The quality model is that of ISO/IEC 25010:2011, which divides product quality into eight characteristics and thirty-one sub-characteristics and defines a separate model of quality in use. Each test in Section 4.3 is reported as a measure of one or more of those sub-characteristics, in the form ISO/IEC 25023 uses for product quality and ISO/IEC 25022 for quality in use, and Section 4.4 follows the five steps of the evaluation process in ISO/IEC 25040. Every characteristic is therefore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of the four areas through the hands that touched it. Every path ends in a record kept apart from the others, or in no record at all, which is where each problem in Table 5 begins.</w:t>
      </w:r>
    </w:p>
    <w:p>
      <w:pPr>
        <w:keepNext/>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that a tenant does not need an email address to be recorded, and (on 12 October 2026) that her thirteen expense categories stay as they are while she may add her own beside them. On 20 September 2026 she gave the current rate of every unit, and every one agreed with her own receipts. The remaining questions were collected in one list and answered on 12 October 2026: the figure at the bottom of her income sheet is a year-to-date total; the thirteen expense categories stay, and she may add her own; tenants do not report cash payments, because the administrators record every payment; the spending she booked as personal in 2025 was a renovation of her house; past Penthouse spending stays where it was filed; and the three months with no receipt for one unit stay blank. One question is still open, the move-in date of each current tenancy, and it is named in Chapter 5 as a recommendation.</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9 model the system as built, and Figures 10 to 14 show its screens as they stood on 5 October 2026. The units, their rates and their status in Figures 10 and 11 are the property's own, as the public site shows them. To protect the tenants' privacy, the names, payments, expenses and repair requests in Figures 10, 12, 13 and 14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from 15 September 2026 to the defense, took the owner's answers to the open questions, put the system in her and her tenants' hands, and refined it from their feedback, the testing and the evaluation. Table 6A shows what each iteration did in each phase of the life cycle in Section 3.2.</w:t>
      </w:r>
    </w:p>
    <w:p>
      <w:pPr>
        <w:spacing w:after="120" w:before="360" w:line="480" w:lineRule="auto"/>
        <w:jc w:val="left"/>
      </w:pPr>
      <w:r>
        <w:rPr>
          <w:rFonts w:ascii="Arial" w:cs="Arial" w:eastAsia="Arial" w:hAnsi="Arial"/>
          <w:b/>
          <w:bCs/>
          <w:sz w:val="24"/>
          <w:szCs w:val="24"/>
        </w:rPr>
        <w:t xml:space="preserve">Table 6A.</w:t>
      </w:r>
      <w:r>
        <w:rPr>
          <w:rFonts w:ascii="Arial" w:cs="Arial" w:eastAsia="Arial" w:hAnsi="Arial"/>
          <w:b/>
          <w:bCs/>
          <w:sz w:val="24"/>
          <w:szCs w:val="24"/>
        </w:rPr>
        <w:t xml:space="preserve"> The Three Iterations, Phase by Phase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8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Phase (Section 3.2)</w:t>
            </w:r>
          </w:p>
        </w:tc>
        <w:tc>
          <w:tcPr>
            <w:tcW w:type="dxa" w:w="24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Iteration 1: Construction (24 Jul to 28 Aug 2026, 95 commits)</w:t>
            </w:r>
          </w:p>
        </w:tc>
        <w:tc>
          <w:tcPr>
            <w:tcW w:type="dxa" w:w="245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Iteration 2: Verification and correction (12 to 14 Sep 2026, 87 commits)</w:t>
            </w:r>
          </w:p>
        </w:tc>
        <w:tc>
          <w:tcPr>
            <w:tcW w:type="dxa" w:w="29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Iteration 3: Consolidation and testing (15 Sep 2026 onward, 1,447 commits to 9 Oct)</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(Monthly Income and Monthly Expenses) and the interviews and observation of Section 4.1 taken as the baseline; payments cash only</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settled four questions on 13 September: 33 units, no grace period, no automatic rent increase, and tenants recorded without needing an email address</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answers of 17 and 19 to 20 September: the advance is the deposit, rent and water stay one bill, and a rate for each of the 33 units; acknowledgement receipts for payments with no invoice number (1 October)</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Design</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for the visitor, the tenant and the owner over one permission matrix; the ledgers laid out as her workbook is</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business rule register rebuilt, 49 rules each with its evidence; the automatic rent increase removed from scope</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September) and the design rules the screens now follow; the tenant and owner overviews reworked</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site, tenant and owner portals, ledgers, repairs, inquiries, notifications and audit trail; 937 income rows and 1,327 expense allocations transferred</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Fifteen defects in behavior corrected, among them a partial payment that left no debt and cash recorded with nothing written to the books; the Excel downloads</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with GCash working end to end on the test account (26 September); updates every five seconds; offline reading; the breached-password check (7 October)</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by demonstration only; no automated check existed</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Seven automated check suites, over 100 assertions, each defect covered by one</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screen-versus-database audit (26 and 29 September, six defects); 20 suites (29 September); the testing day with the owner and three tenants (30 September); the technical evaluators' review (3 October)</w:t>
            </w:r>
          </w:p>
        </w:tc>
      </w:tr>
      <w:tr>
        <w:trPr>
          <w:cantSplit/>
        </w:trPr>
        <w:tc>
          <w:tcPr>
            <w:tcW w:type="dxa" w:w="8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Deployment</w:t>
            </w:r>
          </w:p>
        </w:tc>
        <w:tc>
          <w:tcPr>
            <w:tcW w:type="dxa" w:w="24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Run from the team's machines against the live database</w:t>
            </w:r>
          </w:p>
        </w:tc>
        <w:tc>
          <w:tcPr>
            <w:tcW w:type="dxa" w:w="24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c>
          <w:tcPr>
            <w:tcW w:type="dxa" w:w="29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Hosted on Vercel from 24 September; tenant accounts prepared on 29 September; in use beside the owner's own records (Table 25)</w:t>
            </w:r>
          </w:p>
        </w:tc>
      </w:tr>
      <w:tr>
        <w:trPr>
          <w:cantSplit/>
        </w:trPr>
        <w:tc>
          <w:tcPr>
            <w:tcW w:type="dxa" w:w="8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w:t>
            </w:r>
          </w:p>
        </w:tc>
        <w:tc>
          <w:tcPr>
            <w:tcW w:type="dxa" w:w="24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Module 01 submission, whose documents became Iteration 2's input</w:t>
            </w:r>
          </w:p>
        </w:tc>
        <w:tc>
          <w:tcPr>
            <w:tcW w:type="dxa" w:w="245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 recorded errors in the submitted documents corrected; four standing rules for how the team works</w:t>
            </w:r>
          </w:p>
        </w:tc>
        <w:tc>
          <w:tcPr>
            <w:tcW w:type="dxa" w:w="29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evaluators' 14 comments, all acted on by 5 October (Table 23); the ISO/IEC 25010 survey (Section 4.4)</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Each iteration was tested and reviewed, but by different means. The formal evaluation against ISO/IEC 25010 was carried out once, in the third iteration, because Section 3.3 places it during actual use in the deployment environment, and only the third iteration put the system in use. The first two iterations were checked by the means available at the time: demonstration in the first, and in the second the automated checks and the correction of the recorded errors.</w:t>
      </w:r>
    </w:p>
    <w:p>
      <w:pPr>
        <w:spacing w:after="0" w:before="0" w:line="480" w:lineRule="auto"/>
        <w:ind w:firstLine="720"/>
        <w:jc w:val="both"/>
      </w:pPr>
      <w:r>
        <w:rPr>
          <w:rFonts w:ascii="Arial" w:cs="Arial" w:eastAsia="Arial" w:hAnsi="Arial"/>
          <w:b w:val="false"/>
          <w:bCs w:val="false"/>
          <w:sz w:val="24"/>
          <w:szCs w:val="24"/>
        </w:rPr>
        <w:t xml:space="preserve">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seventy by 5 October 2026), so the history of the data can be reviewed and repeated.</w:t>
      </w:r>
    </w:p>
    <w:p>
      <w:pPr>
        <w:spacing w:after="0" w:before="0" w:line="480" w:lineRule="auto"/>
        <w:ind w:firstLine="720"/>
        <w:jc w:val="both"/>
      </w:pPr>
      <w:r>
        <w:rPr>
          <w:rFonts w:ascii="Arial" w:cs="Arial" w:eastAsia="Arial" w:hAnsi="Arial"/>
          <w:b/>
          <w:bCs/>
          <w:sz w:val="24"/>
          <w:szCs w:val="24"/>
        </w:rPr>
        <w:t xml:space="preserve">Architecture.</w:t>
      </w:r>
      <w:r>
        <w:rPr>
          <w:rFonts w:ascii="Arial" w:cs="Arial" w:eastAsia="Arial" w:hAnsi="Arial"/>
          <w:b w:val="false"/>
          <w:bCs w:val="false"/>
          <w:sz w:val="24"/>
          <w:szCs w:val="24"/>
        </w:rPr>
        <w:t xml:space="preserve"> Figure 5 shows where each part of the system runs. The application is delivered to the browser as a Progressive Web Application and talks to one server program, an Express API that runs on Vercel as a serverless function. Only that API reads or writes the database: row-level security is switched on for every table and no rule opens a table to a browser, so a request that does not pass through the API's sign-in and role checks reaches no data. Payment details are typed into Adyen's own form and go from it to Adyen directly. The API only creates the payment session, and records a payment once Adyen confirms it (Section 4.2.4).</w:t>
      </w:r>
    </w:p>
    <w:p>
      <w:pPr>
        <w:keepNext/>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0" w:before="0" w:line="480" w:lineRule="auto"/>
        <w:ind w:firstLine="720"/>
        <w:jc w:val="both"/>
      </w:pPr>
      <w:r>
        <w:rPr>
          <w:rFonts w:ascii="Arial" w:cs="Arial" w:eastAsia="Arial" w:hAnsi="Arial"/>
          <w:b/>
          <w:bCs/>
          <w:sz w:val="24"/>
          <w:szCs w:val="24"/>
        </w:rPr>
        <w:t xml:space="preserve">Process model.</w:t>
      </w:r>
      <w:r>
        <w:rPr>
          <w:rFonts w:ascii="Arial" w:cs="Arial" w:eastAsia="Arial" w:hAnsi="Arial"/>
          <w:b w:val="false"/>
          <w:bCs w:val="false"/>
          <w:sz w:val="24"/>
          <w:szCs w:val="24"/>
        </w:rPr>
        <w:t xml:space="preserve"> Figure 6 is the context diagram: the system as one process, with the four parties outside it and the data that passes between them. Figure 7 opens that process into its eight processes and the stores each reads and writes. Two stores are written by nearly every process and are left out of Figure 7 for readability: the notifications, and the audit record of every change (Section 4.4.8). The tenants, tenancies and store D2 is drawn twice, marked by a second bar, to avoid crossing lines.</w:t>
      </w:r>
    </w:p>
    <w:p>
      <w:pPr>
        <w:keepNext/>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Context Diagram.</w:t>
      </w:r>
    </w:p>
    <w:p>
      <w:pPr>
        <w:keepNext/>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 Sign in, own details, notifications and recent actions are shared by tenants and the owner, each seeing only their own.</w:t>
      </w:r>
    </w:p>
    <w:p>
      <w:pPr>
        <w:keepNext/>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Use Case Diagram.</w:t>
      </w:r>
    </w:p>
    <w:p>
      <w:pPr>
        <w:spacing w:after="0" w:before="0" w:line="480" w:lineRule="auto"/>
        <w:ind w:firstLine="720"/>
        <w:jc w:val="both"/>
      </w:pPr>
      <w:r>
        <w:rPr>
          <w:rFonts w:ascii="Arial" w:cs="Arial" w:eastAsia="Arial" w:hAnsi="Arial"/>
          <w:b/>
          <w:bCs/>
          <w:sz w:val="24"/>
          <w:szCs w:val="24"/>
        </w:rPr>
        <w:t xml:space="preserve">Data model.</w:t>
      </w:r>
      <w:r>
        <w:rPr>
          <w:rFonts w:ascii="Arial" w:cs="Arial" w:eastAsia="Arial" w:hAnsi="Arial"/>
          <w:b w:val="false"/>
          <w:bCs w:val="false"/>
          <w:sz w:val="24"/>
          <w:szCs w:val="24"/>
        </w:rPr>
        <w:t xml:space="preserve"> Figure 9 is the entity-relationship diagram of the database as it stood on 5 October 2026. It was drawn from the database's own catalogue of tables, keys and constraints, not from a design document, so it shows what the database enforces: 21 tables, each with a primary key, and 37 foreign keys. Rooms and profiles are the two centres of the design. Every bill, payment, receipt, tenancy, repair request and inquiry belongs to one unit, and every tenancy, bill and payment to one person. The owner's two ledgers are kept as she kept them, a Monthly Income table of receipts and a Monthly Expenses table whose entries are split across property areas.</w:t>
      </w:r>
    </w:p>
    <w:p>
      <w:pPr>
        <w:keepNext/>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0" w:before="0" w:line="480" w:lineRule="auto"/>
        <w:ind w:firstLine="720"/>
        <w:jc w:val="both"/>
      </w:pPr>
      <w:r>
        <w:rPr>
          <w:rFonts w:ascii="Arial" w:cs="Arial" w:eastAsia="Arial" w:hAnsi="Arial"/>
          <w:b w:val="false"/>
          <w:bCs w:val="false"/>
          <w:sz w:val="24"/>
          <w:szCs w:val="24"/>
        </w:rPr>
        <w:t xml:space="preserve">Several of the rules in Section 4.2.4 live in the database itself rather than in the program, so no screen or script can bypass them. One unit cannot have two active tenancies; one invoice number cannot be used twice for the same unit and month on receipts that stand; an online payment's gateway reference cannot be recorded twice; and the 50% Share and the remitted amount are computed columns, so they cannot disagree with the rent and water beside them. Table 7A describes the Monthly Income table, the one the owner reads most, as an extract of the data dictionary.</w:t>
      </w:r>
    </w:p>
    <w:p>
      <w:pPr>
        <w:spacing w:after="120" w:before="360" w:line="480" w:lineRule="auto"/>
        <w:jc w:val="left"/>
      </w:pPr>
      <w:r>
        <w:rPr>
          <w:rFonts w:ascii="Arial" w:cs="Arial" w:eastAsia="Arial" w:hAnsi="Arial"/>
          <w:b/>
          <w:bCs/>
          <w:sz w:val="24"/>
          <w:szCs w:val="24"/>
        </w:rPr>
        <w:t xml:space="preserve">Table 7A.</w:t>
      </w:r>
      <w:r>
        <w:rPr>
          <w:rFonts w:ascii="Arial" w:cs="Arial" w:eastAsia="Arial" w:hAnsi="Arial"/>
          <w:b/>
          <w:bCs/>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11.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for every unit. The two Linda units' money is recorded separately and kept out of the property's grand totals, as in the owner's own workbook (BR-040).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bringing payment records into one structured ledger improves oversight and reduces administrative errors. This study adds one observation to theirs: the consolidation did not only prevent new errors, it exposed errors already present in the owner's records (Section 4.1.1).</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7B rather than typed, so the same inputs always give the same amount.</w:t>
      </w:r>
    </w:p>
    <w:p>
      <w:pPr>
        <w:spacing w:after="120" w:before="360" w:line="480" w:lineRule="auto"/>
        <w:jc w:val="left"/>
      </w:pPr>
      <w:r>
        <w:rPr>
          <w:rFonts w:ascii="Arial" w:cs="Arial" w:eastAsia="Arial" w:hAnsi="Arial"/>
          <w:b/>
          <w:bCs/>
          <w:sz w:val="24"/>
          <w:szCs w:val="24"/>
        </w:rPr>
        <w:t xml:space="preserve">Table 7B.</w:t>
      </w:r>
      <w:r>
        <w:rPr>
          <w:rFonts w:ascii="Arial" w:cs="Arial" w:eastAsia="Arial" w:hAnsi="Arial"/>
          <w:b/>
          <w:bCs/>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spacing w:after="0" w:before="0" w:line="480" w:lineRule="auto"/>
        <w:ind w:firstLine="720"/>
        <w:jc w:val="both"/>
      </w:pPr>
      <w:r>
        <w:rPr>
          <w:rFonts w:ascii="Arial" w:cs="Arial" w:eastAsia="Arial" w:hAnsi="Arial"/>
          <w:b w:val="false"/>
          <w:bCs w:val="false"/>
          <w:sz w:val="24"/>
          <w:szCs w:val="24"/>
        </w:rPr>
        <w:t xml:space="preserve">This is the change Saputra et al. (2025) report, in which turning tenant complaints into recorded, traceable requests improved accountability and response management, and it bears on the responsiveness that Jing and Lim (2021) found central to residents' satisfaction: a request now carries its status from submission to closing, where before it left no record (Figure 4).</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 A new password must have at least</w:t>
      </w:r>
    </w:p>
    <w:p>
      <w:pPr>
        <w:spacing w:after="0" w:before="0" w:line="480" w:lineRule="auto"/>
        <w:ind w:firstLine="720"/>
        <w:jc w:val="both"/>
      </w:pPr>
      <w:r>
        <w:rPr>
          <w:rFonts w:ascii="Arial" w:cs="Arial" w:eastAsia="Arial" w:hAnsi="Arial"/>
          <w:b w:val="false"/>
          <w:bCs w:val="false"/>
          <w:sz w:val="24"/>
          <w:szCs w:val="24"/>
        </w:rPr>
        <w:t xml:space="preserve">ten characters, a letter and a number, checked by the server, and since 7 October 2026 it is also refused if it appears in a public list of breached passwords. Only the first five characters of its SHA-1 hash are sent to the list's service, so the password itself never leaves the server.</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7C sets out which role may use which function. It is read from the permission table in the server's code, which every request is checked against before it reaches the data.</w:t>
      </w:r>
    </w:p>
    <w:p>
      <w:pPr>
        <w:spacing w:after="120" w:before="360" w:line="480" w:lineRule="auto"/>
        <w:jc w:val="left"/>
      </w:pPr>
      <w:r>
        <w:rPr>
          <w:rFonts w:ascii="Arial" w:cs="Arial" w:eastAsia="Arial" w:hAnsi="Arial"/>
          <w:b/>
          <w:bCs/>
          <w:sz w:val="24"/>
          <w:szCs w:val="24"/>
        </w:rPr>
        <w:t xml:space="preserve">Table 7C.</w:t>
      </w:r>
      <w:r>
        <w:rPr>
          <w:rFonts w:ascii="Arial" w:cs="Arial" w:eastAsia="Arial" w:hAnsi="Arial"/>
          <w:b/>
          <w:bCs/>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As Biørn-Hansen et al. (2019) describe, one application served every device: the same code ran on the owner's laptop, an Android phone in Chrome and an iPhone in Safari during testing (Section 4.3.7), with no separate mobile application to build or install from an app store.</w:t>
      </w:r>
    </w:p>
    <w:p>
      <w:pPr>
        <w:keepNext/>
        <w:spacing w:after="120" w:before="240"/>
        <w:jc w:val="center"/>
      </w:pPr>
      <w:r>
        <w:drawing>
          <wp:inline distT="0" distB="0" distL="0" distR="0">
            <wp:extent cx="54578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57825" cy="77724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correspond to characteristics of ISO/IEC 25010:2011: functionality to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to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to its capacity and to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The pilot tests measured these and five more characteristics, because a test written for one quality often measures another as well: the walkthrough that showed a function works also showed that one tenant cannot reach another's records. Table 7D lists each test activity with the characteristics it measured. Each measure is reported in Section 4.3 and brought together by characteristic in Section 4.4, where it stands beside the survey's ratings.</w:t>
      </w:r>
    </w:p>
    <w:p>
      <w:pPr>
        <w:spacing w:after="120" w:before="360" w:line="480" w:lineRule="auto"/>
        <w:jc w:val="left"/>
      </w:pPr>
      <w:r>
        <w:rPr>
          <w:rFonts w:ascii="Arial" w:cs="Arial" w:eastAsia="Arial" w:hAnsi="Arial"/>
          <w:b/>
          <w:bCs/>
          <w:sz w:val="24"/>
          <w:szCs w:val="24"/>
        </w:rPr>
        <w:t xml:space="preserve">Table 7D.</w:t>
      </w:r>
      <w:r>
        <w:rPr>
          <w:rFonts w:ascii="Arial" w:cs="Arial" w:eastAsia="Arial" w:hAnsi="Arial"/>
          <w:b/>
          <w:bCs/>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Security (confidentiality, integrity, authenticity); Compatibility (interoperability, with the payment gateway and the Excel reports); Maintainability (testability).</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Compatibility (interoperability, with the payment gateway); Reliability (recoverability).</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3).</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authorized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and Reliability (maturity).</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0" w:before="0" w:line="480" w:lineRule="auto"/>
        <w:ind w:firstLine="720"/>
        <w:jc w:val="both"/>
      </w:pPr>
      <w:r>
        <w:rPr>
          <w:rFonts w:ascii="Arial" w:cs="Arial" w:eastAsia="Arial" w:hAnsi="Arial"/>
          <w:b w:val="false"/>
          <w:bCs w:val="false"/>
          <w:sz w:val="24"/>
          <w:szCs w:val="24"/>
        </w:rPr>
        <w:t xml:space="preserve">This supports the observation of Magno et al. (2024) that digitizing records does not by itself remove fragmentation. Here every record was already in one database, yet the audit found six places where a screen disagreed with it. The consistency that Pressman and Maxim (2020) attribute to integrated systems had to be verified screen by screen; it did not follow from the shared database alone.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completeness and correctness); Usability (user error protection); Security (confidentiality); Reliability (fault tolerance).</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i/>
          <w:iCs/>
          <w:sz w:val="24"/>
          <w:szCs w:val="24"/>
        </w:rPr>
        <w:t xml:space="preserve">Measures Performance Efficiency (time behavior and resource utilization).</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 Table 11 gives the times.</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i/>
          <w:iCs/>
          <w:sz w:val="24"/>
          <w:szCs w:val="24"/>
        </w:rPr>
        <w:t xml:space="preserve">Measures Reliability (fault tolerance); Performance Efficiency (capacity); Portability (installability and adaptability); Usability (accessibility).</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behavior a real day of use would test was measured on the live system on 29 September 2026: what happens without a connection, on a weak one, when the application is installed, and when many requests arrive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 Table 11A gives the results without a connection and once installed. Table 11B gives those of a load test, in which a script on the same laptop played several users at once, each pausing a quarter to three quarters of a second between requests, as a person reading a page does. These were simulated users, not people; the owner and tenants using the system together are reported in Section 4.3.7 (Table 11D).</w:t>
      </w:r>
    </w:p>
    <w:p>
      <w:pPr>
        <w:spacing w:after="120" w:before="360" w:line="480" w:lineRule="auto"/>
        <w:jc w:val="left"/>
      </w:pPr>
      <w:r>
        <w:rPr>
          <w:rFonts w:ascii="Arial" w:cs="Arial" w:eastAsia="Arial" w:hAnsi="Arial"/>
          <w:b/>
          <w:bCs/>
          <w:sz w:val="24"/>
          <w:szCs w:val="24"/>
        </w:rPr>
        <w:t xml:space="preserve">Table 11A.</w:t>
      </w:r>
      <w:r>
        <w:rPr>
          <w:rFonts w:ascii="Arial" w:cs="Arial" w:eastAsia="Arial" w:hAnsi="Arial"/>
          <w:b/>
          <w:bCs/>
          <w:sz w:val="24"/>
          <w:szCs w:val="24"/>
        </w:rPr>
        <w:t xml:space="preserve"> Offline and Installation Behavior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11B.</w:t>
      </w:r>
      <w:r>
        <w:rPr>
          <w:rFonts w:ascii="Arial" w:cs="Arial" w:eastAsia="Arial" w:hAnsi="Arial"/>
          <w:b/>
          <w:bCs/>
          <w:sz w:val="24"/>
          <w:szCs w:val="24"/>
        </w:rPr>
        <w:t xml:space="preserve"> Simulated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3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Simulated users at once</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3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5). The real-device timings in Table 11 are the measurement that decides how fast the system is for the owner and tenants.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That reproduces a double click, a retry after a timeout, or two people pressing Save together, with closer timing than people can produce by hand. Table 11F gives the results.</w:t>
      </w:r>
    </w:p>
    <w:p>
      <w:pPr>
        <w:spacing w:after="120" w:before="360" w:line="480" w:lineRule="auto"/>
        <w:jc w:val="left"/>
      </w:pPr>
      <w:r>
        <w:rPr>
          <w:rFonts w:ascii="Arial" w:cs="Arial" w:eastAsia="Arial" w:hAnsi="Arial"/>
          <w:b/>
          <w:bCs/>
          <w:sz w:val="24"/>
          <w:szCs w:val="24"/>
        </w:rPr>
        <w:t xml:space="preserve">Table 11F.</w:t>
      </w:r>
      <w:r>
        <w:rPr>
          <w:rFonts w:ascii="Arial" w:cs="Arial" w:eastAsia="Arial" w:hAnsi="Arial"/>
          <w:b/>
          <w:bCs/>
          <w:sz w:val="24"/>
          <w:szCs w:val="24"/>
        </w:rPr>
        <w:t xml:space="preserve"> Simultaneous Saves (19 and 24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22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Before the change</w:t>
            </w:r>
          </w:p>
        </w:tc>
        <w:tc>
          <w:tcPr>
            <w:tcW w:type="dxa" w:w="29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After the change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twice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saved: 2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1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five times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five saved: 5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4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receipt covering three months,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opened, so both payments could be recorded</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opened, 1 refused</w:t>
            </w:r>
          </w:p>
        </w:tc>
      </w:tr>
      <w:tr>
        <w:trPr>
          <w:cantSplit/>
        </w:trPr>
        <w:tc>
          <w:tcPr>
            <w:tcW w:type="dxa" w:w="3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checkout 16 minutes after one was abandoned</w:t>
            </w:r>
          </w:p>
        </w:tc>
        <w:tc>
          <w:tcPr>
            <w:tcW w:type="dxa" w:w="22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an abandoned checkout holds the bill for 15 minutes, not for good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Neither fault showed an error: the server answered every duplicate receipt as saved. Neither could be fixed in the program alone, since a check followed by a save can always be outrun by a second request. Each fix is therefore a rule in the database itself, which refuses the second save whatever order the requests arrive in: a receipt number is accepted once per unit per month among receipts that stand, and a bill is held for 15 minutes from the moment a checkout is opened on it. The database already refused, in the same way, a second active tenancy on one unit, a second bill for one tenant in one period, and a gateway payment recorded twice, and the saves that change several records together, such as settling a payment against bills or splitting an expense across areas, each run as one database operation, so none is left half done. The rows these tests wrote were removed: the rule could not have been created while a duplicate remained, and no row saved between 18 and 20 September 2026 is in the records (checked 12 October 2026).</w:t>
      </w:r>
    </w:p>
    <w:p>
      <w:pPr>
        <w:spacing w:after="0" w:before="0" w:line="480" w:lineRule="auto"/>
        <w:ind w:firstLine="720"/>
        <w:jc w:val="both"/>
      </w:pPr>
      <w:r>
        <w:rPr>
          <w:rFonts w:ascii="Arial" w:cs="Arial" w:eastAsia="Arial" w:hAnsi="Arial"/>
          <w:b w:val="false"/>
          <w:bCs w:val="false"/>
          <w:sz w:val="24"/>
          <w:szCs w:val="24"/>
        </w:rPr>
        <w:t xml:space="preserve">Because these rules are kept by the database, they hold however many people save at once: ten requests arriving together meet the same refusal as two. Since 12 October 2026 the tests are repeated on every run of the automated suites by a twenty-first suite, which sends the same receipt up to ten times at once, and the same checkout five times, to the system's own request handlers against a stand-in database that keeps the same two rules. It passes 15 checks, and each of four deliberate faults in the handlers made it fail. The rules themselves were confirmed in the live database's catalogue the same day.</w:t>
      </w:r>
    </w:p>
    <w:p>
      <w:pPr>
        <w:spacing w:after="0" w:before="0" w:line="480" w:lineRule="auto"/>
        <w:ind w:firstLine="720"/>
        <w:jc w:val="both"/>
      </w:pPr>
      <w:r>
        <w:rPr>
          <w:rFonts w:ascii="Arial" w:cs="Arial" w:eastAsia="Arial" w:hAnsi="Arial"/>
          <w:b w:val="false"/>
          <w:bCs w:val="false"/>
          <w:sz w:val="24"/>
          <w:szCs w:val="24"/>
        </w:rPr>
        <w:t xml:space="preserve">Three limits remain. The rule covers receipts that carry an invoice number: a receipt with no number, or an acknowledgement receipt, is refused by the program when it is entered a second time, but two sent at the same instant would both be saved. The payment form makes that unlikely, since it asks for confirmation and then disables its button until the save returns, but it does not rule it out. Two people changing the same record in different ways at the same moment, for example the owner closing a repair while its tenant cancels it, was not tried. And the suite proves how the program answers a refused save, not that the live database still holds the rule; that is checked in the catalogue.</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i/>
          <w:iCs/>
          <w:sz w:val="24"/>
          <w:szCs w:val="24"/>
        </w:rPr>
        <w:t xml:space="preserve">Measures quality in use (effectiveness, efficiency and context coverage); Usability (learnability and operability); Security (confidentiality).</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by the procedure and measures described in Section 3.3.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 Table 11C gives each task's result, and Table 11D the session in which the owner and two tenants used the system at the same time.</w:t>
      </w:r>
    </w:p>
    <w:p>
      <w:pPr>
        <w:spacing w:after="120" w:before="360" w:line="480" w:lineRule="auto"/>
        <w:jc w:val="left"/>
      </w:pPr>
      <w:r>
        <w:rPr>
          <w:rFonts w:ascii="Arial" w:cs="Arial" w:eastAsia="Arial" w:hAnsi="Arial"/>
          <w:b/>
          <w:bCs/>
          <w:sz w:val="24"/>
          <w:szCs w:val="24"/>
        </w:rPr>
        <w:t xml:space="preserve">Table 11C.</w:t>
      </w:r>
      <w:r>
        <w:rPr>
          <w:rFonts w:ascii="Arial" w:cs="Arial" w:eastAsia="Arial" w:hAnsi="Arial"/>
          <w:b/>
          <w:bCs/>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11D.</w:t>
      </w:r>
      <w:r>
        <w:rPr>
          <w:rFonts w:ascii="Arial" w:cs="Arial" w:eastAsia="Arial" w:hAnsi="Arial"/>
          <w:b/>
          <w:bCs/>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Mia et al. (2024) name limited technical capacity as a barrier when small Philippine enterprises adopt digital tools. The tenants' results locate that barrier precisely: the only help needed was at the first sign-in and in finding the unit and rent, the first two things a new user does, and none afterwards.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test level, using the levels of ISO/IEC/IEEE 29119 (Section 3.2.4): unit and integration, system, and acceptance.</w:t>
      </w:r>
    </w:p>
    <w:p>
      <w:pPr>
        <w:spacing w:after="120" w:before="360" w:line="480" w:lineRule="auto"/>
        <w:jc w:val="left"/>
      </w:pPr>
      <w:r>
        <w:rPr>
          <w:rFonts w:ascii="Arial" w:cs="Arial" w:eastAsia="Arial" w:hAnsi="Arial"/>
          <w:b/>
          <w:bCs/>
          <w:sz w:val="24"/>
          <w:szCs w:val="24"/>
        </w:rPr>
        <w:t xml:space="preserve">Table 11E.</w:t>
      </w:r>
      <w:r>
        <w:rPr>
          <w:rFonts w:ascii="Arial" w:cs="Arial" w:eastAsia="Arial" w:hAnsi="Arial"/>
          <w:b/>
          <w:bCs/>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the evaluation process in ISO/IEC 25040, set out in Table 12B. The quality model is that of ISO/IEC 25010:2011, the edition on whose eight characteristics the instrument was built. Each characteristic was judged on two kinds of evidence: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the tests in Section 4.3, each expressed as a measure of a</w:t>
      </w:r>
    </w:p>
    <w:p>
      <w:pPr>
        <w:spacing w:after="0" w:before="0" w:line="480" w:lineRule="auto"/>
        <w:ind w:firstLine="720"/>
        <w:jc w:val="both"/>
      </w:pPr>
      <w:r>
        <w:rPr>
          <w:rFonts w:ascii="Arial" w:cs="Arial" w:eastAsia="Arial" w:hAnsi="Arial"/>
          <w:b w:val="false"/>
          <w:bCs w:val="false"/>
          <w:sz w:val="24"/>
          <w:szCs w:val="24"/>
        </w:rPr>
        <w:t xml:space="preserve">sub-characteristic in the manner of ISO/IEC 25023, for example the proportion of executed walkthrough steps that gave the correct result.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the survey, in which each item is assigned to one sub-characteristic (Chapter</w:t>
      </w:r>
    </w:p>
    <w:p>
      <w:pPr>
        <w:spacing w:after="0" w:before="0" w:line="480" w:lineRule="auto"/>
        <w:ind w:firstLine="720"/>
        <w:jc w:val="both"/>
      </w:pPr>
      <w:r>
        <w:rPr>
          <w:rFonts w:ascii="Arial" w:cs="Arial" w:eastAsia="Arial" w:hAnsi="Arial"/>
          <w:b w:val="false"/>
          <w:bCs w:val="false"/>
          <w:sz w:val="24"/>
          <w:szCs w:val="24"/>
        </w:rPr>
        <w:t xml:space="preserve">3, Table 4B), so that every mean in Tables 14 to 21 belongs to a named part of the model.</w:t>
      </w:r>
    </w:p>
    <w:p>
      <w:pPr>
        <w:spacing w:after="0" w:before="0" w:line="480" w:lineRule="auto"/>
        <w:ind w:firstLine="720"/>
        <w:jc w:val="both"/>
      </w:pPr>
      <w:r>
        <w:rPr>
          <w:rFonts w:ascii="Arial" w:cs="Arial" w:eastAsia="Arial" w:hAnsi="Arial"/>
          <w:b w:val="false"/>
          <w:bCs w:val="false"/>
          <w:sz w:val="24"/>
          <w:szCs w:val="24"/>
        </w:rPr>
        <w:t xml:space="preserve">The survey was answered by four groups: the owner, the tenants, prospective tenants who used only the public website, and technical evaluators (IT professionals, developers or IT faculty). Each group rated only what it is in a position to judge. Tenants use only the tenant portal, so they did not rate Security or Maintainability, and prospective tenants, who see only the public website, rated neither. Only technical evaluators rated Maintainability, because judging it requires reading the source code and documentation.</w:t>
      </w:r>
    </w:p>
    <w:p>
      <w:pPr>
        <w:spacing w:after="120" w:before="360" w:line="480" w:lineRule="auto"/>
        <w:jc w:val="left"/>
      </w:pPr>
      <w:r>
        <w:rPr>
          <w:rFonts w:ascii="Arial" w:cs="Arial" w:eastAsia="Arial" w:hAnsi="Arial"/>
          <w:b/>
          <w:bCs/>
          <w:sz w:val="24"/>
          <w:szCs w:val="24"/>
        </w:rPr>
        <w:t xml:space="preserve">Table 12B.</w:t>
      </w:r>
      <w:r>
        <w:rPr>
          <w:rFonts w:ascii="Arial" w:cs="Arial" w:eastAsia="Arial" w:hAnsi="Arial"/>
          <w:b/>
          <w:bCs/>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Tables 14 to 21 (rated)</w:t>
            </w:r>
          </w:p>
        </w:tc>
      </w:tr>
      <w:tr>
        <w:trPr>
          <w:cantSplit/>
        </w:trPr>
        <w:tc>
          <w:tcPr>
            <w:tcW w:type="dxa" w:w="18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The revision keeps six of the eight characteristics, renames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adds a ninth,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Because the survey was built and answered on the 2011 characteristics, its results are reported on them; changing the model after the answers were given would change what the respondents were asked. Table 12C shows where each result falls in the revised model, so that the evaluation can be read against either edition.</w:t>
      </w:r>
    </w:p>
    <w:p>
      <w:pPr>
        <w:spacing w:after="120" w:before="360" w:line="480" w:lineRule="auto"/>
        <w:jc w:val="left"/>
      </w:pPr>
      <w:r>
        <w:rPr>
          <w:rFonts w:ascii="Arial" w:cs="Arial" w:eastAsia="Arial" w:hAnsi="Arial"/>
          <w:b/>
          <w:bCs/>
          <w:sz w:val="24"/>
          <w:szCs w:val="24"/>
        </w:rPr>
        <w:t xml:space="preserve">Table 12C.</w:t>
      </w:r>
      <w:r>
        <w:rPr>
          <w:rFonts w:ascii="Arial" w:cs="Arial" w:eastAsia="Arial" w:hAnsi="Arial"/>
          <w:b/>
          <w:bCs/>
          <w:sz w:val="24"/>
          <w:szCs w:val="24"/>
        </w:rPr>
        <w:t xml:space="preserve"> The 2011 Characteristics and Their Place in ISO/IEC 25010:2023</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ISO/IEC 25010:2011 (this evaluation)</w:t>
            </w:r>
          </w:p>
        </w:tc>
        <w:tc>
          <w:tcPr>
            <w:tcW w:type="dxa" w:w="18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ISO/IEC 25010:2023</w:t>
            </w:r>
          </w:p>
        </w:tc>
        <w:tc>
          <w:tcPr>
            <w:tcW w:type="dxa" w:w="46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Interaction Capability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user interface aesthetics became user engagement, accessibility was divided into inclusivity and user assistance, and self-descriptiveness was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 renamed faultlessness</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Resistance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Flexibility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scalability added</w:t>
            </w:r>
          </w:p>
        </w:tc>
      </w:tr>
      <w:tr>
        <w:trPr>
          <w:cantSplit/>
        </w:trPr>
        <w:tc>
          <w:tcPr>
            <w:tcW w:type="dxa" w:w="21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counterpart)</w:t>
            </w:r>
          </w:p>
        </w:tc>
        <w:tc>
          <w:tcPr>
            <w:tcW w:type="dxa" w:w="18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Safety</w:t>
            </w:r>
          </w:p>
        </w:tc>
        <w:tc>
          <w:tcPr>
            <w:tcW w:type="dxa" w:w="46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New. Its fail-safe and hazard-warning sub-characteristics correspond to results reported here under Reliability: a figure that cannot be loaded is never shown as ₱0, and a save that may not have arrived says so (Sections 4.3.4 and 4.3.6)</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12 shows the respondents by group.</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each after giving consent on the form's first page: the prospective tenant on the afternoon of 30 September 2026, after browsing the public site and sending an inquiry; the three tenants that evening, after their tasks in Section 4.3.7; the owner that night, after her walkthrough (Section 4.3.4); and one technical evaluator on 4 October, the day after the evaluators' review of the live system (Table 23). Three of the four groups therefore have one respondent each. For those groups a mean is one person's rating and no standard deviation can be computed, and the results below describe how these six people rated the system, not a sample from which a wider population can be inferred. Table 12A shows how many forms were given out and returned in each group.</w:t>
      </w:r>
    </w:p>
    <w:p>
      <w:pPr>
        <w:spacing w:after="120" w:before="360" w:line="480" w:lineRule="auto"/>
        <w:jc w:val="left"/>
      </w:pPr>
      <w:r>
        <w:rPr>
          <w:rFonts w:ascii="Arial" w:cs="Arial" w:eastAsia="Arial" w:hAnsi="Arial"/>
          <w:b/>
          <w:bCs/>
          <w:sz w:val="24"/>
          <w:szCs w:val="24"/>
        </w:rPr>
        <w:t xml:space="preserve">Table 12A.</w:t>
      </w:r>
      <w:r>
        <w:rPr>
          <w:rFonts w:ascii="Arial" w:cs="Arial" w:eastAsia="Arial" w:hAnsi="Arial"/>
          <w:b/>
          <w:bCs/>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form was given only to those who had used the system for the evaluation: the administrator, the three tenants and the prospective tenant who took part on 30 September, and the technical evaluator. Every one of them answered, and every answer was complete.</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composite mean of each characteristic is the mean of the group means, so that one owner is not outweighed by three tenants on functions only she uses; the overall mean is the mean of the eight composites. Averaging every response together instead gives an overall mean of 4.55 rather than 4.53, with the same interpretation and the same highest and two lowest characteristics.</w:t>
      </w:r>
    </w:p>
    <w:p>
      <w:pPr>
        <w:spacing w:after="0" w:before="0" w:line="480" w:lineRule="auto"/>
        <w:ind w:firstLine="720"/>
        <w:jc w:val="both"/>
      </w:pPr>
      <w:r>
        <w:rPr>
          <w:rFonts w:ascii="Arial" w:cs="Arial" w:eastAsia="Arial" w:hAnsi="Arial"/>
          <w:b w:val="false"/>
          <w:bCs w:val="false"/>
          <w:sz w:val="24"/>
          <w:szCs w:val="24"/>
        </w:rPr>
        <w:t xml:space="preserve">Table 13A works one weighted mean in full, so that every mean in Tables 14 to 21 can be checked the same way: each rating is multiplied by the number of respondents who chose it, and the sum of the products is divided by the number of respondents, WM = Σ(f × w) / N.</w:t>
      </w:r>
    </w:p>
    <w:p>
      <w:pPr>
        <w:spacing w:after="120" w:before="360" w:line="480" w:lineRule="auto"/>
        <w:jc w:val="left"/>
      </w:pPr>
      <w:r>
        <w:rPr>
          <w:rFonts w:ascii="Arial" w:cs="Arial" w:eastAsia="Arial" w:hAnsi="Arial"/>
          <w:b/>
          <w:bCs/>
          <w:sz w:val="24"/>
          <w:szCs w:val="24"/>
        </w:rPr>
        <w:t xml:space="preserve">Table 13A.</w:t>
      </w:r>
      <w:r>
        <w:rPr>
          <w:rFonts w:ascii="Arial" w:cs="Arial" w:eastAsia="Arial" w:hAnsi="Arial"/>
          <w:b/>
          <w:bCs/>
          <w:sz w:val="24"/>
          <w:szCs w:val="24"/>
        </w:rPr>
        <w:t xml:space="preserve"> Worked Computation of a Weighted Mean</w:t>
      </w: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WM = Σ(f × w) / N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Functional Suitability</w:t>
      </w:r>
    </w:p>
    <w:p>
      <w:pPr>
        <w:spacing w:after="0" w:before="0" w:line="480" w:lineRule="auto"/>
        <w:ind w:firstLine="720"/>
        <w:jc w:val="both"/>
      </w:pPr>
      <w:r>
        <w:rPr>
          <w:rFonts w:ascii="Arial" w:cs="Arial" w:eastAsia="Arial" w:hAnsi="Arial"/>
          <w:b w:val="false"/>
          <w:bCs w:val="false"/>
          <w:sz w:val="24"/>
          <w:szCs w:val="24"/>
        </w:rPr>
        <w:t xml:space="preserve">Table 14 gives the ratings for Functional Suitability by group, and Table 14A the measured evidence for it.</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5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4.83</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find which kinds of units the boarding house has and how much they cost.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see enough about a unit (its floor, how many people can stay, its floor plan) to decide whether to ask about 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send an inquiry about a unit without difficulty.</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4.86</w:t>
            </w: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14A.</w:t>
      </w:r>
      <w:r>
        <w:rPr>
          <w:rFonts w:ascii="Arial" w:cs="Arial" w:eastAsia="Arial" w:hAnsi="Arial"/>
          <w:b/>
          <w:bCs/>
          <w:sz w:val="24"/>
          <w:szCs w:val="24"/>
        </w:rPr>
        <w:t xml:space="preserve"> Measured Evidence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8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4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Features named in Objective 2 that were implemented,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 6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4.2.2 to 4.2.7</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requirements implemented in full or in part,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41 / 44 = 0.93 (25 as worded); the other 3 reach the owner in another form</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4.1.2</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 checks that agreed with the database,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 490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Executed walkthrough steps that gave the expected result,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whose figures matched the database, after correction</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 / 9, after 6 defects were corrected</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9</w:t>
            </w:r>
          </w:p>
        </w:tc>
      </w:tr>
      <w:tr>
        <w:trPr>
          <w:cantSplit/>
        </w:trPr>
        <w:tc>
          <w:tcPr>
            <w:tcW w:type="dxa" w:w="18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appropriateness</w:t>
            </w:r>
          </w:p>
        </w:tc>
        <w:tc>
          <w:tcPr>
            <w:tcW w:type="dxa" w:w="29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X = A / B</w:t>
            </w:r>
          </w:p>
        </w:tc>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w:t>
            </w:r>
          </w:p>
        </w:tc>
        <w:tc>
          <w:tcPr>
            <w:tcW w:type="dxa" w:w="14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feature the objective names is present, and between 96 and 100 per cent of the executed checks of correctness gave the right result. The one incorrect result, the ₱0 of walkthrough step 23b, concerns a figure that could not be loaded rather than a computed amount, and is reported under Reliability.</w:t>
      </w:r>
    </w:p>
    <w:p>
      <w:pPr>
        <w:spacing w:after="0" w:before="0" w:line="480" w:lineRule="auto"/>
        <w:ind w:firstLine="720"/>
        <w:jc w:val="both"/>
      </w:pPr>
      <w:r>
        <w:rPr>
          <w:rFonts w:ascii="Arial" w:cs="Arial" w:eastAsia="Arial" w:hAnsi="Arial"/>
          <w:b w:val="false"/>
          <w:bCs w:val="false"/>
          <w:sz w:val="24"/>
          <w:szCs w:val="24"/>
        </w:rPr>
        <w:t xml:space="preserve">Every group rated Functional Suitability Very High Quality (composite 4.86, second of eight), and the tenants and the prospective tenant gave every item 5. The ratings agree with the measured evidence. The lowest item was the technical evaluator's 3.00 for the maintenance workflow (submission, tracking and closure). The same evaluators had asked the day before for tenants to be able to withdraw a request, which was added on 5 October (Table 23), after the rating was given. The owner gave 4.00 to the reports matching the records she keeps, her one item below 5, without giving a reason.</w:t>
      </w:r>
    </w:p>
    <w:p>
      <w:pPr>
        <w:spacing w:after="120" w:before="240" w:line="480" w:lineRule="auto"/>
        <w:jc w:val="left"/>
      </w:pPr>
      <w:r>
        <w:rPr>
          <w:rFonts w:ascii="Arial" w:cs="Arial" w:eastAsia="Arial" w:hAnsi="Arial"/>
          <w:b/>
          <w:bCs/>
          <w:sz w:val="24"/>
          <w:szCs w:val="24"/>
        </w:rPr>
        <w:t xml:space="preserve">4.4.4 Performance Efficiency</w:t>
      </w:r>
    </w:p>
    <w:p>
      <w:pPr>
        <w:spacing w:after="0" w:before="0" w:line="480" w:lineRule="auto"/>
        <w:ind w:firstLine="720"/>
        <w:jc w:val="both"/>
      </w:pPr>
      <w:r>
        <w:rPr>
          <w:rFonts w:ascii="Arial" w:cs="Arial" w:eastAsia="Arial" w:hAnsi="Arial"/>
          <w:b w:val="false"/>
          <w:bCs w:val="false"/>
          <w:sz w:val="24"/>
          <w:szCs w:val="24"/>
        </w:rPr>
        <w:t xml:space="preserve">Table 15 gives the ratings for Performance Efficiency by group, and Table 15A the measured evidence for it.</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7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opens quickly.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respond without delay when I move around the website.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4.42</w:t>
            </w: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15A.</w:t>
      </w:r>
      <w:r>
        <w:rPr>
          <w:rFonts w:ascii="Arial" w:cs="Arial" w:eastAsia="Arial" w:hAnsi="Arial"/>
          <w:b/>
          <w:bCs/>
          <w:sz w:val="24"/>
          <w:szCs w:val="24"/>
        </w:rPr>
        <w:t xml:space="preserve"> Measured Evidence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3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1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2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behavior</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Longest time until a screen was usable, real devices</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3.05 s on a phone (tenant portal, first load); 2.30 s on a laptop (a year exported to Excel)</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behavior</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within which 95 per cent of requests were answered under load</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 (public pages); 0.80 s (the owner's data)</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Code a visitor's browser downloads for the payments page</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About 20 kB; the 194 kB payment library only when a payment starts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Script work on an emulated mid-range phone, the owner's Overview</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0.7 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4.3.5</w:t>
            </w:r>
          </w:p>
        </w:tc>
      </w:tr>
      <w:tr>
        <w:trPr>
          <w:cantSplit/>
        </w:trPr>
        <w:tc>
          <w:tcPr>
            <w:tcW w:type="dxa" w:w="15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1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12 simulated simultaneous users, X = A / B</w:t>
            </w:r>
          </w:p>
        </w:tc>
        <w:tc>
          <w:tcPr>
            <w:tcW w:type="dxa" w:w="2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1,085 = 0.00</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3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1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6 simulated simultaneous readers of the owner's records, X = A / B</w:t>
            </w:r>
          </w:p>
        </w:tc>
        <w:tc>
          <w:tcPr>
            <w:tcW w:type="dxa" w:w="27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285 = 0.00</w:t>
            </w:r>
          </w:p>
        </w:tc>
        <w:tc>
          <w:tcPr>
            <w:tcW w:type="dxa" w:w="12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request failed at several times the property's own load, and no screen took longer than about three seconds on a phone. The script work on a phone is the one measure that leaves room for improvement (Chapter 5, recommendation 5).</w:t>
      </w:r>
    </w:p>
    <w:p>
      <w:pPr>
        <w:spacing w:after="0" w:before="0" w:line="480" w:lineRule="auto"/>
        <w:ind w:firstLine="720"/>
        <w:jc w:val="both"/>
      </w:pPr>
      <w:r>
        <w:rPr>
          <w:rFonts w:ascii="Arial" w:cs="Arial" w:eastAsia="Arial" w:hAnsi="Arial"/>
          <w:b w:val="false"/>
          <w:bCs w:val="false"/>
          <w:sz w:val="24"/>
          <w:szCs w:val="24"/>
        </w:rPr>
        <w:t xml:space="preserve">Performance Efficiency was rated Very High Quality (4.42) but sixth of eight. The tenants gave every item 5; the technical evaluator and the prospective tenant gave every item 4, and the owner gave 4 to the wait for financial reports and 5 to the rest. This matches the measurements: no request failed, but the slowest screens took two to three seconds on a phone, and on a simulated slow phone Google's PageSpeed Insights drew the public page's largest element at 3.4 to 3.6 seconds (Section 4.3.5).</w:t>
      </w:r>
    </w:p>
    <w:p>
      <w:pPr>
        <w:spacing w:after="120" w:before="240" w:line="480" w:lineRule="auto"/>
        <w:jc w:val="left"/>
      </w:pPr>
      <w:r>
        <w:rPr>
          <w:rFonts w:ascii="Arial" w:cs="Arial" w:eastAsia="Arial" w:hAnsi="Arial"/>
          <w:b/>
          <w:bCs/>
          <w:sz w:val="24"/>
          <w:szCs w:val="24"/>
        </w:rPr>
        <w:t xml:space="preserve">4.4.5 Compatibility</w:t>
      </w:r>
    </w:p>
    <w:p>
      <w:pPr>
        <w:spacing w:after="0" w:before="0" w:line="480" w:lineRule="auto"/>
        <w:ind w:firstLine="720"/>
        <w:jc w:val="both"/>
      </w:pPr>
      <w:r>
        <w:rPr>
          <w:rFonts w:ascii="Arial" w:cs="Arial" w:eastAsia="Arial" w:hAnsi="Arial"/>
          <w:b w:val="false"/>
          <w:bCs w:val="false"/>
          <w:sz w:val="24"/>
          <w:szCs w:val="24"/>
        </w:rPr>
        <w:t xml:space="preserve">Table 16 gives the ratings for Compatibility by group, and Table 16A the measured evidence for it.</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16A.</w:t>
      </w:r>
      <w:r>
        <w:rPr>
          <w:rFonts w:ascii="Arial" w:cs="Arial" w:eastAsia="Arial" w:hAnsi="Arial"/>
          <w:b/>
          <w:bCs/>
          <w:sz w:val="24"/>
          <w:szCs w:val="24"/>
        </w:rPr>
        <w:t xml:space="preserve"> Measured Evidence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Co-existence</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by a test; rated in the survey only</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Device and browser combinations on which sign-in, the pages and installation worked,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 5 = 1.00 (Android Chrome 154, iPhone Safari, Windows Chrome 154, Edge and Firefox 157); Samsung Internet not tried</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 matrix, 30 September 2026</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 checks passed,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4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workbooks opened in a spreadsheet program in the owner's layout</w:t>
            </w:r>
          </w:p>
        </w:tc>
        <w:tc>
          <w:tcPr>
            <w:tcW w:type="dxa" w:w="2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(walkthrough step 23); 490 / 490 month-by-month checks against the database</w:t>
            </w:r>
          </w:p>
        </w:tc>
        <w:tc>
          <w:tcPr>
            <w:tcW w:type="dxa" w:w="15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8 and 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exchanged data correctly with the two outside systems it depends on, the payment gateway and the owner's spreadsheet program, and worked on every browser tried. Co-existence with other applications on the same device was not tested on its own, so it rests on the survey.</w:t>
      </w:r>
    </w:p>
    <w:p>
      <w:pPr>
        <w:spacing w:after="0" w:before="0" w:line="480" w:lineRule="auto"/>
        <w:ind w:firstLine="720"/>
        <w:jc w:val="both"/>
      </w:pPr>
      <w:r>
        <w:rPr>
          <w:rFonts w:ascii="Arial" w:cs="Arial" w:eastAsia="Arial" w:hAnsi="Arial"/>
          <w:b w:val="false"/>
          <w:bCs w:val="false"/>
          <w:sz w:val="24"/>
          <w:szCs w:val="24"/>
        </w:rPr>
        <w:t xml:space="preserve">Compatibility was rated Very High Quality (4.67). The owner and the technical evaluator gave every item 5; two tenants each gave one of the two items 4, and the prospective tenant gave 4. The ratings agree with the browser matrix, on which every combination tried worked. Co-existence, which no test measured, was rated 4.67 by the tenants and 5 by the owner and the evaluator.</w:t>
      </w:r>
    </w:p>
    <w:p>
      <w:pPr>
        <w:spacing w:after="120" w:before="240" w:line="480" w:lineRule="auto"/>
        <w:jc w:val="left"/>
      </w:pPr>
      <w:r>
        <w:rPr>
          <w:rFonts w:ascii="Arial" w:cs="Arial" w:eastAsia="Arial" w:hAnsi="Arial"/>
          <w:b/>
          <w:bCs/>
          <w:sz w:val="24"/>
          <w:szCs w:val="24"/>
        </w:rPr>
        <w:t xml:space="preserve">4.4.6 Usability</w:t>
      </w:r>
    </w:p>
    <w:p>
      <w:pPr>
        <w:spacing w:after="0" w:before="0" w:line="480" w:lineRule="auto"/>
        <w:ind w:firstLine="720"/>
        <w:jc w:val="both"/>
      </w:pPr>
      <w:r>
        <w:rPr>
          <w:rFonts w:ascii="Arial" w:cs="Arial" w:eastAsia="Arial" w:hAnsi="Arial"/>
          <w:b w:val="false"/>
          <w:bCs w:val="false"/>
          <w:sz w:val="24"/>
          <w:szCs w:val="24"/>
        </w:rPr>
        <w:t xml:space="preserve">Table 17 gives the ratings for Usability by group, and Table 17A the measured evidence for it.</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4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4.47</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tell what each part of the website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on the website are easy to understand.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 made a mistake in the inquiry form, the message told me what to fix.</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41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4.12</w:t>
            </w: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17A.</w:t>
      </w:r>
      <w:r>
        <w:rPr>
          <w:rFonts w:ascii="Arial" w:cs="Arial" w:eastAsia="Arial" w:hAnsi="Arial"/>
          <w:b/>
          <w:bCs/>
          <w:sz w:val="24"/>
          <w:szCs w:val="24"/>
        </w:rPr>
        <w:t xml:space="preserve"> Measured Evidence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6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4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9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Appropriateness recognizability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without help,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31 / 34 = 0.91</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Learnability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that needed help after the first sign-in and finding the unit</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all 3 tasks that needed help were among those first two</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Operability</w:t>
            </w:r>
          </w:p>
        </w:tc>
        <w:tc>
          <w:tcPr>
            <w:tcW w:type="dxa" w:w="249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Mean wrong turns per task; median time per task</w:t>
            </w:r>
          </w:p>
        </w:tc>
        <w:tc>
          <w:tcPr>
            <w:tcW w:type="dxa" w:w="29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0.2; 60 s</w:t>
            </w:r>
          </w:p>
        </w:tc>
        <w:tc>
          <w:tcPr>
            <w:tcW w:type="dxa" w:w="15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error protection</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inputs the system refused when tried,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 3 (a duplicate phone number, a duplicate invoice number, a typed water amount); the double-void guard could not be reached from the screen</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 steps 9, 18, 19 and 19b</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interface aesthetics</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6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Accessibility</w:t>
            </w:r>
          </w:p>
        </w:tc>
        <w:tc>
          <w:tcPr>
            <w:tcW w:type="dxa" w:w="24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scans with a WCAG 2.2 level A or AA violation, X = A / B</w:t>
            </w:r>
          </w:p>
        </w:tc>
        <w:tc>
          <w:tcPr>
            <w:tcW w:type="dxa" w:w="29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76 after the correction of 5 October 2026; Lighthouse accessibility score 100</w:t>
            </w:r>
          </w:p>
        </w:tc>
        <w:tc>
          <w:tcPr>
            <w:tcW w:type="dxa" w:w="15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4.3.5 and 4.4.6</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Nine tasks in ten were done without help, and the only help needed was in the first two things a new user does. The instrument did not ask about appearance, so user interface aesthetics is not evaluated in this study.</w:t>
      </w:r>
    </w:p>
    <w:p>
      <w:pPr>
        <w:spacing w:after="0" w:before="0" w:line="480" w:lineRule="auto"/>
        <w:ind w:firstLine="720"/>
        <w:jc w:val="both"/>
      </w:pPr>
      <w:r>
        <w:rPr>
          <w:rFonts w:ascii="Arial" w:cs="Arial" w:eastAsia="Arial" w:hAnsi="Arial"/>
          <w:b w:val="false"/>
          <w:bCs w:val="false"/>
          <w:sz w:val="24"/>
          <w:szCs w:val="24"/>
        </w:rPr>
        <w:t xml:space="preserve">Usability was rated </w:t>
      </w:r>
      <w:r>
        <w:rPr>
          <w:rFonts w:ascii="Arial" w:cs="Arial" w:eastAsia="Arial" w:hAnsi="Arial"/>
          <w:b/>
          <w:bCs/>
          <w:sz w:val="24"/>
          <w:szCs w:val="24"/>
        </w:rPr>
        <w:t xml:space="preserve">High Quality (4.12), the lowest of the characteristics that all four groups rated</w:t>
      </w:r>
      <w:r>
        <w:rPr>
          <w:rFonts w:ascii="Arial" w:cs="Arial" w:eastAsia="Arial" w:hAnsi="Arial"/>
          <w:b w:val="false"/>
          <w:bCs w:val="false"/>
          <w:sz w:val="24"/>
          <w:szCs w:val="24"/>
        </w:rPr>
        <w:t xml:space="preserve">, and seventh of eight overall. The ratings divide by group. The prospective tenant gave every item 5 and the tenants 4.47. The owner gave 4.00, with 3 for being able to tell what each screen is for without being taught and for learning the system without technical help. The technical evaluator gave 3 to all five items. Two facts explain most of this. The evaluator answered on the night of 4 October, after the review of 3 October and before its fourteen comments, eleven of them about usability, were acted on the next day (Table 23), so the rating describes the system before those changes. And the owner's walkthrough was read to her step by step (Section 4.3.4), so she learned the system with help, as her answer says. Here the rating and the measurement disagree, and both are right: the tenants completed nine tasks in ten without help and the screens passed every accessibility check, but those measure whether a task can be done and whether the screens are built correctly, not how easily a first-time user finds their way. Mia et al. (2024) name limited technical capacity as a barrier for small Philippine enterprises adopting digital tools; the owner's two ratings of 3 place that barrier at the start of use, where the tenants' need for help also fell (Section 4.3.7). Chapter 5 takes this up in recommendation 6.</w:t>
      </w: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The 76 scans were repeated on 5 October 2026, after the changes made for the technical evaluators. They found one defect, on three screens: the name of a cluster had become part of an element's identifier, and a name with a space in it made the identifier invalid, so assistive technology could not tell which section a button opens. It was corrected the same night, and the repeated scans found no violation.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0" w:before="0" w:line="480" w:lineRule="auto"/>
        <w:ind w:firstLine="720"/>
        <w:jc w:val="both"/>
      </w:pPr>
      <w:r>
        <w:rPr>
          <w:rFonts w:ascii="Arial" w:cs="Arial" w:eastAsia="Arial" w:hAnsi="Arial"/>
          <w:b w:val="false"/>
          <w:bCs w:val="false"/>
          <w:sz w:val="24"/>
          <w:szCs w:val="24"/>
        </w:rPr>
        <w:t xml:space="preserve">Table 18 gives the ratings for Reliability by group, and Table 18A the measured evidence for it.</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2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1.15</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4.22</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4.25</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(units, rates, availability) looks correct and up to date.</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4.62</w:t>
            </w: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18A.</w:t>
      </w:r>
      <w:r>
        <w:rPr>
          <w:rFonts w:ascii="Arial" w:cs="Arial" w:eastAsia="Arial" w:hAnsi="Arial"/>
          <w:b/>
          <w:bCs/>
          <w:sz w:val="24"/>
          <w:szCs w:val="24"/>
        </w:rPr>
        <w:t xml:space="preserve"> Measured Evidence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3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7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Critical defects among those found in testing,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35; 31 resolved, 1 open, 3 accepted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Availability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as a share of time over a period; rated in the survey only</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Addresses that opened with no connection,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 / 10 = 1.00</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figure that could not be loaded shown as unavailable, not as ₱0</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once on the testing day (step 23b); not reproduced on 1 October; open</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stalled save reports within the 45 seconds designed</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iPhone within 45 s; Android after 60 to 80 s, since mitigated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r>
        <w:trPr>
          <w:cantSplit/>
        </w:trPr>
        <w:tc>
          <w:tcPr>
            <w:tcW w:type="dxa" w:w="154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Recoverability</w:t>
            </w:r>
          </w:p>
        </w:tc>
        <w:tc>
          <w:tcPr>
            <w:tcW w:type="dxa" w:w="293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Ledger after a receipt was recorded and voided</w:t>
            </w:r>
          </w:p>
        </w:tc>
        <w:tc>
          <w:tcPr>
            <w:tcW w:type="dxa" w:w="27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Returned to its 937 rows and its previous total</w:t>
            </w:r>
          </w:p>
        </w:tc>
        <w:tc>
          <w:tcPr>
            <w:tcW w:type="dxa" w:w="137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Section 4.3.2</w:t>
            </w:r>
          </w:p>
        </w:tc>
      </w:tr>
      <w:tr>
        <w:trPr>
          <w:cantSplit/>
        </w:trPr>
        <w:tc>
          <w:tcPr>
            <w:tcW w:type="dxa" w:w="15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Recoverability</w:t>
            </w:r>
          </w:p>
        </w:tc>
        <w:tc>
          <w:tcPr>
            <w:tcW w:type="dxa" w:w="293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Typed text kept when a send failed</w:t>
            </w:r>
          </w:p>
        </w:tc>
        <w:tc>
          <w:tcPr>
            <w:tcW w:type="dxa" w:w="27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Kept on both phones; sent once the connection returned on one</w:t>
            </w:r>
          </w:p>
        </w:tc>
        <w:tc>
          <w:tcPr>
            <w:tcW w:type="dxa" w:w="1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failed safely in most of the conditions tried, and no defect found was critical. Two results fell short of the design, both on a real device without a connection (step 23b and the late message on Android), and availability over time was not measured (Chapter 5, recommendation 8).</w:t>
      </w:r>
    </w:p>
    <w:p>
      <w:pPr>
        <w:spacing w:after="0" w:before="0" w:line="480" w:lineRule="auto"/>
        <w:ind w:firstLine="720"/>
        <w:jc w:val="both"/>
      </w:pPr>
      <w:r>
        <w:rPr>
          <w:rFonts w:ascii="Arial" w:cs="Arial" w:eastAsia="Arial" w:hAnsi="Arial"/>
          <w:b w:val="false"/>
          <w:bCs w:val="false"/>
          <w:sz w:val="24"/>
          <w:szCs w:val="24"/>
        </w:rPr>
        <w:t xml:space="preserve">Reliability was rated Very High Quality (4.62). The owner gave every item 5. The tenants' ratings spread more than on any other characteristic: one tenant rated both availability and the notice when something cannot be loaded 3, where the other two gave 4 or 5. The technical evaluator gave 3 to the system handling a failed request without presenting incorrect data. </w:t>
      </w:r>
      <w:r>
        <w:rPr>
          <w:rFonts w:ascii="Arial" w:cs="Arial" w:eastAsia="Arial" w:hAnsi="Arial"/>
          <w:b/>
          <w:bCs/>
          <w:sz w:val="24"/>
          <w:szCs w:val="24"/>
        </w:rPr>
        <w:t xml:space="preserve">That rating agrees with the one open defect of the testing</w:t>
      </w:r>
      <w:r>
        <w:rPr>
          <w:rFonts w:ascii="Arial" w:cs="Arial" w:eastAsia="Arial" w:hAnsi="Arial"/>
          <w:b w:val="false"/>
          <w:bCs w:val="false"/>
          <w:sz w:val="24"/>
          <w:szCs w:val="24"/>
        </w:rPr>
        <w:t xml:space="preserve">: in the walkthrough the Overview showed ₱0 instead of "—" with the connection cut (step 23b), a failed request presented as a figure. The ratings and the measurements point at the same weakness.</w:t>
      </w: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0" w:before="0" w:line="480" w:lineRule="auto"/>
        <w:ind w:firstLine="720"/>
        <w:jc w:val="both"/>
      </w:pPr>
      <w:r>
        <w:rPr>
          <w:rFonts w:ascii="Arial" w:cs="Arial" w:eastAsia="Arial" w:hAnsi="Arial"/>
          <w:b w:val="false"/>
          <w:bCs w:val="false"/>
          <w:sz w:val="24"/>
          <w:szCs w:val="24"/>
        </w:rPr>
        <w:t xml:space="preserve">Table 19 gives the ratings for Security by group, and Table 19A the measured evidence for it.</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4.40</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4.70</w:t>
            </w: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19A.</w:t>
      </w:r>
      <w:r>
        <w:rPr>
          <w:rFonts w:ascii="Arial" w:cs="Arial" w:eastAsia="Arial" w:hAnsi="Arial"/>
          <w:b/>
          <w:bCs/>
          <w:sz w:val="24"/>
          <w:szCs w:val="24"/>
        </w:rPr>
        <w:t xml:space="preserve"> Measured Evidence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5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Another tenant's record requested by its number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"not found" (walkthrough step 17); each tenant saw only their own unit (C-02)</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11D</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Protections a user meets that held when tried by hand,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 / 12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with row-level security and no rule opening them to a browser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table; no warning from the database's security advisor</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4.2.6 and 4.4.8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messages accepted only with a valid signature: checks passed,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that change data checked against a schema before use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one, in all 71 request handlers read</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Non-repudiation, accountability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actions written to an audit trail the application cannot edit or delete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administrator action</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Account after five wrong passwords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Locked for 15 minutes</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Grades from three passive external scans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SSL Labs A+; Mozilla HTTP Observatory A+ (115, 12 of 12 tests); securityheaders.com A+</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c>
          <w:tcPr>
            <w:tcW w:type="dxa" w:w="28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High-severity problems found by the code review</w:t>
            </w:r>
          </w:p>
        </w:tc>
        <w:tc>
          <w:tcPr>
            <w:tcW w:type="dxa" w:w="25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5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protection tried held, and all three outside scanners graded the site A+, the evidence for which follows.</w:t>
      </w:r>
    </w:p>
    <w:p>
      <w:pPr>
        <w:spacing w:after="0" w:before="0" w:line="480" w:lineRule="auto"/>
        <w:ind w:firstLine="720"/>
        <w:jc w:val="both"/>
      </w:pPr>
      <w:r>
        <w:rPr>
          <w:rFonts w:ascii="Arial" w:cs="Arial" w:eastAsia="Arial" w:hAnsi="Arial"/>
          <w:b w:val="false"/>
          <w:bCs w:val="false"/>
          <w:sz w:val="24"/>
          <w:szCs w:val="24"/>
        </w:rPr>
        <w:t xml:space="preserve">Security was rated Very High Quality (4.70) by the owner and the technical evaluator, the two groups who rated it. The owner gave every item 5. The evaluator gave 5 to role restriction, to a tenant being kept out of administrative data and to the audit trail, 4 to authentication and session handling, and 3 to the handling and storage of credentials. The 4 agrees with the code review, which accepted two low-risk session weaknesses: sign-in attempt limits counted per server instance, and signing out not revoking a token already issued (Table 23A). The 3 is not explained by the measured evidence, in which passwords are stored only as bcrypt hashes and accounts lock after five wrong attempts, and the evaluator gave no reason on the form; it is reported as given.</w:t>
      </w: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0" w:before="0" w:line="480" w:lineRule="auto"/>
        <w:ind w:firstLine="720"/>
        <w:jc w:val="both"/>
      </w:pPr>
      <w:r>
        <w:rPr>
          <w:rFonts w:ascii="Arial" w:cs="Arial" w:eastAsia="Arial" w:hAnsi="Arial"/>
          <w:b w:val="false"/>
          <w:bCs w:val="false"/>
          <w:sz w:val="24"/>
          <w:szCs w:val="24"/>
        </w:rPr>
        <w:t xml:space="preserve">Two weaknesses remain by design and are named here. The sign-in token is kept in the browser's own storage, where a script injected into the page could read it. What stands against that is the enforced Content Security Policy, which lets the browser run scripts only from the site itself and from Adyen, and the fact that no screen inserts raw HTML: every value shown is escaped. Keeping the token in a cookie that no script can read would remove the weakness itself. And signing in takes a password only; there is no second factor, even for the administrator. Public sign-up is closed (a request to create an account is refused, checked on the live site on 7 October 2026), so no one can create an account for themselves, but whoever learns the owner's password can use her account. Both are left to Chapter 5, recommendation 3.</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0" w:before="0" w:line="480" w:lineRule="auto"/>
        <w:ind w:firstLine="720"/>
        <w:jc w:val="both"/>
      </w:pPr>
      <w:r>
        <w:rPr>
          <w:rFonts w:ascii="Arial" w:cs="Arial" w:eastAsia="Arial" w:hAnsi="Arial"/>
          <w:b w:val="false"/>
          <w:bCs w:val="false"/>
          <w:sz w:val="24"/>
          <w:szCs w:val="24"/>
        </w:rPr>
        <w:t xml:space="preserve">Table 20 gives the ratings for Maintainability by group, and Table 20A the measured evidence for it.</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3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3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20A.</w:t>
      </w:r>
      <w:r>
        <w:rPr>
          <w:rFonts w:ascii="Arial" w:cs="Arial" w:eastAsia="Arial" w:hAnsi="Arial"/>
          <w:b/>
          <w:bCs/>
          <w:sz w:val="24"/>
          <w:szCs w:val="24"/>
        </w:rPr>
        <w:t xml:space="preserve"> Measured Evidence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1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1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7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Routes whose access comes from the one permission matrix, checked on every run, X = A / B</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55 / 55 = 1.00</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Database calls made through service modules rather than inside the request handlers, X = A / B</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50 / 204 = 0.25; the owner's handlers are one file of 5,120 lines</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server's code, counted 7 October 2026</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Reusability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Analysability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the database kept as numbered, reviewable migrations</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change; more than 70 by 5 October 2026</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Modifiability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rate changed without a change to the code</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Changed in the settings</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w:t>
            </w:r>
          </w:p>
        </w:tc>
      </w:tr>
      <w:tr>
        <w:trPr>
          <w:cantSplit/>
        </w:trPr>
        <w:tc>
          <w:tcPr>
            <w:tcW w:type="dxa" w:w="141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Testability</w:t>
            </w:r>
          </w:p>
        </w:tc>
        <w:tc>
          <w:tcPr>
            <w:tcW w:type="dxa" w:w="31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suites that run against the live system without writing to it, passing, X = A / B</w:t>
            </w:r>
          </w:p>
        </w:tc>
        <w:tc>
          <w:tcPr>
            <w:tcW w:type="dxa" w:w="2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 20 = 1.00</w:t>
            </w:r>
          </w:p>
        </w:tc>
        <w:tc>
          <w:tcPr>
            <w:tcW w:type="dxa" w:w="17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can be checked as a whole on every change without touching the owner's records. Its parts are less separate than its checks: three database calls in four are written inside the request handlers, so the rules for one record are spread across the handlers that touch it. Reusability was neither measured nor asked about.</w:t>
      </w:r>
    </w:p>
    <w:p>
      <w:pPr>
        <w:spacing w:after="0" w:before="0" w:line="480" w:lineRule="auto"/>
        <w:ind w:firstLine="720"/>
        <w:jc w:val="both"/>
      </w:pPr>
      <w:r>
        <w:rPr>
          <w:rFonts w:ascii="Arial" w:cs="Arial" w:eastAsia="Arial" w:hAnsi="Arial"/>
          <w:b w:val="false"/>
          <w:bCs w:val="false"/>
          <w:sz w:val="24"/>
          <w:szCs w:val="24"/>
        </w:rPr>
        <w:t xml:space="preserve">Maintainability was rated High Quality (4.00), </w:t>
      </w:r>
      <w:r>
        <w:rPr>
          <w:rFonts w:ascii="Arial" w:cs="Arial" w:eastAsia="Arial" w:hAnsi="Arial"/>
          <w:b/>
          <w:bCs/>
          <w:sz w:val="24"/>
          <w:szCs w:val="24"/>
        </w:rPr>
        <w:t xml:space="preserve">the lowest composite of the eight</w:t>
      </w:r>
      <w:r>
        <w:rPr>
          <w:rFonts w:ascii="Arial" w:cs="Arial" w:eastAsia="Arial" w:hAnsi="Arial"/>
          <w:b w:val="false"/>
          <w:bCs w:val="false"/>
          <w:sz w:val="24"/>
          <w:szCs w:val="24"/>
        </w:rPr>
        <w:t xml:space="preserve">. It rests on one respondent: only technical evaluators rated it, and one answered, giving every item 4. With one rating and no spread, the result says that the evaluator found the code base, its documentation, its configuration, its checks and its separation of parts good but not excellent, and no more. The measured evidence agrees with that reading. Testability and analysability measured strongly (Table 20A), but modularity did not: three database calls in four sit inside the request handlers, which is what the item about a change in one part disturbing another asks about. Chapter 5 takes this up in recommendation 6.</w:t>
      </w:r>
    </w:p>
    <w:p>
      <w:pPr>
        <w:spacing w:after="120" w:before="240" w:line="480" w:lineRule="auto"/>
        <w:jc w:val="left"/>
      </w:pPr>
      <w:r>
        <w:rPr>
          <w:rFonts w:ascii="Arial" w:cs="Arial" w:eastAsia="Arial" w:hAnsi="Arial"/>
          <w:b/>
          <w:bCs/>
          <w:sz w:val="24"/>
          <w:szCs w:val="24"/>
        </w:rPr>
        <w:t xml:space="preserve">4.4.10 Portability</w:t>
      </w:r>
    </w:p>
    <w:p>
      <w:pPr>
        <w:spacing w:after="0" w:before="0" w:line="480" w:lineRule="auto"/>
        <w:ind w:firstLine="720"/>
        <w:jc w:val="both"/>
      </w:pPr>
      <w:r>
        <w:rPr>
          <w:rFonts w:ascii="Arial" w:cs="Arial" w:eastAsia="Arial" w:hAnsi="Arial"/>
          <w:b w:val="false"/>
          <w:bCs w:val="false"/>
          <w:sz w:val="24"/>
          <w:szCs w:val="24"/>
        </w:rPr>
        <w:t xml:space="preserve">Table 21 gives the ratings for Portability by group, and Table 21A the measured evidence for it.</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4.89</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works on my own phone.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to use it.</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4.89</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21A.</w:t>
      </w:r>
      <w:r>
        <w:rPr>
          <w:rFonts w:ascii="Arial" w:cs="Arial" w:eastAsia="Arial" w:hAnsi="Arial"/>
          <w:b/>
          <w:bCs/>
          <w:sz w:val="24"/>
          <w:szCs w:val="24"/>
        </w:rPr>
        <w:t xml:space="preserve"> Measured Evidence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3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33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wider than the window at 360, 390, 768 and 1,366 pixels</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(seven public pages and the owner's eight screens)</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4.3.6</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Kinds of device on which the same code ran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 laptop in Chrome, an Android phone in Chrome, an iPhone in Safari</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4.2.7</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of a Progressive Web Application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installed from the browser on an Android phone and an iPhone, with no app store</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11A and Section 4.3.7</w:t>
            </w:r>
          </w:p>
        </w:tc>
      </w:tr>
      <w:tr>
        <w:trPr>
          <w:cantSplit/>
        </w:trPr>
        <w:tc>
          <w:tcPr>
            <w:tcW w:type="dxa" w:w="13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Replaceability</w:t>
            </w:r>
          </w:p>
        </w:tc>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reproduced by the system</w:t>
            </w:r>
          </w:p>
        </w:tc>
        <w:tc>
          <w:tcPr>
            <w:tcW w:type="dxa" w:w="33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Monthly Income and Monthly Expenses, exported in her layout and checked against the database month by month (490 / 490); she has not yet made it her main record</w:t>
            </w:r>
          </w:p>
        </w:tc>
        <w:tc>
          <w:tcPr>
            <w:tcW w:type="dxa" w:w="15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Tables 8 and 25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One code base served every screen size and device tried and installed without an app store. Whether the system replaces the workbook in practice is the last stage of the deployment plan (Table 25).</w:t>
      </w:r>
    </w:p>
    <w:p>
      <w:pPr>
        <w:spacing w:after="0" w:before="0" w:line="480" w:lineRule="auto"/>
        <w:ind w:firstLine="720"/>
        <w:jc w:val="both"/>
      </w:pPr>
      <w:r>
        <w:rPr>
          <w:rFonts w:ascii="Arial" w:cs="Arial" w:eastAsia="Arial" w:hAnsi="Arial"/>
          <w:b w:val="false"/>
          <w:bCs w:val="false"/>
          <w:sz w:val="24"/>
          <w:szCs w:val="24"/>
        </w:rPr>
        <w:t xml:space="preserve">Portability was rated highest of the eight (4.89, Very High Quality). Every group gave 5 to the system working on their own device and needing nothing else installed; the one item below 5 was the tenants' opening it on more than one device, which one tenant rated 4. The rating agrees with the measurement: the same code was installed on an Android phone and an iPhone without an app store.</w:t>
      </w: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Six of the eight characteristics were rated Very High Quality, Portability highest (4.89) and Functional Suitability next (4.86). Two were rated High Quality: Usability (4.12), the lowest of the characteristics every group rated, and Maintainability (4.00), the lowest composite, which rests on a single technical evaluator. No characteristic, and no group mean, fell below High Quality; the lowest single ratings were 3, Moderate Quality, given by the owner to two Usability items, by one tenant to two Reliability items, and by the technical evaluator to eight items across four characteristics. n is the number of respondents who rated the characteristic, and Rank 1 is the highest composite.</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in Tables 14A to 21A and twenty-five are rated by at least one survey item. Two, user interface aesthetics and reusability, have neither, and no conclusion is drawn about them.</w:t>
      </w:r>
    </w:p>
    <w:p>
      <w:pPr>
        <w:spacing w:after="120" w:before="360" w:line="480" w:lineRule="auto"/>
        <w:jc w:val="left"/>
      </w:pPr>
      <w:r>
        <w:rPr>
          <w:rFonts w:ascii="Arial" w:cs="Arial" w:eastAsia="Arial" w:hAnsi="Arial"/>
          <w:b/>
          <w:bCs/>
          <w:sz w:val="24"/>
          <w:szCs w:val="24"/>
        </w:rPr>
        <w:t xml:space="preserve">Table 22A.</w:t>
      </w:r>
      <w:r>
        <w:rPr>
          <w:rFonts w:ascii="Arial" w:cs="Arial" w:eastAsia="Arial" w:hAnsi="Arial"/>
          <w:b/>
          <w:bCs/>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2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(Tables 14A to 21A)</w:t>
            </w:r>
          </w:p>
        </w:tc>
        <w:tc>
          <w:tcPr>
            <w:tcW w:type="dxa" w:w="11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one fail-safe result open and one late message, both offline on a real device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2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for six, a strong measured result and a rating of Very High Quality, and for Maintainability, discussed below, a weaker result on both. The agreement is closest where it matters most. The one low rating on Reliability, a failed request presented as data, names the one defect the testing left open. </w:t>
      </w:r>
      <w:r>
        <w:rPr>
          <w:rFonts w:ascii="Arial" w:cs="Arial" w:eastAsia="Arial" w:hAnsi="Arial"/>
          <w:b/>
          <w:bCs/>
          <w:sz w:val="24"/>
          <w:szCs w:val="24"/>
        </w:rPr>
        <w:t xml:space="preserve">The two disagree on Usability.</w:t>
      </w:r>
      <w:r>
        <w:rPr>
          <w:rFonts w:ascii="Arial" w:cs="Arial" w:eastAsia="Arial" w:hAnsi="Arial"/>
          <w:b w:val="false"/>
          <w:bCs w:val="false"/>
          <w:sz w:val="24"/>
          <w:szCs w:val="24"/>
        </w:rPr>
        <w:t xml:space="preserve"> Every measure of it was met, yet it was rated below every characteristic but one. The difference lies in what each kind of evidence can see. The measures show that the tasks can be done and that the screens are built correctly; the ratings record how hard the system was to learn for its owner, who learned it with help, and how it looked to a technical evaluator the night before fourteen changes were made in response to that evaluator's group. Neither cancels the other, and the lesson for the evaluation is the one Section 4.3.3 drew for testing: passing measures show what was measured. Maintainability, rated lowest, rests on one person's rating, but here the measurement agrees with it: the system is easy to test and to trace, and its database logic is not yet separated from its request handlers.</w:t>
      </w:r>
    </w:p>
    <w:p>
      <w:pPr>
        <w:spacing w:after="0" w:before="0" w:line="480" w:lineRule="auto"/>
        <w:ind w:firstLine="720"/>
        <w:jc w:val="both"/>
      </w:pPr>
      <w:r>
        <w:rPr>
          <w:rFonts w:ascii="Arial" w:cs="Arial" w:eastAsia="Arial" w:hAnsi="Arial"/>
          <w:b w:val="false"/>
          <w:bCs w:val="false"/>
          <w:sz w:val="24"/>
          <w:szCs w:val="24"/>
        </w:rPr>
        <w:t xml:space="preserve">ISO/IEC 25010:2011 also defines quality in use, the quality of the system as experienced by its users in their own context. The acceptance test of Section 4.3.7 measured it directly, in the manner of ISO/IEC 25022, and Table 22B reports those measures.</w:t>
      </w:r>
    </w:p>
    <w:p>
      <w:pPr>
        <w:spacing w:after="120" w:before="360" w:line="480" w:lineRule="auto"/>
        <w:jc w:val="left"/>
      </w:pPr>
      <w:r>
        <w:rPr>
          <w:rFonts w:ascii="Arial" w:cs="Arial" w:eastAsia="Arial" w:hAnsi="Arial"/>
          <w:b/>
          <w:bCs/>
          <w:sz w:val="24"/>
          <w:szCs w:val="24"/>
        </w:rPr>
        <w:t xml:space="preserve">Table 22B.</w:t>
      </w:r>
      <w:r>
        <w:rPr>
          <w:rFonts w:ascii="Arial" w:cs="Arial" w:eastAsia="Arial" w:hAnsi="Arial"/>
          <w:b/>
          <w:bCs/>
          <w:sz w:val="24"/>
          <w:szCs w:val="24"/>
        </w:rPr>
        <w:t xml:space="preserve"> Quality in Use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0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35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17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completed, X = A / B</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 without help 31 / 34 = 0.91</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walkthrough steps executed that passed, X = A / B</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07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Efficiency</w:t>
            </w:r>
          </w:p>
        </w:tc>
        <w:tc>
          <w:tcPr>
            <w:tcW w:type="dxa" w:w="35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Median time per task; mean wrong turns per task</w:t>
            </w:r>
          </w:p>
        </w:tc>
        <w:tc>
          <w:tcPr>
            <w:tcW w:type="dxa" w:w="28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 s; 0.2</w:t>
            </w:r>
          </w:p>
        </w:tc>
        <w:tc>
          <w:tcPr>
            <w:tcW w:type="dxa" w:w="117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Satisfaction</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with a satisfaction scale. The open answers: two of three tenants found nothing confusing during their tasks, and one said the system still felt lacking; on the survey form the owner wrote "Beautiful system!" and a tenant named the ease of seeing their rent and asked for the deposit paid and the electric bill to be shown</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4.3.7 and 4.4</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Freedom from risk</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of the owner changed or lost by testing</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the 937 income rows were untouched, and the records each test created were removed or voided afterwards by reviewed changes</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4.3.2 and 4.3.4</w:t>
            </w:r>
          </w:p>
        </w:tc>
      </w:tr>
      <w:tr>
        <w:trPr>
          <w:cantSplit/>
        </w:trPr>
        <w:tc>
          <w:tcPr>
            <w:tcW w:type="dxa" w:w="10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 coverage</w:t>
            </w:r>
          </w:p>
        </w:tc>
        <w:tc>
          <w:tcPr>
            <w:tcW w:type="dxa" w:w="35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Contexts in which the tasks were done</w:t>
            </w:r>
          </w:p>
        </w:tc>
        <w:tc>
          <w:tcPr>
            <w:tcW w:type="dxa" w:w="28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laptop in Chrome; an Android phone in Chrome; an iPhone in Safari; with no connection and on a stalled one; the owner and two tenants at the same time (reading; saving at the same moment was not tested)</w:t>
            </w:r>
          </w:p>
        </w:tc>
        <w:tc>
          <w:tcPr>
            <w:tcW w:type="dxa" w:w="117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4.3.6 and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four rows come from the survey.</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6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7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new password that met the length and character rules could still be a well-known breached one ("Password123" appears 1,505,362 times in Pwned Passwords)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new password is checked against Pwned Passwords before it is saved; only five characters of its hash leave the server, and if the service cannot be reached the rules alone apply</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to 4 October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 rated all five Usability items 3, on 4 October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before the fourteen changes above, eleven of them to usability, went live on 5 October; no further change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rated 3 her telling what each screen is for, and learning the system, without help</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change to the screens; the user manual (Appendix K) describes every screen in her words, and training at hand-over is stage 4 of Table 25 (Chapter 5, recommendation 6)</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4 October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 rated 3 a failed request being handled without presenting incorrect data</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defect as walkthrough step 23b (₱0 instead of "—"): not reproduced on 1 October; to be tested again on the owner's laptop</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2026</w:t>
            </w:r>
          </w:p>
        </w:tc>
        <w:tc>
          <w:tcPr>
            <w:tcW w:type="dxa" w:w="26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asked for the deposit paid and the electric bill to be shown</w:t>
            </w:r>
          </w:p>
        </w:tc>
        <w:tc>
          <w:tcPr>
            <w:tcW w:type="dxa" w:w="3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changed. The deposit is recorded for every tenancy but shown only to the owner; the electric bill is outside the system, since each tenant pays the electric company directly (Section 4.2.4)</w:t>
            </w:r>
          </w:p>
        </w:tc>
        <w:tc>
          <w:tcPr>
            <w:tcW w:type="dxa" w:w="12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120" w:before="360" w:line="480" w:lineRule="auto"/>
        <w:jc w:val="left"/>
      </w:pPr>
      <w:r>
        <w:rPr>
          <w:rFonts w:ascii="Arial" w:cs="Arial" w:eastAsia="Arial" w:hAnsi="Arial"/>
          <w:b/>
          <w:bCs/>
          <w:sz w:val="24"/>
          <w:szCs w:val="24"/>
        </w:rPr>
        <w:t xml:space="preserve">Table 23A.</w:t>
      </w:r>
      <w:r>
        <w:rPr>
          <w:rFonts w:ascii="Arial" w:cs="Arial" w:eastAsia="Arial" w:hAnsi="Arial"/>
          <w:b/>
          <w:bCs/>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§4.4.5)</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8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3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Begun: every tenant account prepared with its own starting password on 29 September 2026; the owner and three tenants shown the system and using it on their own accounts on 30 September 2026 (Section 4.3.7); the first change taken from the owner's own practice, acknowledgement receipts for payments with no invoice number, made on 1 October 2026. The hand-over of the user manual is still to come</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8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3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2026-10-12T11:06:22.347Z</dcterms:created>
  <dcterms:modified xsi:type="dcterms:W3CDTF">2026-10-12T11:06:22.348Z</dcterms:modified>
</cp:coreProperties>
</file>

<file path=docProps/custom.xml><?xml version="1.0" encoding="utf-8"?>
<Properties xmlns="http://schemas.openxmlformats.org/officeDocument/2006/custom-properties" xmlns:vt="http://schemas.openxmlformats.org/officeDocument/2006/docPropsVTypes"/>
</file>